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902" w:rsidRDefault="00425902" w:rsidP="00425902">
      <w:pPr>
        <w:spacing w:after="0" w:line="240" w:lineRule="auto"/>
        <w:jc w:val="both"/>
      </w:pPr>
    </w:p>
    <w:p w:rsidR="008E0C9B" w:rsidRDefault="008E0C9B" w:rsidP="00425902">
      <w:pPr>
        <w:spacing w:after="0" w:line="240" w:lineRule="auto"/>
        <w:jc w:val="both"/>
      </w:pPr>
    </w:p>
    <w:p w:rsidR="008E0C9B" w:rsidRDefault="008E0C9B" w:rsidP="00425902">
      <w:pPr>
        <w:spacing w:after="0" w:line="240" w:lineRule="auto"/>
        <w:jc w:val="both"/>
      </w:pPr>
    </w:p>
    <w:p w:rsidR="008E0C9B" w:rsidRDefault="008E0C9B" w:rsidP="008E0C9B">
      <w:pPr>
        <w:spacing w:after="0" w:line="240" w:lineRule="auto"/>
        <w:jc w:val="both"/>
      </w:pPr>
      <w:r>
        <w:t>San Salvador, 4 de junio de 2018</w:t>
      </w:r>
    </w:p>
    <w:p w:rsidR="008E0C9B" w:rsidRDefault="008E0C9B" w:rsidP="008E0C9B">
      <w:pPr>
        <w:spacing w:after="0" w:line="240" w:lineRule="auto"/>
        <w:jc w:val="both"/>
      </w:pPr>
    </w:p>
    <w:p w:rsidR="008E0C9B" w:rsidRDefault="008E0C9B" w:rsidP="008E0C9B">
      <w:pPr>
        <w:spacing w:after="0" w:line="240" w:lineRule="auto"/>
        <w:jc w:val="both"/>
      </w:pPr>
      <w:r>
        <w:t xml:space="preserve">Saludos cordiales. </w:t>
      </w:r>
    </w:p>
    <w:p w:rsidR="008E0C9B" w:rsidRDefault="008E0C9B" w:rsidP="008E0C9B">
      <w:pPr>
        <w:spacing w:after="0" w:line="240" w:lineRule="auto"/>
        <w:jc w:val="both"/>
      </w:pPr>
    </w:p>
    <w:p w:rsidR="008E0C9B" w:rsidRDefault="008E0C9B" w:rsidP="008E0C9B">
      <w:pPr>
        <w:spacing w:after="0" w:line="240" w:lineRule="auto"/>
        <w:jc w:val="both"/>
      </w:pPr>
      <w:r>
        <w:t xml:space="preserve">Atendiendo la solicitud No 019/2018, la cual presentó al CONNA el día 24 de mayo de 2018, se brinda la siguiente información: </w:t>
      </w:r>
    </w:p>
    <w:p w:rsidR="008E0C9B" w:rsidRDefault="008E0C9B" w:rsidP="00425902">
      <w:pPr>
        <w:spacing w:after="0" w:line="240" w:lineRule="auto"/>
        <w:jc w:val="both"/>
      </w:pPr>
    </w:p>
    <w:p w:rsidR="008E0C9B" w:rsidRDefault="008E0C9B" w:rsidP="00425902">
      <w:pPr>
        <w:spacing w:after="0" w:line="240" w:lineRule="auto"/>
        <w:jc w:val="both"/>
      </w:pPr>
    </w:p>
    <w:p w:rsidR="00AD3031" w:rsidRPr="008E0C9B" w:rsidRDefault="00AD3031" w:rsidP="00AD3031">
      <w:pPr>
        <w:shd w:val="clear" w:color="auto" w:fill="FFFFFF"/>
        <w:spacing w:after="0" w:line="240" w:lineRule="auto"/>
        <w:jc w:val="both"/>
        <w:rPr>
          <w:rFonts w:eastAsia="Times New Roman" w:cstheme="minorHAnsi"/>
          <w:b/>
          <w:i/>
          <w:color w:val="222222"/>
          <w:lang w:eastAsia="es-SV"/>
        </w:rPr>
      </w:pPr>
      <w:r w:rsidRPr="008E0C9B">
        <w:rPr>
          <w:rFonts w:eastAsia="Times New Roman" w:cstheme="minorHAnsi"/>
          <w:b/>
          <w:i/>
          <w:color w:val="222222"/>
          <w:lang w:eastAsia="es-SV"/>
        </w:rPr>
        <w:t>Observación General</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shd w:val="clear" w:color="auto" w:fill="FFFFFF"/>
        <w:spacing w:after="0" w:line="240" w:lineRule="auto"/>
        <w:jc w:val="both"/>
        <w:rPr>
          <w:rFonts w:eastAsia="Times New Roman" w:cstheme="minorHAnsi"/>
          <w:color w:val="222222"/>
          <w:lang w:eastAsia="es-SV"/>
        </w:rPr>
      </w:pPr>
      <w:r>
        <w:rPr>
          <w:rFonts w:eastAsia="Times New Roman" w:cstheme="minorHAnsi"/>
          <w:color w:val="222222"/>
          <w:lang w:eastAsia="es-SV"/>
        </w:rPr>
        <w:t xml:space="preserve">La información que se proporciona proviene del Sistema de Información de la Niñez y de la Adolescencia (SINAES), específicamente del Módulo de Registro de Información de niñez y adolescencia migrante atendida, por el Equipo Multidisciplinario de Protección del CONNA, en la Dirección de Atención al Migrante (DAMI) y en el Aeropuerto. </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shd w:val="clear" w:color="auto" w:fill="FFFFFF"/>
        <w:spacing w:after="0" w:line="240" w:lineRule="auto"/>
        <w:jc w:val="both"/>
        <w:rPr>
          <w:rFonts w:eastAsia="Times New Roman" w:cstheme="minorHAnsi"/>
          <w:color w:val="222222"/>
          <w:lang w:eastAsia="es-SV"/>
        </w:rPr>
      </w:pPr>
      <w:r>
        <w:rPr>
          <w:rFonts w:eastAsia="Times New Roman" w:cstheme="minorHAnsi"/>
          <w:color w:val="222222"/>
          <w:lang w:eastAsia="es-SV"/>
        </w:rPr>
        <w:t xml:space="preserve">La población entrevistada por el Equipo multidisciplinario de Protección del CONNA no corresponde al 100% de las niñas, niños y adolescentes retornados que reporta la Dirección General de Migración y Extranjería.  </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4460D9" w:rsidP="00AD3031">
      <w:pPr>
        <w:shd w:val="clear" w:color="auto" w:fill="FFFFFF"/>
        <w:spacing w:after="0" w:line="240" w:lineRule="auto"/>
        <w:jc w:val="both"/>
        <w:rPr>
          <w:rFonts w:eastAsia="Times New Roman" w:cstheme="minorHAnsi"/>
          <w:color w:val="222222"/>
          <w:lang w:eastAsia="es-SV"/>
        </w:rPr>
      </w:pPr>
      <w:r>
        <w:rPr>
          <w:rFonts w:eastAsia="Times New Roman" w:cstheme="minorHAnsi"/>
          <w:color w:val="222222"/>
          <w:lang w:eastAsia="es-SV"/>
        </w:rPr>
        <w:t>De acuerdo al Art. 3 de la LEPINA, c</w:t>
      </w:r>
      <w:r w:rsidR="00AD3031">
        <w:rPr>
          <w:rFonts w:eastAsia="Times New Roman" w:cstheme="minorHAnsi"/>
          <w:color w:val="222222"/>
          <w:lang w:eastAsia="es-SV"/>
        </w:rPr>
        <w:t xml:space="preserve">uando se hace mención a niñez, corresponde a niñas y niños desde la gestación hasta antes de cumplir los 12 años y adolescencia, desde los 12 años hasta antes de cumplir los 18 años, </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shd w:val="clear" w:color="auto" w:fill="FFFFFF"/>
        <w:spacing w:after="0" w:line="240" w:lineRule="auto"/>
        <w:jc w:val="both"/>
        <w:rPr>
          <w:rFonts w:eastAsia="Times New Roman" w:cstheme="minorHAnsi"/>
          <w:color w:val="222222"/>
          <w:lang w:eastAsia="es-SV"/>
        </w:rPr>
      </w:pPr>
      <w:r>
        <w:rPr>
          <w:rFonts w:eastAsia="Times New Roman" w:cstheme="minorHAnsi"/>
          <w:color w:val="222222"/>
          <w:lang w:eastAsia="es-SV"/>
        </w:rPr>
        <w:t xml:space="preserve">Dicha información está disponible en la página web del SINAES, en la opción de Estadísticas NNA retornada-CAIM. </w:t>
      </w:r>
      <w:hyperlink r:id="rId8" w:history="1">
        <w:r w:rsidRPr="007422C5">
          <w:rPr>
            <w:rStyle w:val="Hipervnculo"/>
            <w:rFonts w:eastAsia="Times New Roman" w:cstheme="minorHAnsi"/>
            <w:lang w:eastAsia="es-SV"/>
          </w:rPr>
          <w:t>http://app.conna.gob.sv/sinaes/estadisticas.html?t=-1</w:t>
        </w:r>
      </w:hyperlink>
    </w:p>
    <w:p w:rsidR="00AD3031" w:rsidRDefault="00AD3031" w:rsidP="00AD3031">
      <w:pPr>
        <w:shd w:val="clear" w:color="auto" w:fill="FFFFFF"/>
        <w:spacing w:after="0" w:line="240" w:lineRule="auto"/>
        <w:jc w:val="both"/>
        <w:rPr>
          <w:rFonts w:eastAsia="Times New Roman" w:cstheme="minorHAnsi"/>
          <w:b/>
          <w:color w:val="222222"/>
          <w:lang w:eastAsia="es-SV"/>
        </w:rPr>
      </w:pPr>
    </w:p>
    <w:p w:rsidR="00AD3031" w:rsidRDefault="00AD3031" w:rsidP="00AD3031">
      <w:pPr>
        <w:shd w:val="clear" w:color="auto" w:fill="FFFFFF"/>
        <w:spacing w:after="0" w:line="240" w:lineRule="auto"/>
        <w:jc w:val="both"/>
        <w:rPr>
          <w:rFonts w:eastAsia="Times New Roman" w:cstheme="minorHAnsi"/>
          <w:b/>
          <w:color w:val="222222"/>
          <w:lang w:eastAsia="es-SV"/>
        </w:rPr>
      </w:pPr>
      <w:r>
        <w:rPr>
          <w:rFonts w:eastAsia="Times New Roman" w:cstheme="minorHAnsi"/>
          <w:b/>
          <w:color w:val="222222"/>
          <w:lang w:eastAsia="es-SV"/>
        </w:rPr>
        <w:t>Respuestas específicas:</w:t>
      </w:r>
    </w:p>
    <w:p w:rsidR="00AD3031" w:rsidRDefault="00AD3031" w:rsidP="00AD3031">
      <w:pPr>
        <w:shd w:val="clear" w:color="auto" w:fill="FFFFFF"/>
        <w:spacing w:after="0" w:line="240" w:lineRule="auto"/>
        <w:jc w:val="both"/>
        <w:rPr>
          <w:rFonts w:eastAsia="Times New Roman" w:cstheme="minorHAnsi"/>
          <w:b/>
          <w:color w:val="222222"/>
          <w:lang w:eastAsia="es-SV"/>
        </w:rPr>
      </w:pPr>
    </w:p>
    <w:p w:rsidR="00AD3031" w:rsidRPr="00377B25" w:rsidRDefault="00AD3031" w:rsidP="00AD3031">
      <w:pPr>
        <w:shd w:val="clear" w:color="auto" w:fill="FFFFFF"/>
        <w:spacing w:after="0" w:line="240" w:lineRule="auto"/>
        <w:jc w:val="both"/>
        <w:rPr>
          <w:rFonts w:eastAsia="Times New Roman" w:cstheme="minorHAnsi"/>
          <w:b/>
          <w:color w:val="222222"/>
          <w:lang w:eastAsia="es-SV"/>
        </w:rPr>
      </w:pPr>
      <w:r w:rsidRPr="00377B25">
        <w:rPr>
          <w:rFonts w:eastAsia="Times New Roman" w:cstheme="minorHAnsi"/>
          <w:b/>
          <w:color w:val="222222"/>
          <w:lang w:eastAsia="es-SV"/>
        </w:rPr>
        <w:t>1. En cuanto a los menores de edad migrantes atendidos por CONNA ¿cuántos viajaron acompañados de un “coyote” en el periodo de 2014 a 2018?</w:t>
      </w:r>
    </w:p>
    <w:p w:rsidR="00AD3031" w:rsidRPr="00377B25" w:rsidRDefault="00AD3031" w:rsidP="00AD3031">
      <w:pPr>
        <w:shd w:val="clear" w:color="auto" w:fill="FFFFFF"/>
        <w:spacing w:after="0" w:line="240" w:lineRule="auto"/>
        <w:rPr>
          <w:rFonts w:eastAsia="Times New Roman" w:cstheme="minorHAnsi"/>
          <w:color w:val="222222"/>
          <w:lang w:eastAsia="es-SV"/>
        </w:rPr>
      </w:pPr>
    </w:p>
    <w:p w:rsidR="00AD3031" w:rsidRDefault="00AD3031" w:rsidP="00AD3031">
      <w:pPr>
        <w:shd w:val="clear" w:color="auto" w:fill="FFFFFF"/>
        <w:spacing w:after="0" w:line="240" w:lineRule="auto"/>
        <w:jc w:val="both"/>
        <w:rPr>
          <w:rFonts w:eastAsia="Times New Roman" w:cstheme="minorHAnsi"/>
          <w:color w:val="222222"/>
          <w:lang w:eastAsia="es-SV"/>
        </w:rPr>
      </w:pPr>
      <w:r>
        <w:rPr>
          <w:rFonts w:eastAsia="Times New Roman" w:cstheme="minorHAnsi"/>
          <w:color w:val="222222"/>
          <w:lang w:eastAsia="es-SV"/>
        </w:rPr>
        <w:t xml:space="preserve">En el sistema de registro de CONNA no se ha definido una variable que permita obtener de manera automática la información de cuantos niñas, niños y adolescentes viajaron acompañados de un “coyote”. Dicha información es parte del relato que se levanta por el equipo multidisciplinario, pero no es posible filtrar la información. Se están haciendo ajustes en el sistema para poder identificar dichos casos. </w:t>
      </w:r>
    </w:p>
    <w:p w:rsidR="008E0C9B" w:rsidRDefault="008E0C9B" w:rsidP="00AD3031">
      <w:pPr>
        <w:shd w:val="clear" w:color="auto" w:fill="FFFFFF"/>
        <w:spacing w:after="0" w:line="240" w:lineRule="auto"/>
        <w:jc w:val="both"/>
        <w:rPr>
          <w:rFonts w:eastAsia="Times New Roman" w:cstheme="minorHAnsi"/>
          <w:color w:val="222222"/>
          <w:lang w:eastAsia="es-SV"/>
        </w:rPr>
      </w:pPr>
    </w:p>
    <w:p w:rsidR="008E0C9B" w:rsidRDefault="008E0C9B" w:rsidP="00AD3031">
      <w:pPr>
        <w:shd w:val="clear" w:color="auto" w:fill="FFFFFF"/>
        <w:spacing w:after="0" w:line="240" w:lineRule="auto"/>
        <w:jc w:val="both"/>
        <w:rPr>
          <w:rFonts w:eastAsia="Times New Roman" w:cstheme="minorHAnsi"/>
          <w:color w:val="222222"/>
          <w:lang w:eastAsia="es-SV"/>
        </w:rPr>
      </w:pPr>
    </w:p>
    <w:p w:rsidR="00AD3031" w:rsidRPr="00BE5891" w:rsidRDefault="00AD3031" w:rsidP="00AD3031">
      <w:pPr>
        <w:shd w:val="clear" w:color="auto" w:fill="FFFFFF"/>
        <w:spacing w:after="0" w:line="240" w:lineRule="auto"/>
        <w:rPr>
          <w:rFonts w:eastAsia="Times New Roman" w:cstheme="minorHAnsi"/>
          <w:b/>
          <w:color w:val="222222"/>
          <w:lang w:eastAsia="es-SV"/>
        </w:rPr>
      </w:pPr>
      <w:r w:rsidRPr="00377B25">
        <w:rPr>
          <w:rFonts w:eastAsia="Times New Roman" w:cstheme="minorHAnsi"/>
          <w:b/>
          <w:color w:val="222222"/>
          <w:lang w:eastAsia="es-SV"/>
        </w:rPr>
        <w:t>2. ¿Cuántos menores </w:t>
      </w:r>
      <w:r w:rsidRPr="00BE5891">
        <w:rPr>
          <w:rFonts w:eastAsia="Times New Roman" w:cstheme="minorHAnsi"/>
          <w:b/>
          <w:color w:val="222222"/>
          <w:lang w:eastAsia="es-SV"/>
        </w:rPr>
        <w:t>de</w:t>
      </w:r>
      <w:r w:rsidRPr="00377B25">
        <w:rPr>
          <w:rFonts w:eastAsia="Times New Roman" w:cstheme="minorHAnsi"/>
          <w:b/>
          <w:color w:val="222222"/>
          <w:lang w:eastAsia="es-SV"/>
        </w:rPr>
        <w:t> edad viajaba con sus padres?</w:t>
      </w:r>
    </w:p>
    <w:p w:rsidR="00AD3031" w:rsidRDefault="00AD3031" w:rsidP="00AD3031">
      <w:pPr>
        <w:shd w:val="clear" w:color="auto" w:fill="FFFFFF"/>
        <w:spacing w:after="0" w:line="240" w:lineRule="auto"/>
        <w:jc w:val="both"/>
        <w:rPr>
          <w:rFonts w:eastAsia="Times New Roman" w:cstheme="minorHAnsi"/>
          <w:color w:val="222222"/>
          <w:lang w:eastAsia="es-SV"/>
        </w:rPr>
      </w:pPr>
      <w:r>
        <w:rPr>
          <w:rFonts w:eastAsia="Times New Roman" w:cstheme="minorHAnsi"/>
          <w:color w:val="222222"/>
          <w:lang w:eastAsia="es-SV"/>
        </w:rPr>
        <w:t xml:space="preserve">El sistema nos permite obtener al momento cuantas niñas, niños y adolescentes viajan acompañados o no acompañados, pero no establecer la relación del acompañante con la niña, niños o adolescente. </w:t>
      </w:r>
    </w:p>
    <w:p w:rsidR="00AD3031" w:rsidRDefault="00AD3031" w:rsidP="00AD3031">
      <w:pPr>
        <w:shd w:val="clear" w:color="auto" w:fill="FFFFFF"/>
        <w:spacing w:after="0" w:line="240" w:lineRule="auto"/>
        <w:rPr>
          <w:rFonts w:eastAsia="Times New Roman" w:cstheme="minorHAnsi"/>
          <w:color w:val="222222"/>
          <w:lang w:eastAsia="es-SV"/>
        </w:rPr>
      </w:pPr>
    </w:p>
    <w:p w:rsidR="00AD3031" w:rsidRDefault="00AD3031" w:rsidP="00AD3031">
      <w:pPr>
        <w:jc w:val="both"/>
        <w:rPr>
          <w:rFonts w:eastAsia="Times New Roman" w:cstheme="minorHAnsi"/>
          <w:color w:val="222222"/>
          <w:lang w:eastAsia="es-SV"/>
        </w:rPr>
      </w:pPr>
      <w:r w:rsidRPr="00BE5891">
        <w:rPr>
          <w:rFonts w:eastAsia="Times New Roman" w:cstheme="minorHAnsi"/>
          <w:color w:val="222222"/>
          <w:lang w:eastAsia="es-SV"/>
        </w:rPr>
        <w:t>De las 11,410 niñas, niños, adolescentes y jóvenes retornados por migración irregular</w:t>
      </w:r>
      <w:r>
        <w:rPr>
          <w:rFonts w:eastAsia="Times New Roman" w:cstheme="minorHAnsi"/>
          <w:color w:val="222222"/>
          <w:lang w:eastAsia="es-SV"/>
        </w:rPr>
        <w:t xml:space="preserve"> entre julio 2014 y abril 2018</w:t>
      </w:r>
      <w:r w:rsidRPr="00BE5891">
        <w:rPr>
          <w:rFonts w:eastAsia="Times New Roman" w:cstheme="minorHAnsi"/>
          <w:color w:val="222222"/>
          <w:lang w:eastAsia="es-SV"/>
        </w:rPr>
        <w:t xml:space="preserve">, </w:t>
      </w:r>
      <w:r>
        <w:rPr>
          <w:rFonts w:eastAsia="Times New Roman" w:cstheme="minorHAnsi"/>
          <w:color w:val="222222"/>
          <w:lang w:eastAsia="es-SV"/>
        </w:rPr>
        <w:t>el 60.4% (</w:t>
      </w:r>
      <w:r w:rsidRPr="00BE5891">
        <w:rPr>
          <w:rFonts w:eastAsia="Times New Roman" w:cstheme="minorHAnsi"/>
          <w:color w:val="222222"/>
          <w:lang w:eastAsia="es-SV"/>
        </w:rPr>
        <w:t>6, 889</w:t>
      </w:r>
      <w:r>
        <w:rPr>
          <w:rFonts w:eastAsia="Times New Roman" w:cstheme="minorHAnsi"/>
          <w:color w:val="222222"/>
          <w:lang w:eastAsia="es-SV"/>
        </w:rPr>
        <w:t>)</w:t>
      </w:r>
      <w:r w:rsidRPr="00BE5891">
        <w:rPr>
          <w:rFonts w:eastAsia="Times New Roman" w:cstheme="minorHAnsi"/>
          <w:color w:val="222222"/>
          <w:lang w:eastAsia="es-SV"/>
        </w:rPr>
        <w:t xml:space="preserve"> viajaron no acompañados. El comportamiento de no </w:t>
      </w:r>
      <w:r w:rsidRPr="00BE5891">
        <w:rPr>
          <w:rFonts w:eastAsia="Times New Roman" w:cstheme="minorHAnsi"/>
          <w:color w:val="222222"/>
          <w:lang w:eastAsia="es-SV"/>
        </w:rPr>
        <w:lastRenderedPageBreak/>
        <w:t xml:space="preserve">acompañados muestra que en 2016 se experimentó la mayor cantidad de niñas, niños y adolescentes no </w:t>
      </w:r>
      <w:r>
        <w:rPr>
          <w:rFonts w:eastAsia="Times New Roman" w:cstheme="minorHAnsi"/>
          <w:color w:val="222222"/>
          <w:lang w:eastAsia="es-SV"/>
        </w:rPr>
        <w:t>acompañados</w:t>
      </w:r>
      <w:r w:rsidRPr="00BE5891">
        <w:rPr>
          <w:rFonts w:eastAsia="Times New Roman" w:cstheme="minorHAnsi"/>
          <w:color w:val="222222"/>
          <w:lang w:eastAsia="es-SV"/>
        </w:rPr>
        <w:t xml:space="preserve"> tanto en cantidad como en el porcentaje del total de retornados. </w:t>
      </w:r>
    </w:p>
    <w:p w:rsidR="005F6FF5" w:rsidRPr="00BE5891" w:rsidRDefault="005F6FF5" w:rsidP="00AD3031">
      <w:pPr>
        <w:jc w:val="both"/>
        <w:rPr>
          <w:rFonts w:eastAsia="Times New Roman" w:cstheme="minorHAnsi"/>
          <w:color w:val="222222"/>
          <w:lang w:eastAsia="es-SV"/>
        </w:rPr>
      </w:pPr>
    </w:p>
    <w:p w:rsidR="00AD3031" w:rsidRPr="00EA03EF" w:rsidRDefault="00AD3031" w:rsidP="00AD3031">
      <w:pPr>
        <w:spacing w:after="0"/>
        <w:rPr>
          <w:b/>
        </w:rPr>
      </w:pPr>
      <w:r>
        <w:rPr>
          <w:b/>
        </w:rPr>
        <w:t>Tabla 1</w:t>
      </w:r>
      <w:r w:rsidRPr="00EA03EF">
        <w:rPr>
          <w:b/>
        </w:rPr>
        <w:t>. Niñas, niños y adolescentes retornados por migración irregular por años y según acompañamiento en la migración. (</w:t>
      </w:r>
      <w:r w:rsidR="00225378">
        <w:rPr>
          <w:b/>
        </w:rPr>
        <w:t>j</w:t>
      </w:r>
      <w:r w:rsidRPr="00EA03EF">
        <w:rPr>
          <w:b/>
        </w:rPr>
        <w:t>ul</w:t>
      </w:r>
      <w:r w:rsidR="00225378">
        <w:rPr>
          <w:b/>
        </w:rPr>
        <w:t>io</w:t>
      </w:r>
      <w:r w:rsidRPr="00EA03EF">
        <w:rPr>
          <w:b/>
        </w:rPr>
        <w:t xml:space="preserve"> 2014- abril 2018)</w:t>
      </w:r>
    </w:p>
    <w:tbl>
      <w:tblPr>
        <w:tblW w:w="8642" w:type="dxa"/>
        <w:tblCellMar>
          <w:left w:w="70" w:type="dxa"/>
          <w:right w:w="70" w:type="dxa"/>
        </w:tblCellMar>
        <w:tblLook w:val="04A0" w:firstRow="1" w:lastRow="0" w:firstColumn="1" w:lastColumn="0" w:noHBand="0" w:noVBand="1"/>
      </w:tblPr>
      <w:tblGrid>
        <w:gridCol w:w="2263"/>
        <w:gridCol w:w="1276"/>
        <w:gridCol w:w="900"/>
        <w:gridCol w:w="1085"/>
        <w:gridCol w:w="1417"/>
        <w:gridCol w:w="1701"/>
      </w:tblGrid>
      <w:tr w:rsidR="00AD3031" w:rsidRPr="00E05B0E" w:rsidTr="001C738F">
        <w:trPr>
          <w:trHeight w:val="630"/>
        </w:trPr>
        <w:tc>
          <w:tcPr>
            <w:tcW w:w="2263" w:type="dxa"/>
            <w:tcBorders>
              <w:top w:val="single" w:sz="4" w:space="0" w:color="auto"/>
              <w:left w:val="single" w:sz="4" w:space="0" w:color="auto"/>
              <w:bottom w:val="single" w:sz="4" w:space="0" w:color="auto"/>
              <w:right w:val="single" w:sz="4" w:space="0" w:color="auto"/>
            </w:tcBorders>
            <w:shd w:val="clear" w:color="76933C" w:fill="76933C"/>
            <w:hideMark/>
          </w:tcPr>
          <w:p w:rsidR="00AD3031" w:rsidRPr="00E05B0E" w:rsidRDefault="00AD3031" w:rsidP="001C738F">
            <w:pPr>
              <w:spacing w:after="0" w:line="240" w:lineRule="auto"/>
              <w:rPr>
                <w:rFonts w:ascii="Calibri" w:eastAsia="Times New Roman" w:hAnsi="Calibri" w:cs="Calibri"/>
                <w:color w:val="FFFFFF"/>
                <w:lang w:eastAsia="es-SV"/>
              </w:rPr>
            </w:pPr>
            <w:r w:rsidRPr="00E05B0E">
              <w:rPr>
                <w:rFonts w:ascii="Calibri" w:eastAsia="Times New Roman" w:hAnsi="Calibri" w:cs="Calibri"/>
                <w:color w:val="FFFFFF"/>
                <w:lang w:eastAsia="es-SV"/>
              </w:rPr>
              <w:t xml:space="preserve">    </w:t>
            </w:r>
            <w:r w:rsidRPr="00E95605">
              <w:rPr>
                <w:rFonts w:ascii="Calibri" w:eastAsia="Times New Roman" w:hAnsi="Calibri" w:cs="Calibri"/>
                <w:color w:val="FFFFFF"/>
                <w:lang w:eastAsia="es-SV"/>
              </w:rPr>
              <w:t xml:space="preserve">  </w:t>
            </w:r>
            <w:r w:rsidRPr="00E05B0E">
              <w:rPr>
                <w:rFonts w:ascii="Calibri" w:eastAsia="Times New Roman" w:hAnsi="Calibri" w:cs="Calibri"/>
                <w:color w:val="FFFFFF"/>
                <w:lang w:eastAsia="es-SV"/>
              </w:rPr>
              <w:t xml:space="preserve">       Acompañados     Años</w:t>
            </w:r>
          </w:p>
        </w:tc>
        <w:tc>
          <w:tcPr>
            <w:tcW w:w="1276"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E05B0E" w:rsidRDefault="00AD3031" w:rsidP="001C738F">
            <w:pPr>
              <w:spacing w:after="0" w:line="240" w:lineRule="auto"/>
              <w:jc w:val="center"/>
              <w:rPr>
                <w:rFonts w:ascii="Calibri" w:eastAsia="Times New Roman" w:hAnsi="Calibri" w:cs="Calibri"/>
                <w:color w:val="FFFFFF"/>
                <w:lang w:eastAsia="es-SV"/>
              </w:rPr>
            </w:pPr>
            <w:r w:rsidRPr="00E05B0E">
              <w:rPr>
                <w:rFonts w:ascii="Calibri" w:eastAsia="Times New Roman" w:hAnsi="Calibri" w:cs="Calibri"/>
                <w:color w:val="FFFFFF"/>
                <w:lang w:eastAsia="es-SV"/>
              </w:rPr>
              <w:t>No</w:t>
            </w:r>
          </w:p>
        </w:tc>
        <w:tc>
          <w:tcPr>
            <w:tcW w:w="900"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E05B0E" w:rsidRDefault="00AD3031" w:rsidP="001C738F">
            <w:pPr>
              <w:spacing w:after="0" w:line="240" w:lineRule="auto"/>
              <w:jc w:val="center"/>
              <w:rPr>
                <w:rFonts w:ascii="Calibri" w:eastAsia="Times New Roman" w:hAnsi="Calibri" w:cs="Calibri"/>
                <w:color w:val="FFFFFF"/>
                <w:lang w:eastAsia="es-SV"/>
              </w:rPr>
            </w:pPr>
            <w:r w:rsidRPr="00E05B0E">
              <w:rPr>
                <w:rFonts w:ascii="Calibri" w:eastAsia="Times New Roman" w:hAnsi="Calibri" w:cs="Calibri"/>
                <w:color w:val="FFFFFF"/>
                <w:lang w:eastAsia="es-SV"/>
              </w:rPr>
              <w:t>%</w:t>
            </w:r>
          </w:p>
        </w:tc>
        <w:tc>
          <w:tcPr>
            <w:tcW w:w="1085"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E05B0E" w:rsidRDefault="00AD3031" w:rsidP="001C738F">
            <w:pPr>
              <w:spacing w:after="0" w:line="240" w:lineRule="auto"/>
              <w:jc w:val="center"/>
              <w:rPr>
                <w:rFonts w:ascii="Calibri" w:eastAsia="Times New Roman" w:hAnsi="Calibri" w:cs="Calibri"/>
                <w:color w:val="FFFFFF"/>
                <w:lang w:eastAsia="es-SV"/>
              </w:rPr>
            </w:pPr>
            <w:r w:rsidRPr="00E05B0E">
              <w:rPr>
                <w:rFonts w:ascii="Calibri" w:eastAsia="Times New Roman" w:hAnsi="Calibri" w:cs="Calibri"/>
                <w:color w:val="FFFFFF"/>
                <w:lang w:eastAsia="es-SV"/>
              </w:rPr>
              <w:t>Si</w:t>
            </w:r>
          </w:p>
        </w:tc>
        <w:tc>
          <w:tcPr>
            <w:tcW w:w="1417"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E05B0E" w:rsidRDefault="00AD3031" w:rsidP="001C738F">
            <w:pPr>
              <w:spacing w:after="0" w:line="240" w:lineRule="auto"/>
              <w:jc w:val="center"/>
              <w:rPr>
                <w:rFonts w:ascii="Calibri" w:eastAsia="Times New Roman" w:hAnsi="Calibri" w:cs="Calibri"/>
                <w:color w:val="FFFFFF"/>
                <w:lang w:eastAsia="es-SV"/>
              </w:rPr>
            </w:pPr>
            <w:r w:rsidRPr="00E05B0E">
              <w:rPr>
                <w:rFonts w:ascii="Calibri" w:eastAsia="Times New Roman" w:hAnsi="Calibri" w:cs="Calibri"/>
                <w:color w:val="FFFFFF"/>
                <w:lang w:eastAsia="es-SV"/>
              </w:rPr>
              <w:t>%</w:t>
            </w:r>
          </w:p>
        </w:tc>
        <w:tc>
          <w:tcPr>
            <w:tcW w:w="1701"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E05B0E" w:rsidRDefault="00AD3031" w:rsidP="001C738F">
            <w:pPr>
              <w:spacing w:after="0" w:line="240" w:lineRule="auto"/>
              <w:jc w:val="center"/>
              <w:rPr>
                <w:rFonts w:ascii="Calibri" w:eastAsia="Times New Roman" w:hAnsi="Calibri" w:cs="Calibri"/>
                <w:color w:val="FFFFFF"/>
                <w:lang w:eastAsia="es-SV"/>
              </w:rPr>
            </w:pPr>
            <w:r w:rsidRPr="00E05B0E">
              <w:rPr>
                <w:rFonts w:ascii="Calibri" w:eastAsia="Times New Roman" w:hAnsi="Calibri" w:cs="Calibri"/>
                <w:color w:val="FFFFFF"/>
                <w:lang w:eastAsia="es-SV"/>
              </w:rPr>
              <w:t>Total general</w:t>
            </w:r>
          </w:p>
        </w:tc>
      </w:tr>
      <w:tr w:rsidR="00AD3031" w:rsidRPr="00E05B0E" w:rsidTr="001C738F">
        <w:trPr>
          <w:trHeight w:val="315"/>
        </w:trPr>
        <w:tc>
          <w:tcPr>
            <w:tcW w:w="2263" w:type="dxa"/>
            <w:tcBorders>
              <w:top w:val="nil"/>
              <w:left w:val="single" w:sz="4" w:space="0" w:color="auto"/>
              <w:bottom w:val="single" w:sz="4" w:space="0" w:color="auto"/>
              <w:right w:val="single" w:sz="4" w:space="0" w:color="auto"/>
            </w:tcBorders>
            <w:shd w:val="clear" w:color="auto" w:fill="auto"/>
            <w:noWrap/>
            <w:hideMark/>
          </w:tcPr>
          <w:p w:rsidR="00AD3031" w:rsidRPr="00E05B0E" w:rsidRDefault="00AD3031" w:rsidP="001C738F">
            <w:pPr>
              <w:spacing w:after="0" w:line="240" w:lineRule="auto"/>
              <w:rPr>
                <w:rFonts w:ascii="Calibri" w:eastAsia="Times New Roman" w:hAnsi="Calibri" w:cs="Calibri"/>
                <w:color w:val="000000"/>
                <w:lang w:eastAsia="es-SV"/>
              </w:rPr>
            </w:pPr>
            <w:r w:rsidRPr="00E05B0E">
              <w:rPr>
                <w:rFonts w:ascii="Calibri" w:eastAsia="Times New Roman" w:hAnsi="Calibri" w:cs="Calibri"/>
                <w:color w:val="000000"/>
                <w:lang w:eastAsia="es-SV"/>
              </w:rPr>
              <w:t>2014</w:t>
            </w:r>
          </w:p>
        </w:tc>
        <w:tc>
          <w:tcPr>
            <w:tcW w:w="1276"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888</w:t>
            </w:r>
          </w:p>
        </w:tc>
        <w:tc>
          <w:tcPr>
            <w:tcW w:w="900"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45.4%</w:t>
            </w:r>
          </w:p>
        </w:tc>
        <w:tc>
          <w:tcPr>
            <w:tcW w:w="1085"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1</w:t>
            </w:r>
            <w:r w:rsidRPr="00E95605">
              <w:rPr>
                <w:rFonts w:ascii="Calibri" w:eastAsia="Times New Roman" w:hAnsi="Calibri" w:cs="Calibri"/>
                <w:color w:val="000000"/>
                <w:lang w:eastAsia="es-SV"/>
              </w:rPr>
              <w:t>,</w:t>
            </w:r>
            <w:r w:rsidRPr="00E05B0E">
              <w:rPr>
                <w:rFonts w:ascii="Calibri" w:eastAsia="Times New Roman" w:hAnsi="Calibri" w:cs="Calibri"/>
                <w:color w:val="000000"/>
                <w:lang w:eastAsia="es-SV"/>
              </w:rPr>
              <w:t>066</w:t>
            </w:r>
          </w:p>
        </w:tc>
        <w:tc>
          <w:tcPr>
            <w:tcW w:w="1417"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54.6%</w:t>
            </w:r>
          </w:p>
        </w:tc>
        <w:tc>
          <w:tcPr>
            <w:tcW w:w="1701"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1</w:t>
            </w:r>
            <w:r w:rsidRPr="00E95605">
              <w:rPr>
                <w:rFonts w:ascii="Calibri" w:eastAsia="Times New Roman" w:hAnsi="Calibri" w:cs="Calibri"/>
                <w:color w:val="000000"/>
                <w:lang w:eastAsia="es-SV"/>
              </w:rPr>
              <w:t>,</w:t>
            </w:r>
            <w:r w:rsidRPr="00E05B0E">
              <w:rPr>
                <w:rFonts w:ascii="Calibri" w:eastAsia="Times New Roman" w:hAnsi="Calibri" w:cs="Calibri"/>
                <w:color w:val="000000"/>
                <w:lang w:eastAsia="es-SV"/>
              </w:rPr>
              <w:t>954</w:t>
            </w:r>
          </w:p>
        </w:tc>
      </w:tr>
      <w:tr w:rsidR="00AD3031" w:rsidRPr="00E05B0E" w:rsidTr="001C738F">
        <w:trPr>
          <w:trHeight w:val="315"/>
        </w:trPr>
        <w:tc>
          <w:tcPr>
            <w:tcW w:w="2263" w:type="dxa"/>
            <w:tcBorders>
              <w:top w:val="nil"/>
              <w:left w:val="single" w:sz="4" w:space="0" w:color="auto"/>
              <w:bottom w:val="single" w:sz="4" w:space="0" w:color="auto"/>
              <w:right w:val="single" w:sz="4" w:space="0" w:color="auto"/>
            </w:tcBorders>
            <w:shd w:val="clear" w:color="auto" w:fill="auto"/>
            <w:noWrap/>
            <w:hideMark/>
          </w:tcPr>
          <w:p w:rsidR="00AD3031" w:rsidRPr="00E05B0E" w:rsidRDefault="00AD3031" w:rsidP="001C738F">
            <w:pPr>
              <w:spacing w:after="0" w:line="240" w:lineRule="auto"/>
              <w:rPr>
                <w:rFonts w:ascii="Calibri" w:eastAsia="Times New Roman" w:hAnsi="Calibri" w:cs="Calibri"/>
                <w:color w:val="000000"/>
                <w:lang w:eastAsia="es-SV"/>
              </w:rPr>
            </w:pPr>
            <w:r w:rsidRPr="00E05B0E">
              <w:rPr>
                <w:rFonts w:ascii="Calibri" w:eastAsia="Times New Roman" w:hAnsi="Calibri" w:cs="Calibri"/>
                <w:color w:val="000000"/>
                <w:lang w:eastAsia="es-SV"/>
              </w:rPr>
              <w:t>2015</w:t>
            </w:r>
          </w:p>
        </w:tc>
        <w:tc>
          <w:tcPr>
            <w:tcW w:w="1276"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2</w:t>
            </w:r>
            <w:r w:rsidRPr="00E95605">
              <w:rPr>
                <w:rFonts w:ascii="Calibri" w:eastAsia="Times New Roman" w:hAnsi="Calibri" w:cs="Calibri"/>
                <w:color w:val="000000"/>
                <w:lang w:eastAsia="es-SV"/>
              </w:rPr>
              <w:t>,</w:t>
            </w:r>
            <w:r w:rsidRPr="00E05B0E">
              <w:rPr>
                <w:rFonts w:ascii="Calibri" w:eastAsia="Times New Roman" w:hAnsi="Calibri" w:cs="Calibri"/>
                <w:color w:val="000000"/>
                <w:lang w:eastAsia="es-SV"/>
              </w:rPr>
              <w:t>230</w:t>
            </w:r>
          </w:p>
        </w:tc>
        <w:tc>
          <w:tcPr>
            <w:tcW w:w="900"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45.1%</w:t>
            </w:r>
          </w:p>
        </w:tc>
        <w:tc>
          <w:tcPr>
            <w:tcW w:w="1085"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2</w:t>
            </w:r>
            <w:r w:rsidRPr="00E95605">
              <w:rPr>
                <w:rFonts w:ascii="Calibri" w:eastAsia="Times New Roman" w:hAnsi="Calibri" w:cs="Calibri"/>
                <w:color w:val="000000"/>
                <w:lang w:eastAsia="es-SV"/>
              </w:rPr>
              <w:t>,</w:t>
            </w:r>
            <w:r w:rsidRPr="00E05B0E">
              <w:rPr>
                <w:rFonts w:ascii="Calibri" w:eastAsia="Times New Roman" w:hAnsi="Calibri" w:cs="Calibri"/>
                <w:color w:val="000000"/>
                <w:lang w:eastAsia="es-SV"/>
              </w:rPr>
              <w:t>712</w:t>
            </w:r>
          </w:p>
        </w:tc>
        <w:tc>
          <w:tcPr>
            <w:tcW w:w="1417"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54.9%</w:t>
            </w:r>
          </w:p>
        </w:tc>
        <w:tc>
          <w:tcPr>
            <w:tcW w:w="1701"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4</w:t>
            </w:r>
            <w:r w:rsidRPr="00E95605">
              <w:rPr>
                <w:rFonts w:ascii="Calibri" w:eastAsia="Times New Roman" w:hAnsi="Calibri" w:cs="Calibri"/>
                <w:color w:val="000000"/>
                <w:lang w:eastAsia="es-SV"/>
              </w:rPr>
              <w:t>,</w:t>
            </w:r>
            <w:r w:rsidRPr="00E05B0E">
              <w:rPr>
                <w:rFonts w:ascii="Calibri" w:eastAsia="Times New Roman" w:hAnsi="Calibri" w:cs="Calibri"/>
                <w:color w:val="000000"/>
                <w:lang w:eastAsia="es-SV"/>
              </w:rPr>
              <w:t>942</w:t>
            </w:r>
          </w:p>
        </w:tc>
      </w:tr>
      <w:tr w:rsidR="00AD3031" w:rsidRPr="00E05B0E" w:rsidTr="001C738F">
        <w:trPr>
          <w:trHeight w:val="315"/>
        </w:trPr>
        <w:tc>
          <w:tcPr>
            <w:tcW w:w="2263" w:type="dxa"/>
            <w:tcBorders>
              <w:top w:val="nil"/>
              <w:left w:val="single" w:sz="4" w:space="0" w:color="auto"/>
              <w:bottom w:val="single" w:sz="4" w:space="0" w:color="auto"/>
              <w:right w:val="single" w:sz="4" w:space="0" w:color="auto"/>
            </w:tcBorders>
            <w:shd w:val="clear" w:color="auto" w:fill="auto"/>
            <w:noWrap/>
            <w:hideMark/>
          </w:tcPr>
          <w:p w:rsidR="00AD3031" w:rsidRPr="00E05B0E" w:rsidRDefault="00AD3031" w:rsidP="001C738F">
            <w:pPr>
              <w:spacing w:after="0" w:line="240" w:lineRule="auto"/>
              <w:rPr>
                <w:rFonts w:ascii="Calibri" w:eastAsia="Times New Roman" w:hAnsi="Calibri" w:cs="Calibri"/>
                <w:color w:val="000000"/>
                <w:lang w:eastAsia="es-SV"/>
              </w:rPr>
            </w:pPr>
            <w:r w:rsidRPr="00E05B0E">
              <w:rPr>
                <w:rFonts w:ascii="Calibri" w:eastAsia="Times New Roman" w:hAnsi="Calibri" w:cs="Calibri"/>
                <w:color w:val="000000"/>
                <w:lang w:eastAsia="es-SV"/>
              </w:rPr>
              <w:t>2016</w:t>
            </w:r>
          </w:p>
        </w:tc>
        <w:tc>
          <w:tcPr>
            <w:tcW w:w="1276"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2</w:t>
            </w:r>
            <w:r w:rsidRPr="00E95605">
              <w:rPr>
                <w:rFonts w:ascii="Calibri" w:eastAsia="Times New Roman" w:hAnsi="Calibri" w:cs="Calibri"/>
                <w:color w:val="000000"/>
                <w:lang w:eastAsia="es-SV"/>
              </w:rPr>
              <w:t>,</w:t>
            </w:r>
            <w:r w:rsidRPr="00E05B0E">
              <w:rPr>
                <w:rFonts w:ascii="Calibri" w:eastAsia="Times New Roman" w:hAnsi="Calibri" w:cs="Calibri"/>
                <w:color w:val="000000"/>
                <w:lang w:eastAsia="es-SV"/>
              </w:rPr>
              <w:t>666</w:t>
            </w:r>
          </w:p>
        </w:tc>
        <w:tc>
          <w:tcPr>
            <w:tcW w:w="900"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86.7%</w:t>
            </w:r>
          </w:p>
        </w:tc>
        <w:tc>
          <w:tcPr>
            <w:tcW w:w="1085"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409</w:t>
            </w:r>
          </w:p>
        </w:tc>
        <w:tc>
          <w:tcPr>
            <w:tcW w:w="1417"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13.3%</w:t>
            </w:r>
          </w:p>
        </w:tc>
        <w:tc>
          <w:tcPr>
            <w:tcW w:w="1701"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3</w:t>
            </w:r>
            <w:r w:rsidRPr="00E95605">
              <w:rPr>
                <w:rFonts w:ascii="Calibri" w:eastAsia="Times New Roman" w:hAnsi="Calibri" w:cs="Calibri"/>
                <w:color w:val="000000"/>
                <w:lang w:eastAsia="es-SV"/>
              </w:rPr>
              <w:t>,</w:t>
            </w:r>
            <w:r w:rsidRPr="00E05B0E">
              <w:rPr>
                <w:rFonts w:ascii="Calibri" w:eastAsia="Times New Roman" w:hAnsi="Calibri" w:cs="Calibri"/>
                <w:color w:val="000000"/>
                <w:lang w:eastAsia="es-SV"/>
              </w:rPr>
              <w:t>075</w:t>
            </w:r>
          </w:p>
        </w:tc>
      </w:tr>
      <w:tr w:rsidR="00AD3031" w:rsidRPr="00E05B0E" w:rsidTr="001C738F">
        <w:trPr>
          <w:trHeight w:val="315"/>
        </w:trPr>
        <w:tc>
          <w:tcPr>
            <w:tcW w:w="2263" w:type="dxa"/>
            <w:tcBorders>
              <w:top w:val="nil"/>
              <w:left w:val="single" w:sz="4" w:space="0" w:color="auto"/>
              <w:bottom w:val="single" w:sz="4" w:space="0" w:color="auto"/>
              <w:right w:val="single" w:sz="4" w:space="0" w:color="auto"/>
            </w:tcBorders>
            <w:shd w:val="clear" w:color="auto" w:fill="auto"/>
            <w:noWrap/>
            <w:hideMark/>
          </w:tcPr>
          <w:p w:rsidR="00AD3031" w:rsidRPr="00E05B0E" w:rsidRDefault="00AD3031" w:rsidP="001C738F">
            <w:pPr>
              <w:spacing w:after="0" w:line="240" w:lineRule="auto"/>
              <w:rPr>
                <w:rFonts w:ascii="Calibri" w:eastAsia="Times New Roman" w:hAnsi="Calibri" w:cs="Calibri"/>
                <w:color w:val="000000"/>
                <w:lang w:eastAsia="es-SV"/>
              </w:rPr>
            </w:pPr>
            <w:r w:rsidRPr="00E05B0E">
              <w:rPr>
                <w:rFonts w:ascii="Calibri" w:eastAsia="Times New Roman" w:hAnsi="Calibri" w:cs="Calibri"/>
                <w:color w:val="000000"/>
                <w:lang w:eastAsia="es-SV"/>
              </w:rPr>
              <w:t>2017</w:t>
            </w:r>
          </w:p>
        </w:tc>
        <w:tc>
          <w:tcPr>
            <w:tcW w:w="1276"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886</w:t>
            </w:r>
          </w:p>
        </w:tc>
        <w:tc>
          <w:tcPr>
            <w:tcW w:w="900"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79.7%</w:t>
            </w:r>
          </w:p>
        </w:tc>
        <w:tc>
          <w:tcPr>
            <w:tcW w:w="1085"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225</w:t>
            </w:r>
          </w:p>
        </w:tc>
        <w:tc>
          <w:tcPr>
            <w:tcW w:w="1417"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20.3%</w:t>
            </w:r>
          </w:p>
        </w:tc>
        <w:tc>
          <w:tcPr>
            <w:tcW w:w="1701"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1</w:t>
            </w:r>
            <w:r w:rsidRPr="00E95605">
              <w:rPr>
                <w:rFonts w:ascii="Calibri" w:eastAsia="Times New Roman" w:hAnsi="Calibri" w:cs="Calibri"/>
                <w:color w:val="000000"/>
                <w:lang w:eastAsia="es-SV"/>
              </w:rPr>
              <w:t>,</w:t>
            </w:r>
            <w:r w:rsidRPr="00E05B0E">
              <w:rPr>
                <w:rFonts w:ascii="Calibri" w:eastAsia="Times New Roman" w:hAnsi="Calibri" w:cs="Calibri"/>
                <w:color w:val="000000"/>
                <w:lang w:eastAsia="es-SV"/>
              </w:rPr>
              <w:t>111</w:t>
            </w:r>
          </w:p>
        </w:tc>
      </w:tr>
      <w:tr w:rsidR="00AD3031" w:rsidRPr="00E05B0E" w:rsidTr="001C738F">
        <w:trPr>
          <w:trHeight w:val="315"/>
        </w:trPr>
        <w:tc>
          <w:tcPr>
            <w:tcW w:w="2263" w:type="dxa"/>
            <w:tcBorders>
              <w:top w:val="nil"/>
              <w:left w:val="single" w:sz="4" w:space="0" w:color="auto"/>
              <w:bottom w:val="single" w:sz="4" w:space="0" w:color="auto"/>
              <w:right w:val="single" w:sz="4" w:space="0" w:color="auto"/>
            </w:tcBorders>
            <w:shd w:val="clear" w:color="auto" w:fill="auto"/>
            <w:noWrap/>
            <w:hideMark/>
          </w:tcPr>
          <w:p w:rsidR="00AD3031" w:rsidRPr="00E05B0E" w:rsidRDefault="00AD3031" w:rsidP="001C738F">
            <w:pPr>
              <w:spacing w:after="0" w:line="240" w:lineRule="auto"/>
              <w:rPr>
                <w:rFonts w:ascii="Calibri" w:eastAsia="Times New Roman" w:hAnsi="Calibri" w:cs="Calibri"/>
                <w:color w:val="000000"/>
                <w:lang w:eastAsia="es-SV"/>
              </w:rPr>
            </w:pPr>
            <w:r w:rsidRPr="00E05B0E">
              <w:rPr>
                <w:rFonts w:ascii="Calibri" w:eastAsia="Times New Roman" w:hAnsi="Calibri" w:cs="Calibri"/>
                <w:color w:val="000000"/>
                <w:lang w:eastAsia="es-SV"/>
              </w:rPr>
              <w:t>2018</w:t>
            </w:r>
          </w:p>
        </w:tc>
        <w:tc>
          <w:tcPr>
            <w:tcW w:w="1276"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225</w:t>
            </w:r>
          </w:p>
        </w:tc>
        <w:tc>
          <w:tcPr>
            <w:tcW w:w="900"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68.6%</w:t>
            </w:r>
          </w:p>
        </w:tc>
        <w:tc>
          <w:tcPr>
            <w:tcW w:w="1085"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103</w:t>
            </w:r>
          </w:p>
        </w:tc>
        <w:tc>
          <w:tcPr>
            <w:tcW w:w="1417"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31.4%</w:t>
            </w:r>
          </w:p>
        </w:tc>
        <w:tc>
          <w:tcPr>
            <w:tcW w:w="1701"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328</w:t>
            </w:r>
          </w:p>
        </w:tc>
      </w:tr>
      <w:tr w:rsidR="00AD3031" w:rsidRPr="00E05B0E" w:rsidTr="001C738F">
        <w:trPr>
          <w:trHeight w:val="315"/>
        </w:trPr>
        <w:tc>
          <w:tcPr>
            <w:tcW w:w="2263" w:type="dxa"/>
            <w:tcBorders>
              <w:top w:val="nil"/>
              <w:left w:val="single" w:sz="4" w:space="0" w:color="auto"/>
              <w:bottom w:val="single" w:sz="4" w:space="0" w:color="auto"/>
              <w:right w:val="single" w:sz="4" w:space="0" w:color="auto"/>
            </w:tcBorders>
            <w:shd w:val="clear" w:color="auto" w:fill="auto"/>
            <w:noWrap/>
            <w:hideMark/>
          </w:tcPr>
          <w:p w:rsidR="00AD3031" w:rsidRPr="00E05B0E" w:rsidRDefault="00AD3031" w:rsidP="001C738F">
            <w:pPr>
              <w:spacing w:after="0" w:line="240" w:lineRule="auto"/>
              <w:rPr>
                <w:rFonts w:ascii="Calibri" w:eastAsia="Times New Roman" w:hAnsi="Calibri" w:cs="Calibri"/>
                <w:b/>
                <w:bCs/>
                <w:color w:val="000000"/>
                <w:lang w:eastAsia="es-SV"/>
              </w:rPr>
            </w:pPr>
            <w:r w:rsidRPr="00E05B0E">
              <w:rPr>
                <w:rFonts w:ascii="Calibri" w:eastAsia="Times New Roman" w:hAnsi="Calibri" w:cs="Calibri"/>
                <w:b/>
                <w:bCs/>
                <w:color w:val="000000"/>
                <w:lang w:eastAsia="es-SV"/>
              </w:rPr>
              <w:t>Total general</w:t>
            </w:r>
          </w:p>
        </w:tc>
        <w:tc>
          <w:tcPr>
            <w:tcW w:w="1276"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b/>
                <w:bCs/>
                <w:color w:val="000000"/>
                <w:lang w:eastAsia="es-SV"/>
              </w:rPr>
            </w:pPr>
            <w:r w:rsidRPr="00E05B0E">
              <w:rPr>
                <w:rFonts w:ascii="Calibri" w:eastAsia="Times New Roman" w:hAnsi="Calibri" w:cs="Calibri"/>
                <w:b/>
                <w:bCs/>
                <w:color w:val="000000"/>
                <w:lang w:eastAsia="es-SV"/>
              </w:rPr>
              <w:t>6</w:t>
            </w:r>
            <w:r w:rsidRPr="00E95605">
              <w:rPr>
                <w:rFonts w:ascii="Calibri" w:eastAsia="Times New Roman" w:hAnsi="Calibri" w:cs="Calibri"/>
                <w:b/>
                <w:bCs/>
                <w:color w:val="000000"/>
                <w:lang w:eastAsia="es-SV"/>
              </w:rPr>
              <w:t>,</w:t>
            </w:r>
            <w:r w:rsidRPr="00E05B0E">
              <w:rPr>
                <w:rFonts w:ascii="Calibri" w:eastAsia="Times New Roman" w:hAnsi="Calibri" w:cs="Calibri"/>
                <w:b/>
                <w:bCs/>
                <w:color w:val="000000"/>
                <w:lang w:eastAsia="es-SV"/>
              </w:rPr>
              <w:t>895</w:t>
            </w:r>
          </w:p>
        </w:tc>
        <w:tc>
          <w:tcPr>
            <w:tcW w:w="900"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60.4%</w:t>
            </w:r>
          </w:p>
        </w:tc>
        <w:tc>
          <w:tcPr>
            <w:tcW w:w="1085"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b/>
                <w:bCs/>
                <w:color w:val="000000"/>
                <w:lang w:eastAsia="es-SV"/>
              </w:rPr>
            </w:pPr>
            <w:r w:rsidRPr="00E05B0E">
              <w:rPr>
                <w:rFonts w:ascii="Calibri" w:eastAsia="Times New Roman" w:hAnsi="Calibri" w:cs="Calibri"/>
                <w:b/>
                <w:bCs/>
                <w:color w:val="000000"/>
                <w:lang w:eastAsia="es-SV"/>
              </w:rPr>
              <w:t>4</w:t>
            </w:r>
            <w:r w:rsidRPr="00E95605">
              <w:rPr>
                <w:rFonts w:ascii="Calibri" w:eastAsia="Times New Roman" w:hAnsi="Calibri" w:cs="Calibri"/>
                <w:b/>
                <w:bCs/>
                <w:color w:val="000000"/>
                <w:lang w:eastAsia="es-SV"/>
              </w:rPr>
              <w:t>,</w:t>
            </w:r>
            <w:r w:rsidRPr="00E05B0E">
              <w:rPr>
                <w:rFonts w:ascii="Calibri" w:eastAsia="Times New Roman" w:hAnsi="Calibri" w:cs="Calibri"/>
                <w:b/>
                <w:bCs/>
                <w:color w:val="000000"/>
                <w:lang w:eastAsia="es-SV"/>
              </w:rPr>
              <w:t>515</w:t>
            </w:r>
          </w:p>
        </w:tc>
        <w:tc>
          <w:tcPr>
            <w:tcW w:w="1417"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color w:val="000000"/>
                <w:lang w:eastAsia="es-SV"/>
              </w:rPr>
            </w:pPr>
            <w:r w:rsidRPr="00E05B0E">
              <w:rPr>
                <w:rFonts w:ascii="Calibri" w:eastAsia="Times New Roman" w:hAnsi="Calibri" w:cs="Calibri"/>
                <w:color w:val="000000"/>
                <w:lang w:eastAsia="es-SV"/>
              </w:rPr>
              <w:t>39.6%</w:t>
            </w:r>
          </w:p>
        </w:tc>
        <w:tc>
          <w:tcPr>
            <w:tcW w:w="1701" w:type="dxa"/>
            <w:tcBorders>
              <w:top w:val="nil"/>
              <w:left w:val="nil"/>
              <w:bottom w:val="single" w:sz="4" w:space="0" w:color="auto"/>
              <w:right w:val="single" w:sz="4" w:space="0" w:color="auto"/>
            </w:tcBorders>
            <w:shd w:val="clear" w:color="auto" w:fill="auto"/>
            <w:noWrap/>
            <w:hideMark/>
          </w:tcPr>
          <w:p w:rsidR="00AD3031" w:rsidRPr="00E05B0E" w:rsidRDefault="00AD3031" w:rsidP="001C738F">
            <w:pPr>
              <w:spacing w:after="0" w:line="240" w:lineRule="auto"/>
              <w:jc w:val="center"/>
              <w:rPr>
                <w:rFonts w:ascii="Calibri" w:eastAsia="Times New Roman" w:hAnsi="Calibri" w:cs="Calibri"/>
                <w:b/>
                <w:bCs/>
                <w:color w:val="000000"/>
                <w:lang w:eastAsia="es-SV"/>
              </w:rPr>
            </w:pPr>
            <w:r w:rsidRPr="00E05B0E">
              <w:rPr>
                <w:rFonts w:ascii="Calibri" w:eastAsia="Times New Roman" w:hAnsi="Calibri" w:cs="Calibri"/>
                <w:b/>
                <w:bCs/>
                <w:color w:val="000000"/>
                <w:lang w:eastAsia="es-SV"/>
              </w:rPr>
              <w:t>11</w:t>
            </w:r>
            <w:r w:rsidRPr="00E95605">
              <w:rPr>
                <w:rFonts w:ascii="Calibri" w:eastAsia="Times New Roman" w:hAnsi="Calibri" w:cs="Calibri"/>
                <w:b/>
                <w:bCs/>
                <w:color w:val="000000"/>
                <w:lang w:eastAsia="es-SV"/>
              </w:rPr>
              <w:t>,</w:t>
            </w:r>
            <w:r w:rsidRPr="00E05B0E">
              <w:rPr>
                <w:rFonts w:ascii="Calibri" w:eastAsia="Times New Roman" w:hAnsi="Calibri" w:cs="Calibri"/>
                <w:b/>
                <w:bCs/>
                <w:color w:val="000000"/>
                <w:lang w:eastAsia="es-SV"/>
              </w:rPr>
              <w:t>410</w:t>
            </w:r>
          </w:p>
        </w:tc>
      </w:tr>
    </w:tbl>
    <w:p w:rsidR="00AD3031" w:rsidRPr="00E05B0E" w:rsidRDefault="00AD3031" w:rsidP="00AD3031">
      <w:pPr>
        <w:spacing w:after="0" w:line="240" w:lineRule="auto"/>
        <w:jc w:val="both"/>
        <w:rPr>
          <w:sz w:val="18"/>
          <w:szCs w:val="18"/>
        </w:rPr>
      </w:pPr>
      <w:r w:rsidRPr="00E05B0E">
        <w:rPr>
          <w:sz w:val="18"/>
          <w:szCs w:val="18"/>
        </w:rPr>
        <w:t xml:space="preserve">Fuente: Elaboración propia con base en estadísticas de entrevistas del Equipo Multidisciplinario de Protección. </w:t>
      </w:r>
    </w:p>
    <w:p w:rsidR="00AD3031" w:rsidRDefault="00AD3031" w:rsidP="00AD3031">
      <w:pPr>
        <w:spacing w:after="0"/>
        <w:jc w:val="both"/>
      </w:pPr>
    </w:p>
    <w:p w:rsidR="00AD3031" w:rsidRPr="00BE5891" w:rsidRDefault="00AD3031" w:rsidP="00AD3031">
      <w:pPr>
        <w:shd w:val="clear" w:color="auto" w:fill="FFFFFF"/>
        <w:spacing w:after="0" w:line="240" w:lineRule="auto"/>
        <w:rPr>
          <w:rFonts w:eastAsia="Times New Roman" w:cstheme="minorHAnsi"/>
          <w:b/>
          <w:color w:val="222222"/>
          <w:lang w:eastAsia="es-SV"/>
        </w:rPr>
      </w:pPr>
      <w:r w:rsidRPr="00377B25">
        <w:rPr>
          <w:rFonts w:eastAsia="Times New Roman" w:cstheme="minorHAnsi"/>
          <w:b/>
          <w:color w:val="222222"/>
          <w:lang w:eastAsia="es-SV"/>
        </w:rPr>
        <w:t>3. Reincidencia desde 2014 a 2018</w:t>
      </w:r>
    </w:p>
    <w:p w:rsidR="00AD3031" w:rsidRPr="00BE5891" w:rsidRDefault="00AD3031" w:rsidP="00AD3031">
      <w:pPr>
        <w:shd w:val="clear" w:color="auto" w:fill="FFFFFF"/>
        <w:spacing w:after="0" w:line="240" w:lineRule="auto"/>
        <w:jc w:val="both"/>
        <w:rPr>
          <w:rFonts w:eastAsia="Times New Roman" w:cstheme="minorHAnsi"/>
          <w:i/>
          <w:color w:val="222222"/>
          <w:lang w:eastAsia="es-SV"/>
        </w:rPr>
      </w:pPr>
      <w:r w:rsidRPr="00377B25">
        <w:rPr>
          <w:rFonts w:eastAsia="Times New Roman" w:cstheme="minorHAnsi"/>
          <w:i/>
          <w:color w:val="222222"/>
          <w:lang w:eastAsia="es-SV"/>
        </w:rPr>
        <w:t>- ¿Cuántos menores </w:t>
      </w:r>
      <w:r w:rsidRPr="00BE5891">
        <w:rPr>
          <w:rFonts w:eastAsia="Times New Roman" w:cstheme="minorHAnsi"/>
          <w:i/>
          <w:color w:val="222222"/>
          <w:lang w:eastAsia="es-SV"/>
        </w:rPr>
        <w:t>de</w:t>
      </w:r>
      <w:r w:rsidRPr="00377B25">
        <w:rPr>
          <w:rFonts w:eastAsia="Times New Roman" w:cstheme="minorHAnsi"/>
          <w:i/>
          <w:color w:val="222222"/>
          <w:lang w:eastAsia="es-SV"/>
        </w:rPr>
        <w:t> edad atendidos por CONNA intentaron migrar más </w:t>
      </w:r>
      <w:r w:rsidRPr="00BE5891">
        <w:rPr>
          <w:rFonts w:eastAsia="Times New Roman" w:cstheme="minorHAnsi"/>
          <w:i/>
          <w:color w:val="222222"/>
          <w:lang w:eastAsia="es-SV"/>
        </w:rPr>
        <w:t xml:space="preserve">de </w:t>
      </w:r>
      <w:r w:rsidRPr="00377B25">
        <w:rPr>
          <w:rFonts w:eastAsia="Times New Roman" w:cstheme="minorHAnsi"/>
          <w:i/>
          <w:color w:val="222222"/>
          <w:lang w:eastAsia="es-SV"/>
        </w:rPr>
        <w:t>una vez y han sido deportados en cada uno </w:t>
      </w:r>
      <w:r w:rsidRPr="00BE5891">
        <w:rPr>
          <w:rFonts w:eastAsia="Times New Roman" w:cstheme="minorHAnsi"/>
          <w:i/>
          <w:color w:val="222222"/>
          <w:lang w:eastAsia="es-SV"/>
        </w:rPr>
        <w:t>de</w:t>
      </w:r>
      <w:r w:rsidRPr="00377B25">
        <w:rPr>
          <w:rFonts w:eastAsia="Times New Roman" w:cstheme="minorHAnsi"/>
          <w:i/>
          <w:color w:val="222222"/>
          <w:lang w:eastAsia="es-SV"/>
        </w:rPr>
        <w:t> sus intentos?</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jc w:val="both"/>
      </w:pPr>
      <w:r>
        <w:t>En relación a la reincidencia, entre julio 2014 y abril de 2018, se identificaron 1,309 reincidencias (11.47%) en retornos de niñas, niños y adolescentes por migración irregular</w:t>
      </w:r>
      <w:r>
        <w:rPr>
          <w:rStyle w:val="Refdenotaalpie"/>
        </w:rPr>
        <w:footnoteReference w:id="1"/>
      </w:r>
      <w:r>
        <w:t>. En coherencia con el mayor flujo de retornados, la mayor presencia de reincidencia se identificó en 2015 y 2016.</w:t>
      </w:r>
    </w:p>
    <w:p w:rsidR="005F6FF5" w:rsidRDefault="005F6FF5" w:rsidP="00AD3031">
      <w:pPr>
        <w:jc w:val="both"/>
      </w:pPr>
    </w:p>
    <w:p w:rsidR="00AD3031" w:rsidRDefault="00AD3031" w:rsidP="00AD3031">
      <w:pPr>
        <w:spacing w:after="0"/>
        <w:jc w:val="both"/>
        <w:rPr>
          <w:b/>
        </w:rPr>
      </w:pPr>
      <w:r w:rsidRPr="00DE3B13">
        <w:rPr>
          <w:b/>
        </w:rPr>
        <w:t xml:space="preserve">Tabla </w:t>
      </w:r>
      <w:r>
        <w:rPr>
          <w:b/>
        </w:rPr>
        <w:t>2</w:t>
      </w:r>
      <w:r w:rsidRPr="00DE3B13">
        <w:rPr>
          <w:b/>
        </w:rPr>
        <w:t xml:space="preserve">. </w:t>
      </w:r>
      <w:r>
        <w:rPr>
          <w:b/>
        </w:rPr>
        <w:t>Niñas, niños y adolescentes retornados por migración irregular por años y según reincidencia. (julio 2014-abril 2018)</w:t>
      </w:r>
    </w:p>
    <w:tbl>
      <w:tblPr>
        <w:tblW w:w="8761" w:type="dxa"/>
        <w:jc w:val="center"/>
        <w:tblCellMar>
          <w:left w:w="70" w:type="dxa"/>
          <w:right w:w="70" w:type="dxa"/>
        </w:tblCellMar>
        <w:tblLook w:val="04A0" w:firstRow="1" w:lastRow="0" w:firstColumn="1" w:lastColumn="0" w:noHBand="0" w:noVBand="1"/>
      </w:tblPr>
      <w:tblGrid>
        <w:gridCol w:w="1980"/>
        <w:gridCol w:w="1748"/>
        <w:gridCol w:w="1100"/>
        <w:gridCol w:w="1593"/>
        <w:gridCol w:w="940"/>
        <w:gridCol w:w="1400"/>
      </w:tblGrid>
      <w:tr w:rsidR="00AD3031" w:rsidRPr="00AD3031" w:rsidTr="00AD3031">
        <w:trPr>
          <w:trHeight w:val="315"/>
          <w:jc w:val="center"/>
        </w:trPr>
        <w:tc>
          <w:tcPr>
            <w:tcW w:w="1980" w:type="dxa"/>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Etiquetas de fila</w:t>
            </w:r>
          </w:p>
        </w:tc>
        <w:tc>
          <w:tcPr>
            <w:tcW w:w="1748"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No reincidentes</w:t>
            </w:r>
          </w:p>
        </w:tc>
        <w:tc>
          <w:tcPr>
            <w:tcW w:w="1100"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w:t>
            </w:r>
          </w:p>
        </w:tc>
        <w:tc>
          <w:tcPr>
            <w:tcW w:w="1593"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Reincidentes</w:t>
            </w:r>
          </w:p>
        </w:tc>
        <w:tc>
          <w:tcPr>
            <w:tcW w:w="940"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w:t>
            </w:r>
          </w:p>
        </w:tc>
        <w:tc>
          <w:tcPr>
            <w:tcW w:w="1400" w:type="dxa"/>
            <w:tcBorders>
              <w:top w:val="single" w:sz="4" w:space="0" w:color="auto"/>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Total general</w:t>
            </w:r>
          </w:p>
        </w:tc>
      </w:tr>
      <w:tr w:rsidR="00AD3031" w:rsidRPr="00AD3031" w:rsidTr="00AD3031">
        <w:trPr>
          <w:trHeight w:val="31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2014</w:t>
            </w:r>
          </w:p>
        </w:tc>
        <w:tc>
          <w:tcPr>
            <w:tcW w:w="1748"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1,865</w:t>
            </w:r>
          </w:p>
        </w:tc>
        <w:tc>
          <w:tcPr>
            <w:tcW w:w="11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95.4%</w:t>
            </w:r>
          </w:p>
        </w:tc>
        <w:tc>
          <w:tcPr>
            <w:tcW w:w="1593"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89</w:t>
            </w:r>
          </w:p>
        </w:tc>
        <w:tc>
          <w:tcPr>
            <w:tcW w:w="94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4.6%</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1,954</w:t>
            </w:r>
          </w:p>
        </w:tc>
      </w:tr>
      <w:tr w:rsidR="00AD3031" w:rsidRPr="00AD3031" w:rsidTr="00AD3031">
        <w:trPr>
          <w:trHeight w:val="31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2015</w:t>
            </w:r>
          </w:p>
        </w:tc>
        <w:tc>
          <w:tcPr>
            <w:tcW w:w="1748"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4,406</w:t>
            </w:r>
          </w:p>
        </w:tc>
        <w:tc>
          <w:tcPr>
            <w:tcW w:w="11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89.2%</w:t>
            </w:r>
          </w:p>
        </w:tc>
        <w:tc>
          <w:tcPr>
            <w:tcW w:w="1593"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536</w:t>
            </w:r>
          </w:p>
        </w:tc>
        <w:tc>
          <w:tcPr>
            <w:tcW w:w="94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10.8%</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4,942</w:t>
            </w:r>
          </w:p>
        </w:tc>
      </w:tr>
      <w:tr w:rsidR="00AD3031" w:rsidRPr="00AD3031" w:rsidTr="00AD3031">
        <w:trPr>
          <w:trHeight w:val="31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2016</w:t>
            </w:r>
          </w:p>
        </w:tc>
        <w:tc>
          <w:tcPr>
            <w:tcW w:w="1748"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2,674</w:t>
            </w:r>
          </w:p>
        </w:tc>
        <w:tc>
          <w:tcPr>
            <w:tcW w:w="11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87.0%</w:t>
            </w:r>
          </w:p>
        </w:tc>
        <w:tc>
          <w:tcPr>
            <w:tcW w:w="1593"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401</w:t>
            </w:r>
          </w:p>
        </w:tc>
        <w:tc>
          <w:tcPr>
            <w:tcW w:w="94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13.0%</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3,075</w:t>
            </w:r>
          </w:p>
        </w:tc>
      </w:tr>
      <w:tr w:rsidR="00AD3031" w:rsidRPr="00AD3031" w:rsidTr="00AD3031">
        <w:trPr>
          <w:trHeight w:val="31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2017</w:t>
            </w:r>
          </w:p>
        </w:tc>
        <w:tc>
          <w:tcPr>
            <w:tcW w:w="1748"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897</w:t>
            </w:r>
          </w:p>
        </w:tc>
        <w:tc>
          <w:tcPr>
            <w:tcW w:w="11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80.7%</w:t>
            </w:r>
          </w:p>
        </w:tc>
        <w:tc>
          <w:tcPr>
            <w:tcW w:w="1593"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214</w:t>
            </w:r>
          </w:p>
        </w:tc>
        <w:tc>
          <w:tcPr>
            <w:tcW w:w="94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19.3%</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1,111</w:t>
            </w:r>
          </w:p>
        </w:tc>
      </w:tr>
      <w:tr w:rsidR="00AD3031" w:rsidRPr="00AD3031" w:rsidTr="00AD3031">
        <w:trPr>
          <w:trHeight w:val="31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2018</w:t>
            </w:r>
          </w:p>
        </w:tc>
        <w:tc>
          <w:tcPr>
            <w:tcW w:w="1748"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259</w:t>
            </w:r>
          </w:p>
        </w:tc>
        <w:tc>
          <w:tcPr>
            <w:tcW w:w="11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79.0%</w:t>
            </w:r>
          </w:p>
        </w:tc>
        <w:tc>
          <w:tcPr>
            <w:tcW w:w="1593"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69</w:t>
            </w:r>
          </w:p>
        </w:tc>
        <w:tc>
          <w:tcPr>
            <w:tcW w:w="94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21.0%</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328</w:t>
            </w:r>
          </w:p>
        </w:tc>
      </w:tr>
      <w:tr w:rsidR="00AD3031" w:rsidRPr="00AD3031" w:rsidTr="00AD3031">
        <w:trPr>
          <w:trHeight w:val="31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Total general</w:t>
            </w:r>
          </w:p>
        </w:tc>
        <w:tc>
          <w:tcPr>
            <w:tcW w:w="1748"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10,101</w:t>
            </w:r>
          </w:p>
        </w:tc>
        <w:tc>
          <w:tcPr>
            <w:tcW w:w="11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88.5%</w:t>
            </w:r>
          </w:p>
        </w:tc>
        <w:tc>
          <w:tcPr>
            <w:tcW w:w="1593"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1,309</w:t>
            </w:r>
          </w:p>
        </w:tc>
        <w:tc>
          <w:tcPr>
            <w:tcW w:w="94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11.5%</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11,410</w:t>
            </w:r>
          </w:p>
        </w:tc>
      </w:tr>
    </w:tbl>
    <w:p w:rsidR="00AD3031" w:rsidRPr="00E05B0E" w:rsidRDefault="00AD3031" w:rsidP="00AD3031">
      <w:pPr>
        <w:spacing w:after="0" w:line="240" w:lineRule="auto"/>
        <w:jc w:val="both"/>
        <w:rPr>
          <w:sz w:val="18"/>
          <w:szCs w:val="18"/>
        </w:rPr>
      </w:pPr>
      <w:r w:rsidRPr="00E05B0E">
        <w:rPr>
          <w:sz w:val="18"/>
          <w:szCs w:val="18"/>
        </w:rPr>
        <w:t xml:space="preserve">Fuente: Elaboración propia con base en estadísticas de entrevistas del Equipo Multidisciplinario de Protección. </w:t>
      </w:r>
    </w:p>
    <w:p w:rsidR="00AD3031" w:rsidRPr="0024083B" w:rsidRDefault="00AD3031" w:rsidP="00AD3031">
      <w:pPr>
        <w:spacing w:after="0"/>
        <w:rPr>
          <w:sz w:val="16"/>
          <w:szCs w:val="16"/>
        </w:rPr>
      </w:pPr>
    </w:p>
    <w:p w:rsidR="00AD3031" w:rsidRPr="0056328D" w:rsidRDefault="00AD3031" w:rsidP="00AD3031">
      <w:pPr>
        <w:shd w:val="clear" w:color="auto" w:fill="FFFFFF"/>
        <w:spacing w:after="0" w:line="240" w:lineRule="auto"/>
        <w:rPr>
          <w:rFonts w:eastAsia="Times New Roman" w:cstheme="minorHAnsi"/>
          <w:i/>
          <w:color w:val="222222"/>
          <w:lang w:eastAsia="es-SV"/>
        </w:rPr>
      </w:pPr>
      <w:r w:rsidRPr="00377B25">
        <w:rPr>
          <w:rFonts w:eastAsia="Times New Roman" w:cstheme="minorHAnsi"/>
          <w:i/>
          <w:color w:val="222222"/>
          <w:lang w:eastAsia="es-SV"/>
        </w:rPr>
        <w:t>- Detalle </w:t>
      </w:r>
      <w:r w:rsidRPr="0056328D">
        <w:rPr>
          <w:rFonts w:eastAsia="Times New Roman" w:cstheme="minorHAnsi"/>
          <w:i/>
          <w:color w:val="222222"/>
          <w:lang w:eastAsia="es-SV"/>
        </w:rPr>
        <w:t>de</w:t>
      </w:r>
      <w:r w:rsidRPr="00377B25">
        <w:rPr>
          <w:rFonts w:eastAsia="Times New Roman" w:cstheme="minorHAnsi"/>
          <w:i/>
          <w:color w:val="222222"/>
          <w:lang w:eastAsia="es-SV"/>
        </w:rPr>
        <w:t> reincidencia por género y edad</w:t>
      </w:r>
    </w:p>
    <w:p w:rsidR="00AD3031" w:rsidRDefault="00AD3031" w:rsidP="00AD3031">
      <w:pPr>
        <w:shd w:val="clear" w:color="auto" w:fill="FFFFFF"/>
        <w:spacing w:after="0" w:line="240" w:lineRule="auto"/>
        <w:rPr>
          <w:rFonts w:eastAsia="Times New Roman" w:cstheme="minorHAnsi"/>
          <w:color w:val="222222"/>
          <w:lang w:eastAsia="es-SV"/>
        </w:rPr>
      </w:pPr>
    </w:p>
    <w:p w:rsidR="00AD3031" w:rsidRDefault="00AD3031" w:rsidP="00AD3031">
      <w:pPr>
        <w:jc w:val="both"/>
      </w:pPr>
      <w:r>
        <w:t>De las 1,309 reincidencias identificadas, el 66% fueron de niños (268) y adolescentes hombres (596). En cuanto a la etapa de vida el 64.3% fueron de adolescentes hombres (596) y mujeres (246).</w:t>
      </w:r>
    </w:p>
    <w:p w:rsidR="00AD3031" w:rsidRPr="00E95605" w:rsidRDefault="00AD3031" w:rsidP="00AD3031">
      <w:pPr>
        <w:spacing w:after="0"/>
        <w:rPr>
          <w:b/>
        </w:rPr>
      </w:pPr>
      <w:r>
        <w:rPr>
          <w:b/>
        </w:rPr>
        <w:lastRenderedPageBreak/>
        <w:t>Tabla 3</w:t>
      </w:r>
      <w:r w:rsidRPr="00E95605">
        <w:rPr>
          <w:b/>
        </w:rPr>
        <w:t>. Niñas, niños y adolescentes retornados por migración irregular reincidentes, por años y según etapa de vida y sexo. (</w:t>
      </w:r>
      <w:r>
        <w:rPr>
          <w:b/>
        </w:rPr>
        <w:t>j</w:t>
      </w:r>
      <w:r w:rsidRPr="00E95605">
        <w:rPr>
          <w:b/>
        </w:rPr>
        <w:t>ul</w:t>
      </w:r>
      <w:r>
        <w:rPr>
          <w:b/>
        </w:rPr>
        <w:t>io</w:t>
      </w:r>
      <w:r w:rsidRPr="00E95605">
        <w:rPr>
          <w:b/>
        </w:rPr>
        <w:t xml:space="preserve"> 2014-abril 2018)</w:t>
      </w:r>
    </w:p>
    <w:tbl>
      <w:tblPr>
        <w:tblW w:w="8625" w:type="dxa"/>
        <w:tblCellMar>
          <w:left w:w="70" w:type="dxa"/>
          <w:right w:w="70" w:type="dxa"/>
        </w:tblCellMar>
        <w:tblLook w:val="04A0" w:firstRow="1" w:lastRow="0" w:firstColumn="1" w:lastColumn="0" w:noHBand="0" w:noVBand="1"/>
      </w:tblPr>
      <w:tblGrid>
        <w:gridCol w:w="1980"/>
        <w:gridCol w:w="992"/>
        <w:gridCol w:w="851"/>
        <w:gridCol w:w="850"/>
        <w:gridCol w:w="992"/>
        <w:gridCol w:w="851"/>
        <w:gridCol w:w="709"/>
        <w:gridCol w:w="1400"/>
      </w:tblGrid>
      <w:tr w:rsidR="00AD3031" w:rsidRPr="00AD3031" w:rsidTr="00AD3031">
        <w:trPr>
          <w:trHeight w:val="315"/>
        </w:trPr>
        <w:tc>
          <w:tcPr>
            <w:tcW w:w="1980" w:type="dxa"/>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right"/>
              <w:rPr>
                <w:rFonts w:eastAsia="Times New Roman" w:cs="Calibri"/>
                <w:b/>
                <w:bCs/>
                <w:color w:val="FFFFFF"/>
                <w:lang w:eastAsia="es-SV"/>
              </w:rPr>
            </w:pPr>
            <w:r w:rsidRPr="00AD3031">
              <w:rPr>
                <w:rFonts w:eastAsia="Times New Roman" w:cs="Calibri"/>
                <w:b/>
                <w:bCs/>
                <w:color w:val="FFFFFF"/>
                <w:lang w:eastAsia="es-SV"/>
              </w:rPr>
              <w:t>Etapa de vida</w:t>
            </w:r>
          </w:p>
        </w:tc>
        <w:tc>
          <w:tcPr>
            <w:tcW w:w="2693" w:type="dxa"/>
            <w:gridSpan w:val="3"/>
            <w:tcBorders>
              <w:top w:val="single" w:sz="4" w:space="0" w:color="auto"/>
              <w:left w:val="nil"/>
              <w:bottom w:val="single" w:sz="4" w:space="0" w:color="auto"/>
              <w:right w:val="single" w:sz="4" w:space="0" w:color="000000"/>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Niñez</w:t>
            </w:r>
          </w:p>
        </w:tc>
        <w:tc>
          <w:tcPr>
            <w:tcW w:w="2552" w:type="dxa"/>
            <w:gridSpan w:val="3"/>
            <w:tcBorders>
              <w:top w:val="single" w:sz="4" w:space="0" w:color="auto"/>
              <w:left w:val="nil"/>
              <w:bottom w:val="single" w:sz="4" w:space="0" w:color="auto"/>
              <w:right w:val="single" w:sz="4" w:space="0" w:color="000000"/>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Adolescencia</w:t>
            </w:r>
          </w:p>
        </w:tc>
        <w:tc>
          <w:tcPr>
            <w:tcW w:w="1400" w:type="dxa"/>
            <w:vMerge w:val="restart"/>
            <w:tcBorders>
              <w:top w:val="single" w:sz="4" w:space="0" w:color="auto"/>
              <w:left w:val="single" w:sz="4" w:space="0" w:color="auto"/>
              <w:bottom w:val="single" w:sz="4" w:space="0" w:color="000000"/>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Total general</w:t>
            </w:r>
          </w:p>
        </w:tc>
      </w:tr>
      <w:tr w:rsidR="00AD3031" w:rsidRPr="00AD3031" w:rsidTr="00AD3031">
        <w:trPr>
          <w:trHeight w:val="315"/>
        </w:trPr>
        <w:tc>
          <w:tcPr>
            <w:tcW w:w="1980" w:type="dxa"/>
            <w:tcBorders>
              <w:top w:val="nil"/>
              <w:left w:val="single" w:sz="4" w:space="0" w:color="auto"/>
              <w:bottom w:val="single" w:sz="4" w:space="0" w:color="auto"/>
              <w:right w:val="single" w:sz="4" w:space="0" w:color="auto"/>
            </w:tcBorders>
            <w:shd w:val="clear" w:color="76933C" w:fill="76933C"/>
            <w:vAlign w:val="center"/>
            <w:hideMark/>
          </w:tcPr>
          <w:p w:rsidR="00AD3031" w:rsidRPr="00AD3031" w:rsidRDefault="00AD3031" w:rsidP="00AD3031">
            <w:pPr>
              <w:spacing w:after="0" w:line="240" w:lineRule="auto"/>
              <w:jc w:val="right"/>
              <w:rPr>
                <w:rFonts w:eastAsia="Times New Roman" w:cs="Calibri"/>
                <w:color w:val="FFFFFF"/>
                <w:lang w:eastAsia="es-SV"/>
              </w:rPr>
            </w:pPr>
            <w:r w:rsidRPr="00AD3031">
              <w:rPr>
                <w:rFonts w:eastAsia="Times New Roman" w:cs="Calibri"/>
                <w:color w:val="FFFFFF"/>
                <w:lang w:eastAsia="es-SV"/>
              </w:rPr>
              <w:t>Sexo</w:t>
            </w:r>
          </w:p>
          <w:p w:rsidR="00AD3031" w:rsidRPr="00AD3031" w:rsidRDefault="00AD3031" w:rsidP="00AD3031">
            <w:pPr>
              <w:spacing w:after="0" w:line="240" w:lineRule="auto"/>
              <w:rPr>
                <w:rFonts w:eastAsia="Times New Roman" w:cs="Calibri"/>
                <w:color w:val="FFFFFF"/>
                <w:lang w:eastAsia="es-SV"/>
              </w:rPr>
            </w:pPr>
            <w:r w:rsidRPr="00AD3031">
              <w:rPr>
                <w:rFonts w:eastAsia="Times New Roman" w:cs="Calibri"/>
                <w:color w:val="FFFFFF"/>
                <w:lang w:eastAsia="es-SV"/>
              </w:rPr>
              <w:t>Años</w:t>
            </w:r>
          </w:p>
        </w:tc>
        <w:tc>
          <w:tcPr>
            <w:tcW w:w="992" w:type="dxa"/>
            <w:tcBorders>
              <w:top w:val="nil"/>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Hombre</w:t>
            </w:r>
          </w:p>
        </w:tc>
        <w:tc>
          <w:tcPr>
            <w:tcW w:w="851" w:type="dxa"/>
            <w:tcBorders>
              <w:top w:val="nil"/>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Mujer</w:t>
            </w:r>
          </w:p>
        </w:tc>
        <w:tc>
          <w:tcPr>
            <w:tcW w:w="850" w:type="dxa"/>
            <w:tcBorders>
              <w:top w:val="nil"/>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Total</w:t>
            </w:r>
          </w:p>
        </w:tc>
        <w:tc>
          <w:tcPr>
            <w:tcW w:w="992" w:type="dxa"/>
            <w:tcBorders>
              <w:top w:val="nil"/>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Hombre</w:t>
            </w:r>
          </w:p>
        </w:tc>
        <w:tc>
          <w:tcPr>
            <w:tcW w:w="851" w:type="dxa"/>
            <w:tcBorders>
              <w:top w:val="nil"/>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Mujer</w:t>
            </w:r>
          </w:p>
        </w:tc>
        <w:tc>
          <w:tcPr>
            <w:tcW w:w="709" w:type="dxa"/>
            <w:tcBorders>
              <w:top w:val="nil"/>
              <w:left w:val="nil"/>
              <w:bottom w:val="single" w:sz="4" w:space="0" w:color="auto"/>
              <w:right w:val="single" w:sz="4" w:space="0" w:color="auto"/>
            </w:tcBorders>
            <w:shd w:val="clear" w:color="76933C" w:fill="76933C"/>
            <w:noWrap/>
            <w:vAlign w:val="center"/>
            <w:hideMark/>
          </w:tcPr>
          <w:p w:rsidR="00AD3031" w:rsidRPr="00AD3031" w:rsidRDefault="00AD3031" w:rsidP="00AD3031">
            <w:pPr>
              <w:spacing w:after="0" w:line="240" w:lineRule="auto"/>
              <w:jc w:val="center"/>
              <w:rPr>
                <w:rFonts w:eastAsia="Times New Roman" w:cs="Calibri"/>
                <w:color w:val="FFFFFF"/>
                <w:lang w:eastAsia="es-SV"/>
              </w:rPr>
            </w:pPr>
            <w:r w:rsidRPr="00AD3031">
              <w:rPr>
                <w:rFonts w:eastAsia="Times New Roman" w:cs="Calibri"/>
                <w:color w:val="FFFFFF"/>
                <w:lang w:eastAsia="es-SV"/>
              </w:rPr>
              <w:t>Total</w:t>
            </w:r>
          </w:p>
        </w:tc>
        <w:tc>
          <w:tcPr>
            <w:tcW w:w="1400" w:type="dxa"/>
            <w:vMerge/>
            <w:tcBorders>
              <w:top w:val="single" w:sz="4" w:space="0" w:color="auto"/>
              <w:left w:val="single" w:sz="4" w:space="0" w:color="auto"/>
              <w:bottom w:val="single" w:sz="4" w:space="0" w:color="000000"/>
              <w:right w:val="single" w:sz="4" w:space="0" w:color="auto"/>
            </w:tcBorders>
            <w:vAlign w:val="center"/>
            <w:hideMark/>
          </w:tcPr>
          <w:p w:rsidR="00AD3031" w:rsidRPr="00AD3031" w:rsidRDefault="00AD3031" w:rsidP="00AD3031">
            <w:pPr>
              <w:spacing w:after="0" w:line="240" w:lineRule="auto"/>
              <w:jc w:val="center"/>
              <w:rPr>
                <w:rFonts w:eastAsia="Times New Roman" w:cs="Calibri"/>
                <w:color w:val="FFFFFF"/>
                <w:lang w:eastAsia="es-SV"/>
              </w:rPr>
            </w:pPr>
          </w:p>
        </w:tc>
      </w:tr>
      <w:tr w:rsidR="00AD3031" w:rsidRPr="00AD3031" w:rsidTr="00AD3031">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2014</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20</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19</w:t>
            </w:r>
          </w:p>
        </w:tc>
        <w:tc>
          <w:tcPr>
            <w:tcW w:w="85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39</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41</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9</w:t>
            </w:r>
          </w:p>
        </w:tc>
        <w:tc>
          <w:tcPr>
            <w:tcW w:w="709"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50</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89</w:t>
            </w:r>
          </w:p>
        </w:tc>
      </w:tr>
      <w:tr w:rsidR="00AD3031" w:rsidRPr="00AD3031" w:rsidTr="00AD3031">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2015</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122</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81</w:t>
            </w:r>
          </w:p>
        </w:tc>
        <w:tc>
          <w:tcPr>
            <w:tcW w:w="85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203</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234</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99</w:t>
            </w:r>
          </w:p>
        </w:tc>
        <w:tc>
          <w:tcPr>
            <w:tcW w:w="709"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333</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536</w:t>
            </w:r>
          </w:p>
        </w:tc>
      </w:tr>
      <w:tr w:rsidR="00AD3031" w:rsidRPr="00AD3031" w:rsidTr="00AD3031">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2016</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62</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55</w:t>
            </w:r>
          </w:p>
        </w:tc>
        <w:tc>
          <w:tcPr>
            <w:tcW w:w="85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117</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205</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79</w:t>
            </w:r>
          </w:p>
        </w:tc>
        <w:tc>
          <w:tcPr>
            <w:tcW w:w="709"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284</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401</w:t>
            </w:r>
          </w:p>
        </w:tc>
      </w:tr>
      <w:tr w:rsidR="00AD3031" w:rsidRPr="00AD3031" w:rsidTr="00AD3031">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2017</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41</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31</w:t>
            </w:r>
          </w:p>
        </w:tc>
        <w:tc>
          <w:tcPr>
            <w:tcW w:w="85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72</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94</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48</w:t>
            </w:r>
          </w:p>
        </w:tc>
        <w:tc>
          <w:tcPr>
            <w:tcW w:w="709"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142</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214</w:t>
            </w:r>
          </w:p>
        </w:tc>
      </w:tr>
      <w:tr w:rsidR="00AD3031" w:rsidRPr="00AD3031" w:rsidTr="00AD3031">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2018</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23</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13</w:t>
            </w:r>
          </w:p>
        </w:tc>
        <w:tc>
          <w:tcPr>
            <w:tcW w:w="85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36</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22</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11</w:t>
            </w:r>
          </w:p>
        </w:tc>
        <w:tc>
          <w:tcPr>
            <w:tcW w:w="709"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33</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color w:val="000000"/>
                <w:lang w:eastAsia="es-SV"/>
              </w:rPr>
            </w:pPr>
            <w:r w:rsidRPr="00AD3031">
              <w:rPr>
                <w:rFonts w:eastAsia="Times New Roman" w:cs="Calibri"/>
                <w:color w:val="000000"/>
                <w:lang w:eastAsia="es-SV"/>
              </w:rPr>
              <w:t>69</w:t>
            </w:r>
          </w:p>
        </w:tc>
      </w:tr>
      <w:tr w:rsidR="00AD3031" w:rsidRPr="00AD3031" w:rsidTr="00AD3031">
        <w:trPr>
          <w:trHeight w:val="315"/>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b/>
                <w:bCs/>
                <w:color w:val="000000"/>
                <w:lang w:eastAsia="es-SV"/>
              </w:rPr>
            </w:pPr>
            <w:r w:rsidRPr="00AD3031">
              <w:rPr>
                <w:rFonts w:eastAsia="Times New Roman" w:cs="Calibri"/>
                <w:b/>
                <w:bCs/>
                <w:color w:val="000000"/>
                <w:lang w:eastAsia="es-SV"/>
              </w:rPr>
              <w:t>Total general</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b/>
                <w:bCs/>
                <w:color w:val="000000"/>
                <w:lang w:eastAsia="es-SV"/>
              </w:rPr>
            </w:pPr>
            <w:r w:rsidRPr="00AD3031">
              <w:rPr>
                <w:rFonts w:eastAsia="Times New Roman" w:cs="Calibri"/>
                <w:b/>
                <w:bCs/>
                <w:color w:val="000000"/>
                <w:lang w:eastAsia="es-SV"/>
              </w:rPr>
              <w:t>268</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b/>
                <w:bCs/>
                <w:color w:val="000000"/>
                <w:lang w:eastAsia="es-SV"/>
              </w:rPr>
            </w:pPr>
            <w:r w:rsidRPr="00AD3031">
              <w:rPr>
                <w:rFonts w:eastAsia="Times New Roman" w:cs="Calibri"/>
                <w:b/>
                <w:bCs/>
                <w:color w:val="000000"/>
                <w:lang w:eastAsia="es-SV"/>
              </w:rPr>
              <w:t>199</w:t>
            </w:r>
          </w:p>
        </w:tc>
        <w:tc>
          <w:tcPr>
            <w:tcW w:w="85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b/>
                <w:bCs/>
                <w:color w:val="000000"/>
                <w:lang w:eastAsia="es-SV"/>
              </w:rPr>
            </w:pPr>
            <w:r w:rsidRPr="00AD3031">
              <w:rPr>
                <w:rFonts w:eastAsia="Times New Roman" w:cs="Calibri"/>
                <w:b/>
                <w:bCs/>
                <w:color w:val="000000"/>
                <w:lang w:eastAsia="es-SV"/>
              </w:rPr>
              <w:t>467</w:t>
            </w:r>
          </w:p>
        </w:tc>
        <w:tc>
          <w:tcPr>
            <w:tcW w:w="992"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b/>
                <w:bCs/>
                <w:color w:val="000000"/>
                <w:lang w:eastAsia="es-SV"/>
              </w:rPr>
            </w:pPr>
            <w:r w:rsidRPr="00AD3031">
              <w:rPr>
                <w:rFonts w:eastAsia="Times New Roman" w:cs="Calibri"/>
                <w:b/>
                <w:bCs/>
                <w:color w:val="000000"/>
                <w:lang w:eastAsia="es-SV"/>
              </w:rPr>
              <w:t>596</w:t>
            </w:r>
          </w:p>
        </w:tc>
        <w:tc>
          <w:tcPr>
            <w:tcW w:w="851"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b/>
                <w:bCs/>
                <w:color w:val="000000"/>
                <w:lang w:eastAsia="es-SV"/>
              </w:rPr>
            </w:pPr>
            <w:r w:rsidRPr="00AD3031">
              <w:rPr>
                <w:rFonts w:eastAsia="Times New Roman" w:cs="Calibri"/>
                <w:b/>
                <w:bCs/>
                <w:color w:val="000000"/>
                <w:lang w:eastAsia="es-SV"/>
              </w:rPr>
              <w:t>246</w:t>
            </w:r>
          </w:p>
        </w:tc>
        <w:tc>
          <w:tcPr>
            <w:tcW w:w="709"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b/>
                <w:bCs/>
                <w:color w:val="000000"/>
                <w:lang w:eastAsia="es-SV"/>
              </w:rPr>
            </w:pPr>
            <w:r w:rsidRPr="00AD3031">
              <w:rPr>
                <w:rFonts w:eastAsia="Times New Roman" w:cs="Calibri"/>
                <w:b/>
                <w:bCs/>
                <w:color w:val="000000"/>
                <w:lang w:eastAsia="es-SV"/>
              </w:rPr>
              <w:t>842</w:t>
            </w:r>
          </w:p>
        </w:tc>
        <w:tc>
          <w:tcPr>
            <w:tcW w:w="1400" w:type="dxa"/>
            <w:tcBorders>
              <w:top w:val="nil"/>
              <w:left w:val="nil"/>
              <w:bottom w:val="single" w:sz="4" w:space="0" w:color="auto"/>
              <w:right w:val="single" w:sz="4" w:space="0" w:color="auto"/>
            </w:tcBorders>
            <w:shd w:val="clear" w:color="auto" w:fill="auto"/>
            <w:noWrap/>
            <w:vAlign w:val="center"/>
            <w:hideMark/>
          </w:tcPr>
          <w:p w:rsidR="00AD3031" w:rsidRPr="00AD3031" w:rsidRDefault="00AD3031" w:rsidP="00AD3031">
            <w:pPr>
              <w:spacing w:after="0" w:line="240" w:lineRule="auto"/>
              <w:jc w:val="center"/>
              <w:rPr>
                <w:rFonts w:eastAsia="Times New Roman" w:cs="Calibri"/>
                <w:b/>
                <w:bCs/>
                <w:color w:val="000000"/>
                <w:lang w:eastAsia="es-SV"/>
              </w:rPr>
            </w:pPr>
            <w:r w:rsidRPr="00AD3031">
              <w:rPr>
                <w:rFonts w:eastAsia="Times New Roman" w:cs="Calibri"/>
                <w:b/>
                <w:bCs/>
                <w:color w:val="000000"/>
                <w:lang w:eastAsia="es-SV"/>
              </w:rPr>
              <w:t>1309</w:t>
            </w:r>
          </w:p>
        </w:tc>
      </w:tr>
    </w:tbl>
    <w:p w:rsidR="00AD3031" w:rsidRPr="00E05B0E" w:rsidRDefault="00AD3031" w:rsidP="00AD3031">
      <w:pPr>
        <w:spacing w:after="0" w:line="240" w:lineRule="auto"/>
        <w:jc w:val="both"/>
        <w:rPr>
          <w:sz w:val="18"/>
          <w:szCs w:val="18"/>
        </w:rPr>
      </w:pPr>
      <w:r w:rsidRPr="00E05B0E">
        <w:rPr>
          <w:sz w:val="18"/>
          <w:szCs w:val="18"/>
        </w:rPr>
        <w:t xml:space="preserve">Fuente: Elaboración propia con base en estadísticas de entrevistas del Equipo Multidisciplinario de Protección. </w:t>
      </w:r>
    </w:p>
    <w:p w:rsidR="00AD3031" w:rsidRPr="00377B25" w:rsidRDefault="00AD3031" w:rsidP="00AD3031">
      <w:pPr>
        <w:shd w:val="clear" w:color="auto" w:fill="FFFFFF"/>
        <w:spacing w:after="0" w:line="240" w:lineRule="auto"/>
        <w:rPr>
          <w:rFonts w:eastAsia="Times New Roman" w:cstheme="minorHAnsi"/>
          <w:color w:val="222222"/>
          <w:lang w:eastAsia="es-SV"/>
        </w:rPr>
      </w:pPr>
    </w:p>
    <w:p w:rsidR="00AD3031" w:rsidRPr="0056328D" w:rsidRDefault="00AD3031" w:rsidP="00AD3031">
      <w:pPr>
        <w:shd w:val="clear" w:color="auto" w:fill="FFFFFF"/>
        <w:spacing w:after="0" w:line="240" w:lineRule="auto"/>
        <w:rPr>
          <w:rFonts w:eastAsia="Times New Roman" w:cstheme="minorHAnsi"/>
          <w:i/>
          <w:color w:val="222222"/>
          <w:lang w:eastAsia="es-SV"/>
        </w:rPr>
      </w:pPr>
      <w:r w:rsidRPr="00377B25">
        <w:rPr>
          <w:rFonts w:eastAsia="Times New Roman" w:cstheme="minorHAnsi"/>
          <w:i/>
          <w:color w:val="222222"/>
          <w:lang w:eastAsia="es-SV"/>
        </w:rPr>
        <w:t>- En los últ</w:t>
      </w:r>
      <w:r w:rsidRPr="0056328D">
        <w:rPr>
          <w:rFonts w:eastAsia="Times New Roman" w:cstheme="minorHAnsi"/>
          <w:i/>
          <w:color w:val="222222"/>
          <w:lang w:eastAsia="es-SV"/>
        </w:rPr>
        <w:t>i</w:t>
      </w:r>
      <w:r w:rsidRPr="00377B25">
        <w:rPr>
          <w:rFonts w:eastAsia="Times New Roman" w:cstheme="minorHAnsi"/>
          <w:i/>
          <w:color w:val="222222"/>
          <w:lang w:eastAsia="es-SV"/>
        </w:rPr>
        <w:t>mos años, ¿la reincidencia ha incrementado o disminuido?, ¿Cuál es</w:t>
      </w:r>
      <w:r w:rsidRPr="0056328D">
        <w:rPr>
          <w:rFonts w:eastAsia="Times New Roman" w:cstheme="minorHAnsi"/>
          <w:i/>
          <w:color w:val="222222"/>
          <w:lang w:eastAsia="es-SV"/>
        </w:rPr>
        <w:t xml:space="preserve"> </w:t>
      </w:r>
      <w:r w:rsidRPr="00377B25">
        <w:rPr>
          <w:rFonts w:eastAsia="Times New Roman" w:cstheme="minorHAnsi"/>
          <w:i/>
          <w:color w:val="222222"/>
          <w:lang w:eastAsia="es-SV"/>
        </w:rPr>
        <w:t>el porcentaje?</w:t>
      </w:r>
    </w:p>
    <w:p w:rsidR="00AD3031" w:rsidRDefault="00AD3031" w:rsidP="00AD3031">
      <w:pPr>
        <w:shd w:val="clear" w:color="auto" w:fill="FFFFFF"/>
        <w:spacing w:after="0" w:line="240" w:lineRule="auto"/>
        <w:rPr>
          <w:rFonts w:eastAsia="Times New Roman" w:cstheme="minorHAnsi"/>
          <w:color w:val="222222"/>
          <w:lang w:eastAsia="es-SV"/>
        </w:rPr>
      </w:pPr>
    </w:p>
    <w:p w:rsidR="00AD3031" w:rsidRDefault="00AD3031" w:rsidP="00AD3031">
      <w:pPr>
        <w:shd w:val="clear" w:color="auto" w:fill="FFFFFF"/>
        <w:spacing w:after="0" w:line="240" w:lineRule="auto"/>
        <w:rPr>
          <w:rFonts w:eastAsia="Times New Roman" w:cstheme="minorHAnsi"/>
          <w:color w:val="222222"/>
          <w:lang w:eastAsia="es-SV"/>
        </w:rPr>
      </w:pPr>
      <w:r>
        <w:rPr>
          <w:rFonts w:eastAsia="Times New Roman" w:cstheme="minorHAnsi"/>
          <w:color w:val="222222"/>
          <w:lang w:eastAsia="es-SV"/>
        </w:rPr>
        <w:t>En el periodo analizado, la reincidencia ha mostrado dos comportamientos:</w:t>
      </w:r>
    </w:p>
    <w:p w:rsidR="00AD3031" w:rsidRDefault="00AD3031" w:rsidP="00AD3031">
      <w:pPr>
        <w:pStyle w:val="Prrafodelista"/>
        <w:numPr>
          <w:ilvl w:val="0"/>
          <w:numId w:val="47"/>
        </w:numPr>
        <w:shd w:val="clear" w:color="auto" w:fill="FFFFFF"/>
        <w:spacing w:after="0" w:line="240" w:lineRule="auto"/>
        <w:rPr>
          <w:rFonts w:eastAsia="Times New Roman" w:cstheme="minorHAnsi"/>
          <w:color w:val="222222"/>
          <w:lang w:eastAsia="es-SV"/>
        </w:rPr>
      </w:pPr>
      <w:r>
        <w:rPr>
          <w:rFonts w:eastAsia="Times New Roman" w:cstheme="minorHAnsi"/>
          <w:color w:val="222222"/>
          <w:lang w:eastAsia="es-SV"/>
        </w:rPr>
        <w:t xml:space="preserve">De julio 2014 a diciembre 2016, mostro una tendencia creciente, pasando de 89 a 401 niñas, niños y adolescentes reincidentes, lo que representa un crecimiento del 350%. </w:t>
      </w:r>
    </w:p>
    <w:p w:rsidR="00AD3031" w:rsidRPr="0056328D" w:rsidRDefault="00AD3031" w:rsidP="00AD3031">
      <w:pPr>
        <w:pStyle w:val="Prrafodelista"/>
        <w:numPr>
          <w:ilvl w:val="0"/>
          <w:numId w:val="47"/>
        </w:numPr>
        <w:shd w:val="clear" w:color="auto" w:fill="FFFFFF"/>
        <w:spacing w:after="0" w:line="240" w:lineRule="auto"/>
        <w:rPr>
          <w:rFonts w:eastAsia="Times New Roman" w:cstheme="minorHAnsi"/>
          <w:color w:val="222222"/>
          <w:lang w:eastAsia="es-SV"/>
        </w:rPr>
      </w:pPr>
      <w:r>
        <w:rPr>
          <w:rFonts w:eastAsia="Times New Roman" w:cstheme="minorHAnsi"/>
          <w:color w:val="222222"/>
          <w:lang w:eastAsia="es-SV"/>
        </w:rPr>
        <w:t>De diciembre 2016 a abril 2018, ha mostrado una tendencia decreciente pasando de 401 a 69, una reducción del 82.8%.</w:t>
      </w:r>
    </w:p>
    <w:p w:rsidR="00AD3031" w:rsidRPr="00377B25" w:rsidRDefault="00AD3031" w:rsidP="00AD3031">
      <w:pPr>
        <w:shd w:val="clear" w:color="auto" w:fill="FFFFFF"/>
        <w:spacing w:after="0" w:line="240" w:lineRule="auto"/>
        <w:rPr>
          <w:rFonts w:eastAsia="Times New Roman" w:cstheme="minorHAnsi"/>
          <w:color w:val="222222"/>
          <w:lang w:eastAsia="es-SV"/>
        </w:rPr>
      </w:pPr>
    </w:p>
    <w:p w:rsidR="00AD3031" w:rsidRPr="00996EAB" w:rsidRDefault="00AD3031" w:rsidP="00AD3031">
      <w:pPr>
        <w:shd w:val="clear" w:color="auto" w:fill="FFFFFF"/>
        <w:spacing w:after="0" w:line="240" w:lineRule="auto"/>
        <w:rPr>
          <w:rFonts w:eastAsia="Times New Roman" w:cstheme="minorHAnsi"/>
          <w:b/>
          <w:color w:val="222222"/>
          <w:lang w:eastAsia="es-SV"/>
        </w:rPr>
      </w:pPr>
      <w:r w:rsidRPr="00377B25">
        <w:rPr>
          <w:rFonts w:eastAsia="Times New Roman" w:cstheme="minorHAnsi"/>
          <w:b/>
          <w:color w:val="222222"/>
          <w:lang w:eastAsia="es-SV"/>
        </w:rPr>
        <w:t>4. ¿Cuáles son las razones principales que impulsa la migración infant</w:t>
      </w:r>
      <w:r w:rsidRPr="00996EAB">
        <w:rPr>
          <w:rFonts w:eastAsia="Times New Roman" w:cstheme="minorHAnsi"/>
          <w:b/>
          <w:color w:val="222222"/>
          <w:lang w:eastAsia="es-SV"/>
        </w:rPr>
        <w:t>i</w:t>
      </w:r>
      <w:r w:rsidRPr="00377B25">
        <w:rPr>
          <w:rFonts w:eastAsia="Times New Roman" w:cstheme="minorHAnsi"/>
          <w:b/>
          <w:color w:val="222222"/>
          <w:lang w:eastAsia="es-SV"/>
        </w:rPr>
        <w:t>l?</w:t>
      </w:r>
    </w:p>
    <w:p w:rsidR="00AD3031" w:rsidRDefault="00AD3031" w:rsidP="00AD3031">
      <w:pPr>
        <w:spacing w:after="0"/>
        <w:jc w:val="both"/>
      </w:pPr>
      <w:r>
        <w:t xml:space="preserve">Dentro de las principales razones de migración que se mencionan por parte de los 11.410 niñas, niños adolescentes y jóvenes identificados en las entrevistas del Equipo Multidisciplinario de Protección del CONNA, tenemos la búsqueda de mejores condiciones de vida (31.26%), la reunificación familiar con 31.15% y las amenazas con el 21.58%. </w:t>
      </w:r>
    </w:p>
    <w:p w:rsidR="00AD3031" w:rsidRPr="0024083B" w:rsidRDefault="00AD3031" w:rsidP="00AD3031">
      <w:pPr>
        <w:spacing w:after="0"/>
        <w:rPr>
          <w:sz w:val="16"/>
          <w:szCs w:val="16"/>
        </w:rPr>
      </w:pPr>
    </w:p>
    <w:p w:rsidR="00AD3031" w:rsidRDefault="00AD3031" w:rsidP="00AD3031">
      <w:pPr>
        <w:spacing w:after="0"/>
        <w:jc w:val="center"/>
        <w:rPr>
          <w:b/>
        </w:rPr>
      </w:pPr>
      <w:r w:rsidRPr="009630E0">
        <w:rPr>
          <w:b/>
        </w:rPr>
        <w:t>Tabla 4. Motivos de migración expresados por los entrevistados en relación a niñas, niños y adolescentes retornados entre julio 2014 y abril 2018.</w:t>
      </w:r>
      <w:r>
        <w:rPr>
          <w:b/>
        </w:rPr>
        <w:t xml:space="preserve"> (En porcentajes)</w:t>
      </w:r>
    </w:p>
    <w:p w:rsidR="00AD3031" w:rsidRPr="009630E0" w:rsidRDefault="00AD3031" w:rsidP="00AD3031">
      <w:pPr>
        <w:spacing w:after="0"/>
        <w:rPr>
          <w:b/>
        </w:rPr>
      </w:pPr>
    </w:p>
    <w:tbl>
      <w:tblPr>
        <w:tblW w:w="5241" w:type="dxa"/>
        <w:jc w:val="center"/>
        <w:tblCellMar>
          <w:left w:w="70" w:type="dxa"/>
          <w:right w:w="70" w:type="dxa"/>
        </w:tblCellMar>
        <w:tblLook w:val="04A0" w:firstRow="1" w:lastRow="0" w:firstColumn="1" w:lastColumn="0" w:noHBand="0" w:noVBand="1"/>
      </w:tblPr>
      <w:tblGrid>
        <w:gridCol w:w="3681"/>
        <w:gridCol w:w="1560"/>
      </w:tblGrid>
      <w:tr w:rsidR="00AD3031" w:rsidRPr="0024083B" w:rsidTr="001C738F">
        <w:trPr>
          <w:trHeight w:val="315"/>
          <w:jc w:val="center"/>
        </w:trPr>
        <w:tc>
          <w:tcPr>
            <w:tcW w:w="3681" w:type="dxa"/>
            <w:tcBorders>
              <w:top w:val="single" w:sz="4" w:space="0" w:color="auto"/>
              <w:left w:val="single" w:sz="4" w:space="0" w:color="auto"/>
              <w:bottom w:val="single" w:sz="4" w:space="0" w:color="auto"/>
              <w:right w:val="single" w:sz="4" w:space="0" w:color="auto"/>
            </w:tcBorders>
            <w:shd w:val="clear" w:color="000000" w:fill="76933C"/>
            <w:noWrap/>
            <w:hideMark/>
          </w:tcPr>
          <w:p w:rsidR="00AD3031" w:rsidRPr="0024083B" w:rsidRDefault="00AD3031" w:rsidP="001C738F">
            <w:pPr>
              <w:spacing w:after="0" w:line="240" w:lineRule="auto"/>
              <w:jc w:val="center"/>
              <w:rPr>
                <w:rFonts w:ascii="Calibri" w:eastAsia="Times New Roman" w:hAnsi="Calibri" w:cs="Calibri"/>
                <w:color w:val="FFFFFF"/>
                <w:lang w:eastAsia="es-SV"/>
              </w:rPr>
            </w:pPr>
            <w:r w:rsidRPr="0024083B">
              <w:rPr>
                <w:rFonts w:ascii="Calibri" w:eastAsia="Times New Roman" w:hAnsi="Calibri" w:cs="Calibri"/>
                <w:color w:val="FFFFFF"/>
                <w:lang w:eastAsia="es-SV"/>
              </w:rPr>
              <w:t>Motivos</w:t>
            </w:r>
          </w:p>
        </w:tc>
        <w:tc>
          <w:tcPr>
            <w:tcW w:w="1560" w:type="dxa"/>
            <w:tcBorders>
              <w:top w:val="single" w:sz="4" w:space="0" w:color="auto"/>
              <w:left w:val="nil"/>
              <w:bottom w:val="single" w:sz="4" w:space="0" w:color="auto"/>
              <w:right w:val="single" w:sz="4" w:space="0" w:color="auto"/>
            </w:tcBorders>
            <w:shd w:val="clear" w:color="000000" w:fill="76933C"/>
            <w:noWrap/>
            <w:hideMark/>
          </w:tcPr>
          <w:p w:rsidR="00AD3031" w:rsidRPr="0024083B" w:rsidRDefault="00AD3031" w:rsidP="001C738F">
            <w:pPr>
              <w:spacing w:after="0" w:line="240" w:lineRule="auto"/>
              <w:jc w:val="center"/>
              <w:rPr>
                <w:rFonts w:ascii="Calibri" w:eastAsia="Times New Roman" w:hAnsi="Calibri" w:cs="Calibri"/>
                <w:color w:val="FFFFFF"/>
                <w:lang w:eastAsia="es-SV"/>
              </w:rPr>
            </w:pPr>
            <w:r w:rsidRPr="0024083B">
              <w:rPr>
                <w:rFonts w:ascii="Calibri" w:eastAsia="Times New Roman" w:hAnsi="Calibri" w:cs="Calibri"/>
                <w:color w:val="FFFFFF"/>
                <w:lang w:eastAsia="es-SV"/>
              </w:rPr>
              <w:t>Total periodo</w:t>
            </w:r>
          </w:p>
        </w:tc>
      </w:tr>
      <w:tr w:rsidR="00AD3031" w:rsidRPr="0024083B" w:rsidTr="001C738F">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Mejores condiciones de vida</w:t>
            </w:r>
          </w:p>
        </w:tc>
        <w:tc>
          <w:tcPr>
            <w:tcW w:w="1560" w:type="dxa"/>
            <w:tcBorders>
              <w:top w:val="nil"/>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31.26%</w:t>
            </w:r>
          </w:p>
        </w:tc>
      </w:tr>
      <w:tr w:rsidR="00AD3031" w:rsidRPr="0024083B" w:rsidTr="001C738F">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Reunificación familiar</w:t>
            </w:r>
          </w:p>
        </w:tc>
        <w:tc>
          <w:tcPr>
            <w:tcW w:w="1560" w:type="dxa"/>
            <w:tcBorders>
              <w:top w:val="nil"/>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31.15%</w:t>
            </w:r>
          </w:p>
        </w:tc>
      </w:tr>
      <w:tr w:rsidR="00AD3031" w:rsidRPr="0024083B" w:rsidTr="001C738F">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Amenazas</w:t>
            </w:r>
          </w:p>
        </w:tc>
        <w:tc>
          <w:tcPr>
            <w:tcW w:w="1560" w:type="dxa"/>
            <w:tcBorders>
              <w:top w:val="nil"/>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21.58%</w:t>
            </w:r>
          </w:p>
        </w:tc>
      </w:tr>
      <w:tr w:rsidR="00AD3031" w:rsidRPr="0024083B" w:rsidTr="001C738F">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Acoso de grupos delincuenciales</w:t>
            </w:r>
          </w:p>
        </w:tc>
        <w:tc>
          <w:tcPr>
            <w:tcW w:w="1560" w:type="dxa"/>
            <w:tcBorders>
              <w:top w:val="nil"/>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8.85%</w:t>
            </w:r>
          </w:p>
        </w:tc>
      </w:tr>
      <w:tr w:rsidR="00AD3031" w:rsidRPr="0024083B" w:rsidTr="001C738F">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Otro</w:t>
            </w:r>
          </w:p>
        </w:tc>
        <w:tc>
          <w:tcPr>
            <w:tcW w:w="1560" w:type="dxa"/>
            <w:tcBorders>
              <w:top w:val="nil"/>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3.71%</w:t>
            </w:r>
          </w:p>
        </w:tc>
      </w:tr>
      <w:tr w:rsidR="00AD3031" w:rsidRPr="0024083B" w:rsidTr="001C738F">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Razón desconocida</w:t>
            </w:r>
          </w:p>
        </w:tc>
        <w:tc>
          <w:tcPr>
            <w:tcW w:w="1560" w:type="dxa"/>
            <w:tcBorders>
              <w:top w:val="nil"/>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1.83%</w:t>
            </w:r>
          </w:p>
        </w:tc>
      </w:tr>
      <w:tr w:rsidR="00AD3031" w:rsidRPr="0024083B" w:rsidTr="001C738F">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Extorsión</w:t>
            </w:r>
          </w:p>
        </w:tc>
        <w:tc>
          <w:tcPr>
            <w:tcW w:w="1560" w:type="dxa"/>
            <w:tcBorders>
              <w:top w:val="nil"/>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1.08%</w:t>
            </w:r>
          </w:p>
        </w:tc>
      </w:tr>
      <w:tr w:rsidR="00AD3031" w:rsidRPr="0024083B" w:rsidTr="001C738F">
        <w:trPr>
          <w:trHeight w:val="315"/>
          <w:jc w:val="center"/>
        </w:trPr>
        <w:tc>
          <w:tcPr>
            <w:tcW w:w="3681" w:type="dxa"/>
            <w:tcBorders>
              <w:top w:val="nil"/>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Violencia familiar</w:t>
            </w:r>
          </w:p>
        </w:tc>
        <w:tc>
          <w:tcPr>
            <w:tcW w:w="1560" w:type="dxa"/>
            <w:tcBorders>
              <w:top w:val="nil"/>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0.54%</w:t>
            </w:r>
          </w:p>
        </w:tc>
      </w:tr>
      <w:tr w:rsidR="00AD3031" w:rsidRPr="0024083B" w:rsidTr="001C738F">
        <w:trPr>
          <w:trHeight w:val="402"/>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hideMark/>
          </w:tcPr>
          <w:p w:rsidR="00AD3031" w:rsidRPr="0024083B" w:rsidRDefault="00AD3031" w:rsidP="001C738F">
            <w:pPr>
              <w:spacing w:after="0" w:line="240" w:lineRule="auto"/>
              <w:rPr>
                <w:rFonts w:ascii="Calibri" w:eastAsia="Times New Roman" w:hAnsi="Calibri" w:cs="Calibri"/>
                <w:color w:val="000000"/>
                <w:lang w:eastAsia="es-SV"/>
              </w:rPr>
            </w:pPr>
            <w:r w:rsidRPr="0024083B">
              <w:rPr>
                <w:rFonts w:ascii="Calibri" w:eastAsia="Times New Roman" w:hAnsi="Calibri" w:cs="Calibri"/>
                <w:color w:val="000000"/>
                <w:lang w:eastAsia="es-SV"/>
              </w:rPr>
              <w:t>Total</w:t>
            </w:r>
          </w:p>
        </w:tc>
        <w:tc>
          <w:tcPr>
            <w:tcW w:w="1560" w:type="dxa"/>
            <w:tcBorders>
              <w:top w:val="single" w:sz="4" w:space="0" w:color="auto"/>
              <w:left w:val="nil"/>
              <w:bottom w:val="single" w:sz="4" w:space="0" w:color="auto"/>
              <w:right w:val="single" w:sz="4" w:space="0" w:color="auto"/>
            </w:tcBorders>
            <w:shd w:val="clear" w:color="auto" w:fill="auto"/>
            <w:noWrap/>
            <w:hideMark/>
          </w:tcPr>
          <w:p w:rsidR="00AD3031" w:rsidRPr="0024083B" w:rsidRDefault="00AD3031" w:rsidP="001C738F">
            <w:pPr>
              <w:spacing w:after="0" w:line="240" w:lineRule="auto"/>
              <w:jc w:val="right"/>
              <w:rPr>
                <w:rFonts w:ascii="Calibri" w:eastAsia="Times New Roman" w:hAnsi="Calibri" w:cs="Calibri"/>
                <w:color w:val="000000"/>
                <w:lang w:eastAsia="es-SV"/>
              </w:rPr>
            </w:pPr>
            <w:r w:rsidRPr="0024083B">
              <w:rPr>
                <w:rFonts w:ascii="Calibri" w:eastAsia="Times New Roman" w:hAnsi="Calibri" w:cs="Calibri"/>
                <w:color w:val="000000"/>
                <w:lang w:eastAsia="es-SV"/>
              </w:rPr>
              <w:t>100.00%</w:t>
            </w:r>
          </w:p>
        </w:tc>
      </w:tr>
    </w:tbl>
    <w:p w:rsidR="00AD3031" w:rsidRPr="00E05B0E" w:rsidRDefault="00AD3031" w:rsidP="00AD3031">
      <w:pPr>
        <w:spacing w:after="0" w:line="240" w:lineRule="auto"/>
        <w:ind w:left="1701" w:right="1892"/>
        <w:jc w:val="both"/>
        <w:rPr>
          <w:sz w:val="18"/>
          <w:szCs w:val="18"/>
        </w:rPr>
      </w:pPr>
      <w:r w:rsidRPr="00E05B0E">
        <w:rPr>
          <w:sz w:val="18"/>
          <w:szCs w:val="18"/>
        </w:rPr>
        <w:t xml:space="preserve">Fuente: Elaboración propia con base en estadísticas de entrevistas del Equipo Multidisciplinario de Protección. </w:t>
      </w:r>
    </w:p>
    <w:p w:rsidR="00AD3031" w:rsidRDefault="00AD3031" w:rsidP="00AD3031">
      <w:pPr>
        <w:shd w:val="clear" w:color="auto" w:fill="FFFFFF"/>
        <w:spacing w:after="0" w:line="240" w:lineRule="auto"/>
        <w:rPr>
          <w:rFonts w:eastAsia="Times New Roman" w:cstheme="minorHAnsi"/>
          <w:color w:val="222222"/>
          <w:lang w:eastAsia="es-SV"/>
        </w:rPr>
      </w:pPr>
    </w:p>
    <w:p w:rsidR="00AD3031" w:rsidRDefault="00AD3031" w:rsidP="00AD3031">
      <w:pPr>
        <w:shd w:val="clear" w:color="auto" w:fill="FFFFFF"/>
        <w:spacing w:after="0" w:line="240" w:lineRule="auto"/>
        <w:jc w:val="both"/>
        <w:rPr>
          <w:rFonts w:eastAsia="Times New Roman" w:cstheme="minorHAnsi"/>
          <w:b/>
          <w:color w:val="222222"/>
          <w:lang w:eastAsia="es-SV"/>
        </w:rPr>
      </w:pPr>
    </w:p>
    <w:p w:rsidR="00AD3031" w:rsidRPr="00996EAB" w:rsidRDefault="00AD3031" w:rsidP="00AD3031">
      <w:pPr>
        <w:shd w:val="clear" w:color="auto" w:fill="FFFFFF"/>
        <w:spacing w:after="0" w:line="240" w:lineRule="auto"/>
        <w:jc w:val="both"/>
        <w:rPr>
          <w:rFonts w:eastAsia="Times New Roman" w:cstheme="minorHAnsi"/>
          <w:b/>
          <w:color w:val="222222"/>
          <w:lang w:eastAsia="es-SV"/>
        </w:rPr>
      </w:pPr>
      <w:r w:rsidRPr="00377B25">
        <w:rPr>
          <w:rFonts w:eastAsia="Times New Roman" w:cstheme="minorHAnsi"/>
          <w:b/>
          <w:color w:val="222222"/>
          <w:lang w:eastAsia="es-SV"/>
        </w:rPr>
        <w:lastRenderedPageBreak/>
        <w:t>5. ¿Cuántos menores </w:t>
      </w:r>
      <w:r w:rsidRPr="00996EAB">
        <w:rPr>
          <w:rFonts w:eastAsia="Times New Roman" w:cstheme="minorHAnsi"/>
          <w:b/>
          <w:color w:val="222222"/>
          <w:lang w:eastAsia="es-SV"/>
        </w:rPr>
        <w:t>de</w:t>
      </w:r>
      <w:r w:rsidRPr="00377B25">
        <w:rPr>
          <w:rFonts w:eastAsia="Times New Roman" w:cstheme="minorHAnsi"/>
          <w:b/>
          <w:color w:val="222222"/>
          <w:lang w:eastAsia="es-SV"/>
        </w:rPr>
        <w:t> edad que han sido deportados más </w:t>
      </w:r>
      <w:r w:rsidRPr="00996EAB">
        <w:rPr>
          <w:rFonts w:eastAsia="Times New Roman" w:cstheme="minorHAnsi"/>
          <w:b/>
          <w:color w:val="222222"/>
          <w:lang w:eastAsia="es-SV"/>
        </w:rPr>
        <w:t>de</w:t>
      </w:r>
      <w:r w:rsidRPr="00377B25">
        <w:rPr>
          <w:rFonts w:eastAsia="Times New Roman" w:cstheme="minorHAnsi"/>
          <w:b/>
          <w:color w:val="222222"/>
          <w:lang w:eastAsia="es-SV"/>
        </w:rPr>
        <w:t> una vez fueron</w:t>
      </w:r>
      <w:r w:rsidRPr="00996EAB">
        <w:rPr>
          <w:rFonts w:eastAsia="Times New Roman" w:cstheme="minorHAnsi"/>
          <w:b/>
          <w:color w:val="222222"/>
          <w:lang w:eastAsia="es-SV"/>
        </w:rPr>
        <w:t xml:space="preserve"> </w:t>
      </w:r>
      <w:r w:rsidRPr="00377B25">
        <w:rPr>
          <w:rFonts w:eastAsia="Times New Roman" w:cstheme="minorHAnsi"/>
          <w:b/>
          <w:color w:val="222222"/>
          <w:lang w:eastAsia="es-SV"/>
        </w:rPr>
        <w:t>acogidos </w:t>
      </w:r>
      <w:r w:rsidRPr="00996EAB">
        <w:rPr>
          <w:rFonts w:eastAsia="Times New Roman" w:cstheme="minorHAnsi"/>
          <w:b/>
          <w:color w:val="222222"/>
          <w:lang w:eastAsia="es-SV"/>
        </w:rPr>
        <w:t>de</w:t>
      </w:r>
      <w:r w:rsidRPr="00377B25">
        <w:rPr>
          <w:rFonts w:eastAsia="Times New Roman" w:cstheme="minorHAnsi"/>
          <w:b/>
          <w:color w:val="222222"/>
          <w:lang w:eastAsia="es-SV"/>
        </w:rPr>
        <w:t> emergencia?</w:t>
      </w:r>
    </w:p>
    <w:p w:rsidR="00AD3031" w:rsidRPr="00A85A92" w:rsidRDefault="00AD3031" w:rsidP="00AD3031">
      <w:pPr>
        <w:shd w:val="clear" w:color="auto" w:fill="FFFFFF"/>
        <w:spacing w:after="0" w:line="240" w:lineRule="auto"/>
        <w:jc w:val="both"/>
        <w:rPr>
          <w:rFonts w:eastAsia="Times New Roman" w:cstheme="minorHAnsi"/>
          <w:i/>
          <w:color w:val="222222"/>
          <w:lang w:eastAsia="es-SV"/>
        </w:rPr>
      </w:pPr>
      <w:r w:rsidRPr="00377B25">
        <w:rPr>
          <w:rFonts w:eastAsia="Times New Roman" w:cstheme="minorHAnsi"/>
          <w:i/>
          <w:color w:val="222222"/>
          <w:lang w:eastAsia="es-SV"/>
        </w:rPr>
        <w:t>- Detalle por edad, género y centro </w:t>
      </w:r>
      <w:r w:rsidRPr="00A85A92">
        <w:rPr>
          <w:rFonts w:eastAsia="Times New Roman" w:cstheme="minorHAnsi"/>
          <w:i/>
          <w:color w:val="222222"/>
          <w:lang w:eastAsia="es-SV"/>
        </w:rPr>
        <w:t>de</w:t>
      </w:r>
      <w:r w:rsidRPr="00377B25">
        <w:rPr>
          <w:rFonts w:eastAsia="Times New Roman" w:cstheme="minorHAnsi"/>
          <w:i/>
          <w:color w:val="222222"/>
          <w:lang w:eastAsia="es-SV"/>
        </w:rPr>
        <w:t> acogimiento donde ingresaron durante el</w:t>
      </w:r>
      <w:r w:rsidRPr="00A85A92">
        <w:rPr>
          <w:rFonts w:eastAsia="Times New Roman" w:cstheme="minorHAnsi"/>
          <w:i/>
          <w:color w:val="222222"/>
          <w:lang w:eastAsia="es-SV"/>
        </w:rPr>
        <w:t xml:space="preserve"> </w:t>
      </w:r>
      <w:r w:rsidRPr="00377B25">
        <w:rPr>
          <w:rFonts w:eastAsia="Times New Roman" w:cstheme="minorHAnsi"/>
          <w:i/>
          <w:color w:val="222222"/>
          <w:lang w:eastAsia="es-SV"/>
        </w:rPr>
        <w:t>periodo </w:t>
      </w:r>
      <w:r w:rsidRPr="00A85A92">
        <w:rPr>
          <w:rFonts w:eastAsia="Times New Roman" w:cstheme="minorHAnsi"/>
          <w:i/>
          <w:color w:val="222222"/>
          <w:lang w:eastAsia="es-SV"/>
        </w:rPr>
        <w:t>de</w:t>
      </w:r>
      <w:r w:rsidRPr="00377B25">
        <w:rPr>
          <w:rFonts w:eastAsia="Times New Roman" w:cstheme="minorHAnsi"/>
          <w:i/>
          <w:color w:val="222222"/>
          <w:lang w:eastAsia="es-SV"/>
        </w:rPr>
        <w:t> 2014 a 2018</w:t>
      </w:r>
      <w:r w:rsidRPr="00A85A92">
        <w:rPr>
          <w:rFonts w:eastAsia="Times New Roman" w:cstheme="minorHAnsi"/>
          <w:i/>
          <w:color w:val="222222"/>
          <w:lang w:eastAsia="es-SV"/>
        </w:rPr>
        <w:t>.</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jc w:val="both"/>
      </w:pPr>
      <w:r>
        <w:t>En relación a las acciones tomadas frente a casos de niñas, niños y adolescentes retornados por migración irregular que reinciden, 943(72.04%) fueron entregados con notificación a Junta de Protección correspondiente para efecto de dictar medidas de protección. Únicamente para 8 (0.61%) niñas, niños y adolescentes se dictó acogimiento de emergencia.</w:t>
      </w:r>
    </w:p>
    <w:p w:rsidR="00AD3031" w:rsidRPr="00825DB0" w:rsidRDefault="00AD3031" w:rsidP="00AD3031">
      <w:pPr>
        <w:jc w:val="center"/>
        <w:rPr>
          <w:b/>
        </w:rPr>
      </w:pPr>
      <w:r w:rsidRPr="00825DB0">
        <w:rPr>
          <w:b/>
        </w:rPr>
        <w:t>Tabla</w:t>
      </w:r>
      <w:r>
        <w:rPr>
          <w:b/>
        </w:rPr>
        <w:t xml:space="preserve"> 5</w:t>
      </w:r>
      <w:r w:rsidRPr="00825DB0">
        <w:rPr>
          <w:b/>
        </w:rPr>
        <w:t xml:space="preserve">. </w:t>
      </w:r>
      <w:r>
        <w:rPr>
          <w:b/>
        </w:rPr>
        <w:t>N</w:t>
      </w:r>
      <w:r w:rsidRPr="00825DB0">
        <w:rPr>
          <w:b/>
        </w:rPr>
        <w:t>iñas, niños y adolescentes reincidentes en retorno</w:t>
      </w:r>
      <w:r>
        <w:rPr>
          <w:b/>
        </w:rPr>
        <w:t>s</w:t>
      </w:r>
      <w:r w:rsidRPr="00825DB0">
        <w:rPr>
          <w:b/>
        </w:rPr>
        <w:t xml:space="preserve"> por migración irregular, por acción realizada. (</w:t>
      </w:r>
      <w:r>
        <w:rPr>
          <w:b/>
        </w:rPr>
        <w:t>julio 2014</w:t>
      </w:r>
      <w:r w:rsidRPr="00825DB0">
        <w:rPr>
          <w:b/>
        </w:rPr>
        <w:t>-abril 2018)</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800"/>
        <w:gridCol w:w="1602"/>
      </w:tblGrid>
      <w:tr w:rsidR="00AD3031" w:rsidRPr="00850DAF" w:rsidTr="00AD3031">
        <w:trPr>
          <w:trHeight w:val="315"/>
        </w:trPr>
        <w:tc>
          <w:tcPr>
            <w:tcW w:w="4390" w:type="dxa"/>
            <w:shd w:val="clear" w:color="76933C" w:fill="76933C"/>
            <w:noWrap/>
            <w:vAlign w:val="center"/>
            <w:hideMark/>
          </w:tcPr>
          <w:p w:rsidR="00AD3031" w:rsidRPr="00AD3031" w:rsidRDefault="00AD3031" w:rsidP="001C738F">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Acciones realizadas</w:t>
            </w:r>
          </w:p>
        </w:tc>
        <w:tc>
          <w:tcPr>
            <w:tcW w:w="1800" w:type="dxa"/>
            <w:shd w:val="clear" w:color="76933C" w:fill="76933C"/>
            <w:noWrap/>
            <w:vAlign w:val="center"/>
            <w:hideMark/>
          </w:tcPr>
          <w:p w:rsidR="00AD3031" w:rsidRPr="00AD3031" w:rsidRDefault="00AD3031" w:rsidP="001C738F">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Cantidad de NNA retornados</w:t>
            </w:r>
          </w:p>
        </w:tc>
        <w:tc>
          <w:tcPr>
            <w:tcW w:w="1602" w:type="dxa"/>
            <w:shd w:val="clear" w:color="76933C" w:fill="76933C"/>
            <w:noWrap/>
            <w:vAlign w:val="center"/>
            <w:hideMark/>
          </w:tcPr>
          <w:p w:rsidR="00AD3031" w:rsidRPr="00AD3031" w:rsidRDefault="00AD3031" w:rsidP="001C738F">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w:t>
            </w:r>
          </w:p>
        </w:tc>
      </w:tr>
      <w:tr w:rsidR="00AD3031" w:rsidRPr="00850DAF" w:rsidTr="00AD3031">
        <w:trPr>
          <w:trHeight w:val="315"/>
        </w:trPr>
        <w:tc>
          <w:tcPr>
            <w:tcW w:w="4390" w:type="dxa"/>
            <w:shd w:val="clear" w:color="auto" w:fill="auto"/>
            <w:noWrap/>
            <w:hideMark/>
          </w:tcPr>
          <w:p w:rsidR="00AD3031" w:rsidRPr="00AD3031" w:rsidRDefault="00AD3031" w:rsidP="001C738F">
            <w:pPr>
              <w:spacing w:after="0" w:line="240" w:lineRule="auto"/>
              <w:rPr>
                <w:rFonts w:ascii="Calibri" w:eastAsia="Times New Roman" w:hAnsi="Calibri" w:cs="Calibri"/>
                <w:color w:val="000000"/>
                <w:lang w:eastAsia="es-SV"/>
              </w:rPr>
            </w:pPr>
            <w:r w:rsidRPr="00AD3031">
              <w:rPr>
                <w:rFonts w:ascii="Calibri" w:eastAsia="Times New Roman" w:hAnsi="Calibri" w:cs="Calibri"/>
                <w:color w:val="000000"/>
                <w:lang w:eastAsia="es-SV"/>
              </w:rPr>
              <w:t>Acogimiento de emergencia</w:t>
            </w:r>
          </w:p>
        </w:tc>
        <w:tc>
          <w:tcPr>
            <w:tcW w:w="1800"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8</w:t>
            </w:r>
          </w:p>
        </w:tc>
        <w:tc>
          <w:tcPr>
            <w:tcW w:w="1602"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0.61%</w:t>
            </w:r>
          </w:p>
        </w:tc>
      </w:tr>
      <w:tr w:rsidR="00AD3031" w:rsidRPr="00850DAF" w:rsidTr="00AD3031">
        <w:trPr>
          <w:trHeight w:val="315"/>
        </w:trPr>
        <w:tc>
          <w:tcPr>
            <w:tcW w:w="4390" w:type="dxa"/>
            <w:shd w:val="clear" w:color="auto" w:fill="auto"/>
            <w:noWrap/>
            <w:hideMark/>
          </w:tcPr>
          <w:p w:rsidR="00AD3031" w:rsidRPr="00AD3031" w:rsidRDefault="00AD3031" w:rsidP="001C738F">
            <w:pPr>
              <w:spacing w:after="0" w:line="240" w:lineRule="auto"/>
              <w:rPr>
                <w:rFonts w:ascii="Calibri" w:eastAsia="Times New Roman" w:hAnsi="Calibri" w:cs="Calibri"/>
                <w:color w:val="000000"/>
                <w:lang w:eastAsia="es-SV"/>
              </w:rPr>
            </w:pPr>
            <w:r w:rsidRPr="00AD3031">
              <w:rPr>
                <w:rFonts w:ascii="Calibri" w:eastAsia="Times New Roman" w:hAnsi="Calibri" w:cs="Calibri"/>
                <w:color w:val="000000"/>
                <w:lang w:eastAsia="es-SV"/>
              </w:rPr>
              <w:t>Entrega</w:t>
            </w:r>
          </w:p>
        </w:tc>
        <w:tc>
          <w:tcPr>
            <w:tcW w:w="1800"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284</w:t>
            </w:r>
          </w:p>
        </w:tc>
        <w:tc>
          <w:tcPr>
            <w:tcW w:w="1602"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21.70%</w:t>
            </w:r>
          </w:p>
        </w:tc>
      </w:tr>
      <w:tr w:rsidR="00AD3031" w:rsidRPr="00850DAF" w:rsidTr="00AD3031">
        <w:trPr>
          <w:trHeight w:val="315"/>
        </w:trPr>
        <w:tc>
          <w:tcPr>
            <w:tcW w:w="4390" w:type="dxa"/>
            <w:shd w:val="clear" w:color="auto" w:fill="auto"/>
            <w:noWrap/>
            <w:hideMark/>
          </w:tcPr>
          <w:p w:rsidR="00AD3031" w:rsidRPr="00AD3031" w:rsidRDefault="00AD3031" w:rsidP="001C738F">
            <w:pPr>
              <w:spacing w:after="0" w:line="240" w:lineRule="auto"/>
              <w:rPr>
                <w:rFonts w:ascii="Calibri" w:eastAsia="Times New Roman" w:hAnsi="Calibri" w:cs="Calibri"/>
                <w:color w:val="000000"/>
                <w:lang w:eastAsia="es-SV"/>
              </w:rPr>
            </w:pPr>
            <w:r w:rsidRPr="00AD3031">
              <w:rPr>
                <w:rFonts w:ascii="Calibri" w:eastAsia="Times New Roman" w:hAnsi="Calibri" w:cs="Calibri"/>
                <w:color w:val="000000"/>
                <w:lang w:eastAsia="es-SV"/>
              </w:rPr>
              <w:t>Entrega con notificación a Junta de Protección correspondiente</w:t>
            </w:r>
          </w:p>
        </w:tc>
        <w:tc>
          <w:tcPr>
            <w:tcW w:w="1800"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943</w:t>
            </w:r>
          </w:p>
        </w:tc>
        <w:tc>
          <w:tcPr>
            <w:tcW w:w="1602"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72.04%</w:t>
            </w:r>
          </w:p>
        </w:tc>
      </w:tr>
      <w:tr w:rsidR="00AD3031" w:rsidRPr="00850DAF" w:rsidTr="00AD3031">
        <w:trPr>
          <w:trHeight w:val="315"/>
        </w:trPr>
        <w:tc>
          <w:tcPr>
            <w:tcW w:w="4390" w:type="dxa"/>
            <w:shd w:val="clear" w:color="auto" w:fill="auto"/>
            <w:noWrap/>
            <w:hideMark/>
          </w:tcPr>
          <w:p w:rsidR="00AD3031" w:rsidRPr="00AD3031" w:rsidRDefault="00AD3031" w:rsidP="001C738F">
            <w:pPr>
              <w:spacing w:after="0" w:line="240" w:lineRule="auto"/>
              <w:rPr>
                <w:rFonts w:ascii="Calibri" w:eastAsia="Times New Roman" w:hAnsi="Calibri" w:cs="Calibri"/>
                <w:color w:val="000000"/>
                <w:lang w:eastAsia="es-SV"/>
              </w:rPr>
            </w:pPr>
            <w:r w:rsidRPr="00AD3031">
              <w:rPr>
                <w:rFonts w:ascii="Calibri" w:eastAsia="Times New Roman" w:hAnsi="Calibri" w:cs="Calibri"/>
                <w:color w:val="000000"/>
                <w:lang w:eastAsia="es-SV"/>
              </w:rPr>
              <w:t>N/R</w:t>
            </w:r>
          </w:p>
        </w:tc>
        <w:tc>
          <w:tcPr>
            <w:tcW w:w="1800"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74</w:t>
            </w:r>
          </w:p>
        </w:tc>
        <w:tc>
          <w:tcPr>
            <w:tcW w:w="1602"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5.65%</w:t>
            </w:r>
          </w:p>
        </w:tc>
      </w:tr>
      <w:tr w:rsidR="00AD3031" w:rsidRPr="00850DAF" w:rsidTr="00AD3031">
        <w:trPr>
          <w:trHeight w:val="315"/>
        </w:trPr>
        <w:tc>
          <w:tcPr>
            <w:tcW w:w="4390" w:type="dxa"/>
            <w:shd w:val="clear" w:color="auto" w:fill="auto"/>
            <w:noWrap/>
            <w:hideMark/>
          </w:tcPr>
          <w:p w:rsidR="00AD3031" w:rsidRPr="00AD3031" w:rsidRDefault="00AD3031" w:rsidP="001C738F">
            <w:pPr>
              <w:spacing w:after="0" w:line="240" w:lineRule="auto"/>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Total general</w:t>
            </w:r>
          </w:p>
        </w:tc>
        <w:tc>
          <w:tcPr>
            <w:tcW w:w="1800"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1,309</w:t>
            </w:r>
          </w:p>
        </w:tc>
        <w:tc>
          <w:tcPr>
            <w:tcW w:w="1602" w:type="dxa"/>
            <w:shd w:val="clear" w:color="auto" w:fill="auto"/>
            <w:noWrap/>
            <w:hideMark/>
          </w:tcPr>
          <w:p w:rsidR="00AD3031" w:rsidRPr="00AD3031" w:rsidRDefault="00AD3031" w:rsidP="001C738F">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100.00%</w:t>
            </w:r>
          </w:p>
        </w:tc>
      </w:tr>
    </w:tbl>
    <w:p w:rsidR="00AD3031" w:rsidRPr="00E05B0E" w:rsidRDefault="00AD3031" w:rsidP="00AD3031">
      <w:pPr>
        <w:spacing w:after="0" w:line="240" w:lineRule="auto"/>
        <w:jc w:val="both"/>
        <w:rPr>
          <w:sz w:val="18"/>
          <w:szCs w:val="18"/>
        </w:rPr>
      </w:pPr>
      <w:r>
        <w:t xml:space="preserve"> </w:t>
      </w:r>
      <w:r w:rsidRPr="00E05B0E">
        <w:rPr>
          <w:sz w:val="18"/>
          <w:szCs w:val="18"/>
        </w:rPr>
        <w:t xml:space="preserve">Fuente: Elaboración propia con base en estadísticas de entrevistas del Equipo Multidisciplinario de Protección. </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shd w:val="clear" w:color="auto" w:fill="FFFFFF"/>
        <w:spacing w:after="0" w:line="240" w:lineRule="auto"/>
        <w:jc w:val="both"/>
        <w:rPr>
          <w:rFonts w:eastAsia="Times New Roman" w:cstheme="minorHAnsi"/>
          <w:color w:val="222222"/>
          <w:lang w:eastAsia="es-SV"/>
        </w:rPr>
      </w:pPr>
      <w:r>
        <w:rPr>
          <w:rFonts w:eastAsia="Times New Roman" w:cstheme="minorHAnsi"/>
          <w:color w:val="222222"/>
          <w:lang w:eastAsia="es-SV"/>
        </w:rPr>
        <w:t xml:space="preserve">Los acogimientos de emergencia son remitidos a ISNA quienes determinan en cuál de las entidades de atención debidamente autorizadas pueden implementar la medida. En relación al periodo comprendido entre enero 2015 y abril 2018, se identifica la remisión a 5 Centros de acogimiento, según se describe en la Tabla 6, de los cuales el Centro de Acogimiento Complejo de Integración Social para la Niñez y la Adolescencia (CINSA), es al que más niñas, niños y adolescentes se han remitido. </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jc w:val="center"/>
        <w:rPr>
          <w:rFonts w:eastAsia="Times New Roman" w:cstheme="minorHAnsi"/>
          <w:color w:val="222222"/>
          <w:lang w:eastAsia="es-SV"/>
        </w:rPr>
      </w:pPr>
      <w:r w:rsidRPr="00825DB0">
        <w:rPr>
          <w:b/>
        </w:rPr>
        <w:t>Tabla</w:t>
      </w:r>
      <w:r>
        <w:rPr>
          <w:b/>
        </w:rPr>
        <w:t xml:space="preserve"> 6</w:t>
      </w:r>
      <w:r w:rsidRPr="00825DB0">
        <w:rPr>
          <w:b/>
        </w:rPr>
        <w:t xml:space="preserve">. </w:t>
      </w:r>
      <w:r>
        <w:rPr>
          <w:b/>
        </w:rPr>
        <w:t>N</w:t>
      </w:r>
      <w:r w:rsidRPr="00825DB0">
        <w:rPr>
          <w:b/>
        </w:rPr>
        <w:t>iñas, niños y adolescentes reincidentes en retorno</w:t>
      </w:r>
      <w:r>
        <w:rPr>
          <w:b/>
        </w:rPr>
        <w:t>s</w:t>
      </w:r>
      <w:r w:rsidRPr="00825DB0">
        <w:rPr>
          <w:b/>
        </w:rPr>
        <w:t xml:space="preserve"> por migración irregular, por </w:t>
      </w:r>
      <w:r>
        <w:rPr>
          <w:b/>
        </w:rPr>
        <w:t>Centro de acogimiento y según años</w:t>
      </w:r>
      <w:r w:rsidRPr="00825DB0">
        <w:rPr>
          <w:b/>
        </w:rPr>
        <w:t>. (</w:t>
      </w:r>
      <w:r>
        <w:rPr>
          <w:b/>
        </w:rPr>
        <w:t>enero 2</w:t>
      </w:r>
      <w:r w:rsidRPr="00825DB0">
        <w:rPr>
          <w:b/>
        </w:rPr>
        <w:t>01</w:t>
      </w:r>
      <w:r>
        <w:rPr>
          <w:b/>
        </w:rPr>
        <w:t>5</w:t>
      </w:r>
      <w:r w:rsidRPr="00825DB0">
        <w:rPr>
          <w:b/>
        </w:rPr>
        <w:t>-abril 2018)</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20"/>
        <w:gridCol w:w="840"/>
        <w:gridCol w:w="627"/>
        <w:gridCol w:w="627"/>
        <w:gridCol w:w="627"/>
        <w:gridCol w:w="1400"/>
      </w:tblGrid>
      <w:tr w:rsidR="00AD3031" w:rsidRPr="00AD3031" w:rsidTr="00AD3031">
        <w:trPr>
          <w:trHeight w:val="315"/>
        </w:trPr>
        <w:tc>
          <w:tcPr>
            <w:tcW w:w="4820" w:type="dxa"/>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Centros de acogimiento</w:t>
            </w:r>
          </w:p>
        </w:tc>
        <w:tc>
          <w:tcPr>
            <w:tcW w:w="840" w:type="dxa"/>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2015</w:t>
            </w:r>
          </w:p>
        </w:tc>
        <w:tc>
          <w:tcPr>
            <w:tcW w:w="627" w:type="dxa"/>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2016</w:t>
            </w:r>
          </w:p>
        </w:tc>
        <w:tc>
          <w:tcPr>
            <w:tcW w:w="627" w:type="dxa"/>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2017</w:t>
            </w:r>
          </w:p>
        </w:tc>
        <w:tc>
          <w:tcPr>
            <w:tcW w:w="627" w:type="dxa"/>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2018</w:t>
            </w:r>
          </w:p>
        </w:tc>
        <w:tc>
          <w:tcPr>
            <w:tcW w:w="1400" w:type="dxa"/>
            <w:shd w:val="clear" w:color="76933C" w:fill="76933C"/>
            <w:noWrap/>
            <w:vAlign w:val="center"/>
            <w:hideMark/>
          </w:tcPr>
          <w:p w:rsidR="00AD3031" w:rsidRPr="00AD3031" w:rsidRDefault="00AD3031" w:rsidP="00AD3031">
            <w:pPr>
              <w:spacing w:after="0" w:line="240" w:lineRule="auto"/>
              <w:jc w:val="center"/>
              <w:rPr>
                <w:rFonts w:ascii="Calibri" w:eastAsia="Times New Roman" w:hAnsi="Calibri" w:cs="Calibri"/>
                <w:color w:val="FFFFFF"/>
                <w:lang w:eastAsia="es-SV"/>
              </w:rPr>
            </w:pPr>
            <w:r w:rsidRPr="00AD3031">
              <w:rPr>
                <w:rFonts w:ascii="Calibri" w:eastAsia="Times New Roman" w:hAnsi="Calibri" w:cs="Calibri"/>
                <w:color w:val="FFFFFF"/>
                <w:lang w:eastAsia="es-SV"/>
              </w:rPr>
              <w:t>Total</w:t>
            </w:r>
          </w:p>
        </w:tc>
      </w:tr>
      <w:tr w:rsidR="00AD3031" w:rsidRPr="00AD3031" w:rsidTr="00AD3031">
        <w:trPr>
          <w:trHeight w:val="315"/>
        </w:trPr>
        <w:tc>
          <w:tcPr>
            <w:tcW w:w="482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Centro de Acogimiento albergue de victimas de trata</w:t>
            </w:r>
          </w:p>
        </w:tc>
        <w:tc>
          <w:tcPr>
            <w:tcW w:w="84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Times New Roman" w:eastAsia="Times New Roman" w:hAnsi="Times New Roman" w:cs="Times New Roman"/>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Times New Roman" w:eastAsia="Times New Roman" w:hAnsi="Times New Roman" w:cs="Times New Roman"/>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w:t>
            </w:r>
          </w:p>
        </w:tc>
        <w:tc>
          <w:tcPr>
            <w:tcW w:w="140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w:t>
            </w:r>
          </w:p>
        </w:tc>
      </w:tr>
      <w:tr w:rsidR="00AD3031" w:rsidRPr="00AD3031" w:rsidTr="00AD3031">
        <w:trPr>
          <w:trHeight w:val="450"/>
        </w:trPr>
        <w:tc>
          <w:tcPr>
            <w:tcW w:w="482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Centro de Acogimiento Complejo de Integración Social para la Niñez y la Adolescencia (CISNA)</w:t>
            </w:r>
          </w:p>
        </w:tc>
        <w:tc>
          <w:tcPr>
            <w:tcW w:w="84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w:t>
            </w: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w:t>
            </w: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Times New Roman" w:eastAsia="Times New Roman" w:hAnsi="Times New Roman" w:cs="Times New Roman"/>
                <w:lang w:eastAsia="es-SV"/>
              </w:rPr>
            </w:pPr>
          </w:p>
        </w:tc>
        <w:tc>
          <w:tcPr>
            <w:tcW w:w="140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3</w:t>
            </w:r>
          </w:p>
        </w:tc>
      </w:tr>
      <w:tr w:rsidR="00AD3031" w:rsidRPr="00AD3031" w:rsidTr="00AD3031">
        <w:trPr>
          <w:trHeight w:val="315"/>
        </w:trPr>
        <w:tc>
          <w:tcPr>
            <w:tcW w:w="482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 xml:space="preserve">Centro de Acogimiento </w:t>
            </w:r>
            <w:proofErr w:type="spellStart"/>
            <w:r w:rsidRPr="00AD3031">
              <w:rPr>
                <w:rFonts w:ascii="Calibri" w:eastAsia="Times New Roman" w:hAnsi="Calibri" w:cs="Calibri"/>
                <w:color w:val="000000"/>
                <w:lang w:eastAsia="es-SV"/>
              </w:rPr>
              <w:t>Erlinda</w:t>
            </w:r>
            <w:proofErr w:type="spellEnd"/>
            <w:r w:rsidRPr="00AD3031">
              <w:rPr>
                <w:rFonts w:ascii="Calibri" w:eastAsia="Times New Roman" w:hAnsi="Calibri" w:cs="Calibri"/>
                <w:color w:val="000000"/>
                <w:lang w:eastAsia="es-SV"/>
              </w:rPr>
              <w:t xml:space="preserve"> y Ernestina Serrano Cruz</w:t>
            </w:r>
          </w:p>
        </w:tc>
        <w:tc>
          <w:tcPr>
            <w:tcW w:w="84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w:t>
            </w: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Times New Roman" w:eastAsia="Times New Roman" w:hAnsi="Times New Roman" w:cs="Times New Roman"/>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Times New Roman" w:eastAsia="Times New Roman" w:hAnsi="Times New Roman" w:cs="Times New Roman"/>
                <w:lang w:eastAsia="es-SV"/>
              </w:rPr>
            </w:pPr>
          </w:p>
        </w:tc>
        <w:tc>
          <w:tcPr>
            <w:tcW w:w="140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w:t>
            </w:r>
          </w:p>
        </w:tc>
      </w:tr>
      <w:tr w:rsidR="00AD3031" w:rsidRPr="00AD3031" w:rsidTr="00AD3031">
        <w:trPr>
          <w:trHeight w:val="315"/>
        </w:trPr>
        <w:tc>
          <w:tcPr>
            <w:tcW w:w="482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Centro de Acogimiento San Vicente de Paúl</w:t>
            </w:r>
          </w:p>
        </w:tc>
        <w:tc>
          <w:tcPr>
            <w:tcW w:w="84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Times New Roman" w:eastAsia="Times New Roman" w:hAnsi="Times New Roman" w:cs="Times New Roman"/>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w:t>
            </w: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p>
        </w:tc>
        <w:tc>
          <w:tcPr>
            <w:tcW w:w="140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1</w:t>
            </w:r>
          </w:p>
        </w:tc>
      </w:tr>
      <w:tr w:rsidR="00AD3031" w:rsidRPr="00AD3031" w:rsidTr="00AD3031">
        <w:trPr>
          <w:trHeight w:val="315"/>
        </w:trPr>
        <w:tc>
          <w:tcPr>
            <w:tcW w:w="482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Residencia de Acogimiento (CIPI)</w:t>
            </w:r>
          </w:p>
        </w:tc>
        <w:tc>
          <w:tcPr>
            <w:tcW w:w="84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w:t>
            </w: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p>
        </w:tc>
        <w:tc>
          <w:tcPr>
            <w:tcW w:w="627" w:type="dxa"/>
            <w:shd w:val="clear" w:color="auto" w:fill="auto"/>
            <w:noWrap/>
            <w:vAlign w:val="center"/>
            <w:hideMark/>
          </w:tcPr>
          <w:p w:rsidR="00AD3031" w:rsidRPr="00AD3031" w:rsidRDefault="00AD3031" w:rsidP="00AD3031">
            <w:pPr>
              <w:spacing w:after="0" w:line="240" w:lineRule="auto"/>
              <w:jc w:val="center"/>
              <w:rPr>
                <w:rFonts w:ascii="Times New Roman" w:eastAsia="Times New Roman" w:hAnsi="Times New Roman" w:cs="Times New Roman"/>
                <w:lang w:eastAsia="es-SV"/>
              </w:rPr>
            </w:pPr>
          </w:p>
        </w:tc>
        <w:tc>
          <w:tcPr>
            <w:tcW w:w="140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color w:val="000000"/>
                <w:lang w:eastAsia="es-SV"/>
              </w:rPr>
            </w:pPr>
            <w:r w:rsidRPr="00AD3031">
              <w:rPr>
                <w:rFonts w:ascii="Calibri" w:eastAsia="Times New Roman" w:hAnsi="Calibri" w:cs="Calibri"/>
                <w:color w:val="000000"/>
                <w:lang w:eastAsia="es-SV"/>
              </w:rPr>
              <w:t>2</w:t>
            </w:r>
          </w:p>
        </w:tc>
      </w:tr>
      <w:tr w:rsidR="00AD3031" w:rsidRPr="00AD3031" w:rsidTr="00AD3031">
        <w:trPr>
          <w:trHeight w:val="315"/>
        </w:trPr>
        <w:tc>
          <w:tcPr>
            <w:tcW w:w="482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Total general</w:t>
            </w:r>
          </w:p>
        </w:tc>
        <w:tc>
          <w:tcPr>
            <w:tcW w:w="84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2</w:t>
            </w: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4</w:t>
            </w: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1</w:t>
            </w:r>
          </w:p>
        </w:tc>
        <w:tc>
          <w:tcPr>
            <w:tcW w:w="627"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1</w:t>
            </w:r>
          </w:p>
        </w:tc>
        <w:tc>
          <w:tcPr>
            <w:tcW w:w="1400" w:type="dxa"/>
            <w:shd w:val="clear" w:color="auto" w:fill="auto"/>
            <w:noWrap/>
            <w:vAlign w:val="center"/>
            <w:hideMark/>
          </w:tcPr>
          <w:p w:rsidR="00AD3031" w:rsidRPr="00AD3031" w:rsidRDefault="00AD3031" w:rsidP="00AD3031">
            <w:pPr>
              <w:spacing w:after="0" w:line="240" w:lineRule="auto"/>
              <w:jc w:val="center"/>
              <w:rPr>
                <w:rFonts w:ascii="Calibri" w:eastAsia="Times New Roman" w:hAnsi="Calibri" w:cs="Calibri"/>
                <w:b/>
                <w:bCs/>
                <w:color w:val="000000"/>
                <w:lang w:eastAsia="es-SV"/>
              </w:rPr>
            </w:pPr>
            <w:r w:rsidRPr="00AD3031">
              <w:rPr>
                <w:rFonts w:ascii="Calibri" w:eastAsia="Times New Roman" w:hAnsi="Calibri" w:cs="Calibri"/>
                <w:b/>
                <w:bCs/>
                <w:color w:val="000000"/>
                <w:lang w:eastAsia="es-SV"/>
              </w:rPr>
              <w:t>8</w:t>
            </w:r>
          </w:p>
        </w:tc>
      </w:tr>
    </w:tbl>
    <w:p w:rsidR="00AD3031" w:rsidRPr="00E05B0E" w:rsidRDefault="00AD3031" w:rsidP="00AD3031">
      <w:pPr>
        <w:spacing w:after="0" w:line="240" w:lineRule="auto"/>
        <w:jc w:val="both"/>
        <w:rPr>
          <w:sz w:val="18"/>
          <w:szCs w:val="18"/>
        </w:rPr>
      </w:pPr>
      <w:r w:rsidRPr="00E05B0E">
        <w:rPr>
          <w:sz w:val="18"/>
          <w:szCs w:val="18"/>
        </w:rPr>
        <w:t xml:space="preserve">Fuente: Elaboración propia con base en estadísticas de entrevistas del Equipo Multidisciplinario de Protección. </w:t>
      </w:r>
    </w:p>
    <w:p w:rsidR="00AD3031" w:rsidRDefault="00AD3031" w:rsidP="00AD3031">
      <w:pPr>
        <w:shd w:val="clear" w:color="auto" w:fill="FFFFFF"/>
        <w:spacing w:after="0" w:line="240" w:lineRule="auto"/>
        <w:jc w:val="both"/>
        <w:rPr>
          <w:rFonts w:eastAsia="Times New Roman" w:cstheme="minorHAnsi"/>
          <w:color w:val="222222"/>
          <w:lang w:eastAsia="es-SV"/>
        </w:rPr>
      </w:pPr>
    </w:p>
    <w:p w:rsidR="00AD3031" w:rsidRDefault="00AD3031" w:rsidP="00AD3031">
      <w:pPr>
        <w:shd w:val="clear" w:color="auto" w:fill="FFFFFF"/>
        <w:spacing w:after="0" w:line="240" w:lineRule="auto"/>
        <w:jc w:val="both"/>
        <w:rPr>
          <w:rFonts w:eastAsia="Times New Roman" w:cstheme="minorHAnsi"/>
          <w:b/>
          <w:color w:val="222222"/>
          <w:lang w:eastAsia="es-SV"/>
        </w:rPr>
      </w:pPr>
      <w:r w:rsidRPr="00C413FD">
        <w:rPr>
          <w:rFonts w:eastAsia="Times New Roman" w:cstheme="minorHAnsi"/>
          <w:color w:val="222222"/>
          <w:lang w:eastAsia="es-SV"/>
        </w:rPr>
        <w:lastRenderedPageBreak/>
        <w:t xml:space="preserve">En relación a la etapa de vida, los ocho casos identificados de reincidencia en el retorno por migración irregular que fueron remitidos por acogimiento de emergencia fueron de adolescentes. En relación al sexo, se identifica </w:t>
      </w:r>
      <w:r>
        <w:rPr>
          <w:rFonts w:eastAsia="Times New Roman" w:cstheme="minorHAnsi"/>
          <w:color w:val="222222"/>
          <w:lang w:eastAsia="es-SV"/>
        </w:rPr>
        <w:t xml:space="preserve">una distribución homogénea de 50% entre adolescentes hombres y mujeres. </w:t>
      </w:r>
    </w:p>
    <w:p w:rsidR="00AD3031" w:rsidRDefault="00AD3031" w:rsidP="00AD3031">
      <w:pPr>
        <w:shd w:val="clear" w:color="auto" w:fill="FFFFFF"/>
        <w:spacing w:after="0" w:line="240" w:lineRule="auto"/>
        <w:jc w:val="both"/>
        <w:rPr>
          <w:rFonts w:eastAsia="Times New Roman" w:cstheme="minorHAnsi"/>
          <w:b/>
          <w:color w:val="222222"/>
          <w:lang w:eastAsia="es-SV"/>
        </w:rPr>
      </w:pPr>
    </w:p>
    <w:p w:rsidR="00AD3031" w:rsidRPr="00C80EBE" w:rsidRDefault="00AD3031" w:rsidP="00AD3031">
      <w:pPr>
        <w:shd w:val="clear" w:color="auto" w:fill="FFFFFF"/>
        <w:spacing w:after="0" w:line="240" w:lineRule="auto"/>
        <w:jc w:val="both"/>
        <w:rPr>
          <w:rFonts w:eastAsia="Times New Roman" w:cstheme="minorHAnsi"/>
          <w:b/>
          <w:color w:val="222222"/>
          <w:lang w:eastAsia="es-SV"/>
        </w:rPr>
      </w:pPr>
      <w:r w:rsidRPr="00C80EBE">
        <w:rPr>
          <w:rFonts w:eastAsia="Times New Roman" w:cstheme="minorHAnsi"/>
          <w:b/>
          <w:color w:val="222222"/>
          <w:lang w:eastAsia="es-SV"/>
        </w:rPr>
        <w:t xml:space="preserve">Tabla </w:t>
      </w:r>
      <w:r>
        <w:rPr>
          <w:rFonts w:eastAsia="Times New Roman" w:cstheme="minorHAnsi"/>
          <w:b/>
          <w:color w:val="222222"/>
          <w:lang w:eastAsia="es-SV"/>
        </w:rPr>
        <w:t>7</w:t>
      </w:r>
      <w:r w:rsidRPr="00C80EBE">
        <w:rPr>
          <w:rFonts w:eastAsia="Times New Roman" w:cstheme="minorHAnsi"/>
          <w:b/>
          <w:color w:val="222222"/>
          <w:lang w:eastAsia="es-SV"/>
        </w:rPr>
        <w:t xml:space="preserve">. Niñas, niños y adolescentes </w:t>
      </w:r>
      <w:r>
        <w:rPr>
          <w:rFonts w:eastAsia="Times New Roman" w:cstheme="minorHAnsi"/>
          <w:b/>
          <w:color w:val="222222"/>
          <w:lang w:eastAsia="es-SV"/>
        </w:rPr>
        <w:t xml:space="preserve">reincidentes en retornos por migración irregular que fueron acogidos de emergencia, por años y según etapa de vida y sexo. </w:t>
      </w:r>
    </w:p>
    <w:p w:rsidR="00AD3031" w:rsidRDefault="00AD3031" w:rsidP="00AD3031">
      <w:pPr>
        <w:shd w:val="clear" w:color="auto" w:fill="FFFFFF"/>
        <w:spacing w:after="0" w:line="240" w:lineRule="auto"/>
        <w:jc w:val="both"/>
        <w:rPr>
          <w:rFonts w:eastAsia="Times New Roman" w:cstheme="minorHAnsi"/>
          <w:color w:val="222222"/>
          <w:lang w:eastAsia="es-SV"/>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0"/>
        <w:gridCol w:w="1037"/>
        <w:gridCol w:w="1134"/>
        <w:gridCol w:w="1418"/>
      </w:tblGrid>
      <w:tr w:rsidR="00AD3031" w:rsidRPr="00C80EBE" w:rsidTr="00AD3031">
        <w:trPr>
          <w:trHeight w:val="315"/>
          <w:jc w:val="center"/>
        </w:trPr>
        <w:tc>
          <w:tcPr>
            <w:tcW w:w="2360" w:type="dxa"/>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Pr="00E95605" w:rsidRDefault="00AD3031" w:rsidP="00AD3031">
            <w:pPr>
              <w:spacing w:after="0" w:line="240" w:lineRule="auto"/>
              <w:jc w:val="right"/>
              <w:rPr>
                <w:rFonts w:ascii="Calibri" w:eastAsia="Times New Roman" w:hAnsi="Calibri" w:cs="Calibri"/>
                <w:b/>
                <w:bCs/>
                <w:color w:val="FFFFFF"/>
                <w:sz w:val="24"/>
                <w:szCs w:val="24"/>
                <w:lang w:eastAsia="es-SV"/>
              </w:rPr>
            </w:pPr>
            <w:r w:rsidRPr="00E95605">
              <w:rPr>
                <w:rFonts w:ascii="Calibri" w:eastAsia="Times New Roman" w:hAnsi="Calibri" w:cs="Calibri"/>
                <w:b/>
                <w:bCs/>
                <w:color w:val="FFFFFF"/>
                <w:sz w:val="24"/>
                <w:szCs w:val="24"/>
                <w:lang w:eastAsia="es-SV"/>
              </w:rPr>
              <w:t>Etapa de vida</w:t>
            </w:r>
          </w:p>
        </w:tc>
        <w:tc>
          <w:tcPr>
            <w:tcW w:w="2171" w:type="dxa"/>
            <w:gridSpan w:val="2"/>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Pr="00C80EBE" w:rsidRDefault="00AD3031" w:rsidP="00AD3031">
            <w:pPr>
              <w:spacing w:after="0" w:line="240" w:lineRule="auto"/>
              <w:jc w:val="center"/>
              <w:rPr>
                <w:rFonts w:ascii="Calibri" w:eastAsia="Times New Roman" w:hAnsi="Calibri" w:cs="Calibri"/>
                <w:color w:val="FFFFFF"/>
                <w:sz w:val="24"/>
                <w:szCs w:val="24"/>
                <w:lang w:eastAsia="es-SV"/>
              </w:rPr>
            </w:pPr>
            <w:r w:rsidRPr="00C80EBE">
              <w:rPr>
                <w:rFonts w:ascii="Calibri" w:eastAsia="Times New Roman" w:hAnsi="Calibri" w:cs="Calibri"/>
                <w:color w:val="FFFFFF"/>
                <w:sz w:val="24"/>
                <w:szCs w:val="24"/>
                <w:lang w:eastAsia="es-SV"/>
              </w:rPr>
              <w:t>Adolescencia</w:t>
            </w:r>
          </w:p>
        </w:tc>
        <w:tc>
          <w:tcPr>
            <w:tcW w:w="1418" w:type="dxa"/>
            <w:vMerge w:val="restart"/>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Pr="00C80EBE" w:rsidRDefault="00AD3031" w:rsidP="00AD3031">
            <w:pPr>
              <w:spacing w:after="0" w:line="240" w:lineRule="auto"/>
              <w:jc w:val="center"/>
              <w:rPr>
                <w:rFonts w:ascii="Calibri" w:eastAsia="Times New Roman" w:hAnsi="Calibri" w:cs="Calibri"/>
                <w:color w:val="FFFFFF"/>
                <w:sz w:val="24"/>
                <w:szCs w:val="24"/>
                <w:lang w:eastAsia="es-SV"/>
              </w:rPr>
            </w:pPr>
            <w:r w:rsidRPr="00C80EBE">
              <w:rPr>
                <w:rFonts w:ascii="Calibri" w:eastAsia="Times New Roman" w:hAnsi="Calibri" w:cs="Calibri"/>
                <w:color w:val="FFFFFF"/>
                <w:sz w:val="24"/>
                <w:szCs w:val="24"/>
                <w:lang w:eastAsia="es-SV"/>
              </w:rPr>
              <w:t>Total</w:t>
            </w:r>
          </w:p>
        </w:tc>
      </w:tr>
      <w:tr w:rsidR="00AD3031" w:rsidRPr="00C80EBE" w:rsidTr="00AD3031">
        <w:trPr>
          <w:trHeight w:val="315"/>
          <w:jc w:val="center"/>
        </w:trPr>
        <w:tc>
          <w:tcPr>
            <w:tcW w:w="2360" w:type="dxa"/>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Default="00AD3031" w:rsidP="00AD3031">
            <w:pPr>
              <w:spacing w:after="0" w:line="240" w:lineRule="auto"/>
              <w:jc w:val="right"/>
              <w:rPr>
                <w:rFonts w:ascii="Calibri" w:eastAsia="Times New Roman" w:hAnsi="Calibri" w:cs="Calibri"/>
                <w:color w:val="FFFFFF"/>
                <w:sz w:val="24"/>
                <w:szCs w:val="24"/>
                <w:lang w:eastAsia="es-SV"/>
              </w:rPr>
            </w:pPr>
            <w:r w:rsidRPr="00E95605">
              <w:rPr>
                <w:rFonts w:ascii="Calibri" w:eastAsia="Times New Roman" w:hAnsi="Calibri" w:cs="Calibri"/>
                <w:color w:val="FFFFFF"/>
                <w:sz w:val="24"/>
                <w:szCs w:val="24"/>
                <w:lang w:eastAsia="es-SV"/>
              </w:rPr>
              <w:t>Sexo</w:t>
            </w:r>
          </w:p>
          <w:p w:rsidR="00AD3031" w:rsidRPr="00E95605" w:rsidRDefault="00AD3031" w:rsidP="00AD3031">
            <w:pPr>
              <w:spacing w:after="0" w:line="240" w:lineRule="auto"/>
              <w:rPr>
                <w:rFonts w:ascii="Calibri" w:eastAsia="Times New Roman" w:hAnsi="Calibri" w:cs="Calibri"/>
                <w:color w:val="FFFFFF"/>
                <w:sz w:val="24"/>
                <w:szCs w:val="24"/>
                <w:lang w:eastAsia="es-SV"/>
              </w:rPr>
            </w:pPr>
            <w:r w:rsidRPr="00E95605">
              <w:rPr>
                <w:rFonts w:ascii="Calibri" w:eastAsia="Times New Roman" w:hAnsi="Calibri" w:cs="Calibri"/>
                <w:color w:val="FFFFFF"/>
                <w:sz w:val="24"/>
                <w:szCs w:val="24"/>
                <w:lang w:eastAsia="es-SV"/>
              </w:rPr>
              <w:t>Años</w:t>
            </w:r>
          </w:p>
        </w:tc>
        <w:tc>
          <w:tcPr>
            <w:tcW w:w="1037" w:type="dxa"/>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Pr="00C80EBE" w:rsidRDefault="00AD3031" w:rsidP="00AD3031">
            <w:pPr>
              <w:spacing w:after="0" w:line="240" w:lineRule="auto"/>
              <w:jc w:val="center"/>
              <w:rPr>
                <w:rFonts w:ascii="Calibri" w:eastAsia="Times New Roman" w:hAnsi="Calibri" w:cs="Calibri"/>
                <w:color w:val="FFFFFF"/>
                <w:sz w:val="24"/>
                <w:szCs w:val="24"/>
                <w:lang w:eastAsia="es-SV"/>
              </w:rPr>
            </w:pPr>
            <w:r w:rsidRPr="00C80EBE">
              <w:rPr>
                <w:rFonts w:ascii="Calibri" w:eastAsia="Times New Roman" w:hAnsi="Calibri" w:cs="Calibri"/>
                <w:color w:val="FFFFFF"/>
                <w:sz w:val="24"/>
                <w:szCs w:val="24"/>
                <w:lang w:eastAsia="es-SV"/>
              </w:rPr>
              <w:t>Hombre</w:t>
            </w:r>
          </w:p>
        </w:tc>
        <w:tc>
          <w:tcPr>
            <w:tcW w:w="1134" w:type="dxa"/>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Pr="00C80EBE" w:rsidRDefault="00AD3031" w:rsidP="00AD3031">
            <w:pPr>
              <w:spacing w:after="0" w:line="240" w:lineRule="auto"/>
              <w:jc w:val="center"/>
              <w:rPr>
                <w:rFonts w:ascii="Calibri" w:eastAsia="Times New Roman" w:hAnsi="Calibri" w:cs="Calibri"/>
                <w:color w:val="FFFFFF"/>
                <w:sz w:val="24"/>
                <w:szCs w:val="24"/>
                <w:lang w:eastAsia="es-SV"/>
              </w:rPr>
            </w:pPr>
            <w:r w:rsidRPr="00C80EBE">
              <w:rPr>
                <w:rFonts w:ascii="Calibri" w:eastAsia="Times New Roman" w:hAnsi="Calibri" w:cs="Calibri"/>
                <w:color w:val="FFFFFF"/>
                <w:sz w:val="24"/>
                <w:szCs w:val="24"/>
                <w:lang w:eastAsia="es-SV"/>
              </w:rPr>
              <w:t>Mujer</w:t>
            </w:r>
          </w:p>
        </w:tc>
        <w:tc>
          <w:tcPr>
            <w:tcW w:w="1418" w:type="dxa"/>
            <w:vMerge/>
            <w:tcBorders>
              <w:top w:val="single" w:sz="4" w:space="0" w:color="auto"/>
              <w:left w:val="single" w:sz="4" w:space="0" w:color="auto"/>
              <w:bottom w:val="single" w:sz="4" w:space="0" w:color="auto"/>
              <w:right w:val="single" w:sz="4" w:space="0" w:color="auto"/>
            </w:tcBorders>
            <w:shd w:val="clear" w:color="76933C" w:fill="76933C"/>
            <w:noWrap/>
            <w:vAlign w:val="center"/>
            <w:hideMark/>
          </w:tcPr>
          <w:p w:rsidR="00AD3031" w:rsidRPr="00C80EBE" w:rsidRDefault="00AD3031" w:rsidP="00AD3031">
            <w:pPr>
              <w:spacing w:after="0" w:line="240" w:lineRule="auto"/>
              <w:jc w:val="center"/>
              <w:rPr>
                <w:rFonts w:ascii="Calibri" w:eastAsia="Times New Roman" w:hAnsi="Calibri" w:cs="Calibri"/>
                <w:color w:val="FFFFFF"/>
                <w:sz w:val="24"/>
                <w:szCs w:val="24"/>
                <w:lang w:eastAsia="es-SV"/>
              </w:rPr>
            </w:pPr>
          </w:p>
        </w:tc>
      </w:tr>
      <w:tr w:rsidR="00AD3031" w:rsidRPr="00C80EBE" w:rsidTr="00AD3031">
        <w:trPr>
          <w:trHeight w:val="315"/>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2015</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2</w:t>
            </w:r>
          </w:p>
        </w:tc>
      </w:tr>
      <w:tr w:rsidR="00AD3031" w:rsidRPr="00C80EBE" w:rsidTr="00AD3031">
        <w:trPr>
          <w:trHeight w:val="315"/>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2016</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4</w:t>
            </w:r>
          </w:p>
        </w:tc>
      </w:tr>
      <w:tr w:rsidR="00AD3031" w:rsidRPr="00C80EBE" w:rsidTr="00AD3031">
        <w:trPr>
          <w:trHeight w:val="315"/>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2017</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1</w:t>
            </w:r>
          </w:p>
        </w:tc>
      </w:tr>
      <w:tr w:rsidR="00AD3031" w:rsidRPr="00C80EBE" w:rsidTr="00AD3031">
        <w:trPr>
          <w:trHeight w:val="315"/>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2018</w:t>
            </w:r>
          </w:p>
        </w:tc>
        <w:tc>
          <w:tcPr>
            <w:tcW w:w="10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color w:val="000000"/>
                <w:sz w:val="24"/>
                <w:szCs w:val="24"/>
                <w:lang w:eastAsia="es-SV"/>
              </w:rPr>
            </w:pPr>
            <w:r w:rsidRPr="00C80EBE">
              <w:rPr>
                <w:rFonts w:ascii="Calibri" w:eastAsia="Times New Roman" w:hAnsi="Calibri" w:cs="Calibri"/>
                <w:color w:val="000000"/>
                <w:sz w:val="24"/>
                <w:szCs w:val="24"/>
                <w:lang w:eastAsia="es-SV"/>
              </w:rPr>
              <w:t>1</w:t>
            </w:r>
          </w:p>
        </w:tc>
      </w:tr>
      <w:tr w:rsidR="00AD3031" w:rsidRPr="00C80EBE" w:rsidTr="00AD3031">
        <w:trPr>
          <w:trHeight w:val="315"/>
          <w:jc w:val="center"/>
        </w:trPr>
        <w:tc>
          <w:tcPr>
            <w:tcW w:w="2360" w:type="dxa"/>
            <w:tcBorders>
              <w:top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b/>
                <w:bCs/>
                <w:color w:val="000000"/>
                <w:sz w:val="24"/>
                <w:szCs w:val="24"/>
                <w:lang w:eastAsia="es-SV"/>
              </w:rPr>
            </w:pPr>
            <w:r w:rsidRPr="00C80EBE">
              <w:rPr>
                <w:rFonts w:ascii="Calibri" w:eastAsia="Times New Roman" w:hAnsi="Calibri" w:cs="Calibri"/>
                <w:b/>
                <w:bCs/>
                <w:color w:val="000000"/>
                <w:sz w:val="24"/>
                <w:szCs w:val="24"/>
                <w:lang w:eastAsia="es-SV"/>
              </w:rPr>
              <w:t>Total general</w:t>
            </w:r>
          </w:p>
        </w:tc>
        <w:tc>
          <w:tcPr>
            <w:tcW w:w="1037" w:type="dxa"/>
            <w:tcBorders>
              <w:top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b/>
                <w:bCs/>
                <w:color w:val="000000"/>
                <w:sz w:val="24"/>
                <w:szCs w:val="24"/>
                <w:lang w:eastAsia="es-SV"/>
              </w:rPr>
            </w:pPr>
            <w:r w:rsidRPr="00C80EBE">
              <w:rPr>
                <w:rFonts w:ascii="Calibri" w:eastAsia="Times New Roman" w:hAnsi="Calibri" w:cs="Calibri"/>
                <w:b/>
                <w:bCs/>
                <w:color w:val="000000"/>
                <w:sz w:val="24"/>
                <w:szCs w:val="24"/>
                <w:lang w:eastAsia="es-SV"/>
              </w:rPr>
              <w:t>4</w:t>
            </w:r>
          </w:p>
        </w:tc>
        <w:tc>
          <w:tcPr>
            <w:tcW w:w="1134" w:type="dxa"/>
            <w:tcBorders>
              <w:top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b/>
                <w:bCs/>
                <w:color w:val="000000"/>
                <w:sz w:val="24"/>
                <w:szCs w:val="24"/>
                <w:lang w:eastAsia="es-SV"/>
              </w:rPr>
            </w:pPr>
            <w:r w:rsidRPr="00C80EBE">
              <w:rPr>
                <w:rFonts w:ascii="Calibri" w:eastAsia="Times New Roman" w:hAnsi="Calibri" w:cs="Calibri"/>
                <w:b/>
                <w:bCs/>
                <w:color w:val="000000"/>
                <w:sz w:val="24"/>
                <w:szCs w:val="24"/>
                <w:lang w:eastAsia="es-SV"/>
              </w:rPr>
              <w:t>4</w:t>
            </w:r>
          </w:p>
        </w:tc>
        <w:tc>
          <w:tcPr>
            <w:tcW w:w="1418" w:type="dxa"/>
            <w:tcBorders>
              <w:top w:val="single" w:sz="4" w:space="0" w:color="auto"/>
            </w:tcBorders>
            <w:shd w:val="clear" w:color="auto" w:fill="auto"/>
            <w:noWrap/>
            <w:vAlign w:val="center"/>
            <w:hideMark/>
          </w:tcPr>
          <w:p w:rsidR="00AD3031" w:rsidRPr="00C80EBE" w:rsidRDefault="00AD3031" w:rsidP="00AD3031">
            <w:pPr>
              <w:spacing w:after="0" w:line="240" w:lineRule="auto"/>
              <w:jc w:val="center"/>
              <w:rPr>
                <w:rFonts w:ascii="Calibri" w:eastAsia="Times New Roman" w:hAnsi="Calibri" w:cs="Calibri"/>
                <w:b/>
                <w:bCs/>
                <w:color w:val="000000"/>
                <w:sz w:val="24"/>
                <w:szCs w:val="24"/>
                <w:lang w:eastAsia="es-SV"/>
              </w:rPr>
            </w:pPr>
            <w:r w:rsidRPr="00C80EBE">
              <w:rPr>
                <w:rFonts w:ascii="Calibri" w:eastAsia="Times New Roman" w:hAnsi="Calibri" w:cs="Calibri"/>
                <w:b/>
                <w:bCs/>
                <w:color w:val="000000"/>
                <w:sz w:val="24"/>
                <w:szCs w:val="24"/>
                <w:lang w:eastAsia="es-SV"/>
              </w:rPr>
              <w:t>8</w:t>
            </w:r>
          </w:p>
        </w:tc>
      </w:tr>
    </w:tbl>
    <w:p w:rsidR="00AD3031" w:rsidRPr="00E05B0E" w:rsidRDefault="00AD3031" w:rsidP="00AD3031">
      <w:pPr>
        <w:spacing w:after="0" w:line="240" w:lineRule="auto"/>
        <w:ind w:left="1418" w:right="1467"/>
        <w:jc w:val="both"/>
        <w:rPr>
          <w:sz w:val="18"/>
          <w:szCs w:val="18"/>
        </w:rPr>
      </w:pPr>
      <w:r w:rsidRPr="00E05B0E">
        <w:rPr>
          <w:sz w:val="18"/>
          <w:szCs w:val="18"/>
        </w:rPr>
        <w:t xml:space="preserve">Fuente: Elaboración propia con base en estadísticas de entrevistas del Equipo Multidisciplinario de Protección. </w:t>
      </w:r>
    </w:p>
    <w:p w:rsidR="00AD3031" w:rsidRPr="00377B25" w:rsidRDefault="00AD3031" w:rsidP="00AD3031">
      <w:pPr>
        <w:shd w:val="clear" w:color="auto" w:fill="FFFFFF"/>
        <w:spacing w:after="0" w:line="240" w:lineRule="auto"/>
        <w:rPr>
          <w:rFonts w:eastAsia="Times New Roman" w:cstheme="minorHAnsi"/>
          <w:color w:val="222222"/>
          <w:lang w:eastAsia="es-SV"/>
        </w:rPr>
      </w:pPr>
    </w:p>
    <w:p w:rsidR="00AD3031" w:rsidRPr="00377B25" w:rsidRDefault="00AD3031" w:rsidP="00AD3031">
      <w:pPr>
        <w:shd w:val="clear" w:color="auto" w:fill="FFFFFF"/>
        <w:spacing w:after="0" w:line="240" w:lineRule="auto"/>
        <w:jc w:val="both"/>
        <w:rPr>
          <w:rFonts w:eastAsia="Times New Roman" w:cstheme="minorHAnsi"/>
          <w:b/>
          <w:color w:val="222222"/>
          <w:lang w:eastAsia="es-SV"/>
        </w:rPr>
      </w:pPr>
      <w:r w:rsidRPr="00377B25">
        <w:rPr>
          <w:rFonts w:eastAsia="Times New Roman" w:cstheme="minorHAnsi"/>
          <w:b/>
          <w:color w:val="222222"/>
          <w:lang w:eastAsia="es-SV"/>
        </w:rPr>
        <w:t>6. ¿Cuántos menores </w:t>
      </w:r>
      <w:r w:rsidRPr="00A85A92">
        <w:rPr>
          <w:rFonts w:eastAsia="Times New Roman" w:cstheme="minorHAnsi"/>
          <w:b/>
          <w:color w:val="222222"/>
          <w:lang w:eastAsia="es-SV"/>
        </w:rPr>
        <w:t>de</w:t>
      </w:r>
      <w:r w:rsidRPr="00377B25">
        <w:rPr>
          <w:rFonts w:eastAsia="Times New Roman" w:cstheme="minorHAnsi"/>
          <w:b/>
          <w:color w:val="222222"/>
          <w:lang w:eastAsia="es-SV"/>
        </w:rPr>
        <w:t> edad fueron acogidos </w:t>
      </w:r>
      <w:r w:rsidRPr="00A85A92">
        <w:rPr>
          <w:rFonts w:eastAsia="Times New Roman" w:cstheme="minorHAnsi"/>
          <w:b/>
          <w:color w:val="222222"/>
          <w:lang w:eastAsia="es-SV"/>
        </w:rPr>
        <w:t>de</w:t>
      </w:r>
      <w:r w:rsidRPr="00377B25">
        <w:rPr>
          <w:rFonts w:eastAsia="Times New Roman" w:cstheme="minorHAnsi"/>
          <w:b/>
          <w:color w:val="222222"/>
          <w:lang w:eastAsia="es-SV"/>
        </w:rPr>
        <w:t> emergencia por reincidencia en el</w:t>
      </w:r>
      <w:r w:rsidRPr="00A85A92">
        <w:rPr>
          <w:rFonts w:eastAsia="Times New Roman" w:cstheme="minorHAnsi"/>
          <w:b/>
          <w:color w:val="222222"/>
          <w:lang w:eastAsia="es-SV"/>
        </w:rPr>
        <w:t xml:space="preserve"> </w:t>
      </w:r>
      <w:r w:rsidRPr="00377B25">
        <w:rPr>
          <w:rFonts w:eastAsia="Times New Roman" w:cstheme="minorHAnsi"/>
          <w:b/>
          <w:color w:val="222222"/>
          <w:lang w:eastAsia="es-SV"/>
        </w:rPr>
        <w:t>periodo </w:t>
      </w:r>
      <w:r w:rsidRPr="00A85A92">
        <w:rPr>
          <w:rFonts w:eastAsia="Times New Roman" w:cstheme="minorHAnsi"/>
          <w:b/>
          <w:color w:val="222222"/>
          <w:lang w:eastAsia="es-SV"/>
        </w:rPr>
        <w:t>de</w:t>
      </w:r>
      <w:r w:rsidRPr="00377B25">
        <w:rPr>
          <w:rFonts w:eastAsia="Times New Roman" w:cstheme="minorHAnsi"/>
          <w:b/>
          <w:color w:val="222222"/>
          <w:lang w:eastAsia="es-SV"/>
        </w:rPr>
        <w:t> 2014 a 2018?</w:t>
      </w:r>
    </w:p>
    <w:p w:rsidR="009D2FFB" w:rsidRDefault="00AD3031" w:rsidP="00AD3031">
      <w:pPr>
        <w:jc w:val="both"/>
        <w:rPr>
          <w:rFonts w:cstheme="minorHAnsi"/>
        </w:rPr>
      </w:pPr>
      <w:r>
        <w:rPr>
          <w:rFonts w:cstheme="minorHAnsi"/>
        </w:rPr>
        <w:t xml:space="preserve">El acogimiento de emergencia se dicta por situaciones de extrema urgencia o necesidad a favor de una niña o adolescente, cuando se identifica que el retorno a su núcleo familiar o familia cercana constituye un riesgo para su integridad personal, lo que incluye no solamente la consideración de la reincidencia en la migración irregular. Por ejemplo, cuando se identifica que la niña, niño o adolescente ha sido víctima de trata. </w:t>
      </w:r>
    </w:p>
    <w:p w:rsidR="008E0C9B" w:rsidRDefault="008E0C9B" w:rsidP="00AD3031">
      <w:pPr>
        <w:jc w:val="both"/>
        <w:rPr>
          <w:rFonts w:cstheme="minorHAnsi"/>
        </w:rPr>
      </w:pPr>
    </w:p>
    <w:p w:rsidR="005F6FF5" w:rsidRPr="005F6FF5" w:rsidRDefault="005F6FF5" w:rsidP="005F6FF5">
      <w:pPr>
        <w:spacing w:after="0" w:line="240" w:lineRule="auto"/>
        <w:jc w:val="both"/>
        <w:rPr>
          <w:b/>
        </w:rPr>
      </w:pPr>
      <w:r>
        <w:rPr>
          <w:b/>
        </w:rPr>
        <w:t xml:space="preserve">RESPUESTA 2, </w:t>
      </w:r>
      <w:bookmarkStart w:id="0" w:name="_GoBack"/>
      <w:bookmarkEnd w:id="0"/>
      <w:r>
        <w:rPr>
          <w:b/>
        </w:rPr>
        <w:t>En relación a:</w:t>
      </w:r>
    </w:p>
    <w:p w:rsidR="005F6FF5" w:rsidRDefault="005F6FF5" w:rsidP="005F6FF5">
      <w:pPr>
        <w:spacing w:after="0" w:line="240" w:lineRule="auto"/>
        <w:jc w:val="both"/>
      </w:pPr>
    </w:p>
    <w:p w:rsidR="005F6FF5" w:rsidRPr="000F3CEA" w:rsidRDefault="005F6FF5" w:rsidP="005F6FF5">
      <w:pPr>
        <w:jc w:val="both"/>
        <w:rPr>
          <w:rFonts w:cstheme="minorHAnsi"/>
        </w:rPr>
      </w:pPr>
      <w:r w:rsidRPr="000F3CEA">
        <w:rPr>
          <w:rFonts w:cstheme="minorHAnsi"/>
        </w:rPr>
        <w:t>“¿Cuál es el proceso que se sigue con los menores de edad que intentan migrar más de dos veces?, y la documentación que respalde la información antes mencionada”; al respecto se informa lo siguiente:</w:t>
      </w:r>
    </w:p>
    <w:p w:rsidR="005F6FF5" w:rsidRPr="000F3CEA" w:rsidRDefault="005F6FF5" w:rsidP="005F6FF5">
      <w:pPr>
        <w:jc w:val="both"/>
        <w:rPr>
          <w:rFonts w:cstheme="minorHAnsi"/>
        </w:rPr>
      </w:pPr>
      <w:r w:rsidRPr="000F3CEA">
        <w:rPr>
          <w:rFonts w:cstheme="minorHAnsi"/>
        </w:rPr>
        <w:t>Migrar es un derecho humano, la mayoría de países firma y ratifica tratados, que van en la defensa y protección de los derechos de las personas migrantes, en el sentido que el hecho de migrar es multicausal y va desde realizar el viaje por mejorar las condiciones de vida, hasta los que realizan el viaje por estar siendo víctimas de graves vulneraciones a sus derechos en su país; asimismo, la migración de manera regular no está prohibida y con respecto a la migración irregular, en cuanto a derechos de niñez y adolescencia, se solicita no hacerlo de esta manera en el sentido que se vulneran derecho al exponerlos al viaje.</w:t>
      </w:r>
    </w:p>
    <w:p w:rsidR="005F6FF5" w:rsidRPr="000F3CEA" w:rsidRDefault="005F6FF5" w:rsidP="005F6FF5">
      <w:pPr>
        <w:jc w:val="both"/>
        <w:rPr>
          <w:rFonts w:cstheme="minorHAnsi"/>
        </w:rPr>
      </w:pPr>
      <w:r w:rsidRPr="000F3CEA">
        <w:rPr>
          <w:rFonts w:cstheme="minorHAnsi"/>
        </w:rPr>
        <w:t>Existen dos escenarios a tomar en cuenta, uno de ellos es que haya intentado el viaje por más de una vez y que no haya salido del país y a otra es que haya retornado en más de una ocasión por haber realizado el viaje de manera irregular, en ambos casos hay procedimientos diferenciados.</w:t>
      </w:r>
    </w:p>
    <w:p w:rsidR="005F6FF5" w:rsidRPr="000F3CEA" w:rsidRDefault="005F6FF5" w:rsidP="005F6FF5">
      <w:pPr>
        <w:jc w:val="both"/>
        <w:rPr>
          <w:rFonts w:cstheme="minorHAnsi"/>
        </w:rPr>
      </w:pPr>
      <w:r w:rsidRPr="000F3CEA">
        <w:rPr>
          <w:rFonts w:cstheme="minorHAnsi"/>
        </w:rPr>
        <w:lastRenderedPageBreak/>
        <w:t>En el primero de los casos, estaríamos hablando de una detección en frontera, previo a salir del país, en ese caso es la Policía Nacional Civil (PNC) la institución encargada de realizar las coordinaciones con la Junta de Protección competente, a efecto de informar la situación de la niña, niño o adolescente y ubicar a un familiar, representante o persona que se pueda hacer presente para entregar o reintegrarlo con estos; en el caso que no haya familiar, responsable o representante de la niña niño o adolescente, la Junta de Protección procederá a dictar una medida de protección urgente, para garantizar los derechos de estos. Si ha intentado salir del país por más de una ocasión y la PNC, advirtiera dicha situación, informará a la junta de Protección y remitirá la información necesaria para que se inicie un procedimiento administrativo, en razón que se están exponiendo los derechos de una niña, niño o adolescente, específicamente el derecho a la integridad personal, artículo 37 de la Ley de Protección Integral de la Niñez y Adolescencia (LEPINA).</w:t>
      </w:r>
    </w:p>
    <w:p w:rsidR="005F6FF5" w:rsidRPr="000F3CEA" w:rsidRDefault="005F6FF5" w:rsidP="005F6FF5">
      <w:pPr>
        <w:jc w:val="both"/>
        <w:rPr>
          <w:rFonts w:cstheme="minorHAnsi"/>
        </w:rPr>
      </w:pPr>
      <w:r w:rsidRPr="000F3CEA">
        <w:rPr>
          <w:rFonts w:cstheme="minorHAnsi"/>
        </w:rPr>
        <w:t>En el caso de niñez y adolescencia que ha retornado por más de una ocasión, se procedería a recibir la información del caso, por parte del Equipo de Protección del CONNA, quienes brindan atención y protección a derechos de niñez y adolescencia, tanto en Aeropuerto Internacional Monseñor Oscar Arnulfo Romero y Galdámez, san Luis Talpa, La Paz, así como en la Dirección de Atención al Migrante, de la DGME, ubicada en colonia Quiñonez, San Salvador, dicho equipo identifica que se trata de una reincidencia, documenta el caso y procede a remitir el mismo a la Junta de Protección competente, con el objeto que inicie el procedimiento administrativo, todo de conformidad a lo establecido en los artículos 203 y 206 de la Ley de Protección Integral de la Niñez y Adolescencia (LEPINA); por la posible vulneración a derechos, a la integridad personal , artículo 37 de la Ley de Protección Integral de la Niñez y Adolescencia (LEPINA).</w:t>
      </w:r>
    </w:p>
    <w:p w:rsidR="005F6FF5" w:rsidRDefault="005F6FF5" w:rsidP="005F6FF5">
      <w:pPr>
        <w:jc w:val="both"/>
        <w:rPr>
          <w:rFonts w:cstheme="minorHAnsi"/>
        </w:rPr>
      </w:pPr>
    </w:p>
    <w:p w:rsidR="005F6FF5" w:rsidRDefault="005F6FF5" w:rsidP="005F6FF5">
      <w:pPr>
        <w:jc w:val="both"/>
        <w:rPr>
          <w:rFonts w:cstheme="minorHAnsi"/>
        </w:rPr>
      </w:pPr>
      <w:r>
        <w:rPr>
          <w:rFonts w:cstheme="minorHAnsi"/>
        </w:rPr>
        <w:t>Atentamente</w:t>
      </w:r>
    </w:p>
    <w:p w:rsidR="005F6FF5" w:rsidRDefault="005F6FF5" w:rsidP="005F6FF5">
      <w:pPr>
        <w:spacing w:after="0" w:line="240" w:lineRule="auto"/>
        <w:jc w:val="center"/>
        <w:rPr>
          <w:rFonts w:cstheme="minorHAnsi"/>
        </w:rPr>
      </w:pPr>
    </w:p>
    <w:p w:rsidR="005F6FF5" w:rsidRDefault="005F6FF5" w:rsidP="005F6FF5">
      <w:pPr>
        <w:spacing w:after="0" w:line="240" w:lineRule="auto"/>
        <w:jc w:val="center"/>
        <w:rPr>
          <w:rFonts w:cstheme="minorHAnsi"/>
        </w:rPr>
      </w:pPr>
    </w:p>
    <w:p w:rsidR="005F6FF5" w:rsidRDefault="005F6FF5" w:rsidP="005F6FF5">
      <w:pPr>
        <w:spacing w:after="0" w:line="240" w:lineRule="auto"/>
        <w:jc w:val="center"/>
        <w:rPr>
          <w:rFonts w:cstheme="minorHAnsi"/>
        </w:rPr>
      </w:pPr>
    </w:p>
    <w:p w:rsidR="005F6FF5" w:rsidRDefault="005F6FF5" w:rsidP="005F6FF5">
      <w:pPr>
        <w:spacing w:after="0" w:line="240" w:lineRule="auto"/>
        <w:jc w:val="center"/>
        <w:rPr>
          <w:rFonts w:cstheme="minorHAnsi"/>
        </w:rPr>
      </w:pPr>
    </w:p>
    <w:p w:rsidR="005F6FF5" w:rsidRDefault="005F6FF5" w:rsidP="005F6FF5">
      <w:pPr>
        <w:spacing w:after="0" w:line="240" w:lineRule="auto"/>
        <w:jc w:val="center"/>
        <w:rPr>
          <w:rFonts w:cstheme="minorHAnsi"/>
        </w:rPr>
      </w:pPr>
    </w:p>
    <w:p w:rsidR="005F6FF5" w:rsidRDefault="005F6FF5" w:rsidP="005F6FF5">
      <w:pPr>
        <w:spacing w:after="0" w:line="240" w:lineRule="auto"/>
        <w:jc w:val="center"/>
        <w:rPr>
          <w:rFonts w:cstheme="minorHAnsi"/>
        </w:rPr>
      </w:pPr>
    </w:p>
    <w:p w:rsidR="005F6FF5" w:rsidRDefault="005F6FF5" w:rsidP="005F6FF5">
      <w:pPr>
        <w:spacing w:after="0" w:line="240" w:lineRule="auto"/>
        <w:jc w:val="center"/>
        <w:rPr>
          <w:rFonts w:cstheme="minorHAnsi"/>
        </w:rPr>
      </w:pPr>
      <w:r>
        <w:rPr>
          <w:rFonts w:cstheme="minorHAnsi"/>
        </w:rPr>
        <w:t>Silvia Soledad Orellana Guillén</w:t>
      </w:r>
    </w:p>
    <w:p w:rsidR="005F6FF5" w:rsidRPr="007445E9" w:rsidRDefault="005F6FF5" w:rsidP="005F6FF5">
      <w:pPr>
        <w:spacing w:after="0" w:line="240" w:lineRule="auto"/>
        <w:jc w:val="center"/>
      </w:pPr>
      <w:r>
        <w:rPr>
          <w:rFonts w:cstheme="minorHAnsi"/>
        </w:rPr>
        <w:t>Oficial de Información</w:t>
      </w:r>
    </w:p>
    <w:p w:rsidR="005F6FF5" w:rsidRPr="007445E9" w:rsidRDefault="005F6FF5" w:rsidP="008E0C9B">
      <w:pPr>
        <w:spacing w:after="0" w:line="240" w:lineRule="auto"/>
        <w:jc w:val="center"/>
      </w:pPr>
    </w:p>
    <w:sectPr w:rsidR="005F6FF5" w:rsidRPr="007445E9" w:rsidSect="00AD3031">
      <w:headerReference w:type="default" r:id="rId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CFC" w:rsidRDefault="002E3CFC" w:rsidP="00711CF3">
      <w:pPr>
        <w:spacing w:after="0" w:line="240" w:lineRule="auto"/>
      </w:pPr>
      <w:r>
        <w:separator/>
      </w:r>
    </w:p>
  </w:endnote>
  <w:endnote w:type="continuationSeparator" w:id="0">
    <w:p w:rsidR="002E3CFC" w:rsidRDefault="002E3CFC" w:rsidP="0071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CFC" w:rsidRDefault="002E3CFC" w:rsidP="00711CF3">
      <w:pPr>
        <w:spacing w:after="0" w:line="240" w:lineRule="auto"/>
      </w:pPr>
      <w:r>
        <w:separator/>
      </w:r>
    </w:p>
  </w:footnote>
  <w:footnote w:type="continuationSeparator" w:id="0">
    <w:p w:rsidR="002E3CFC" w:rsidRDefault="002E3CFC" w:rsidP="00711CF3">
      <w:pPr>
        <w:spacing w:after="0" w:line="240" w:lineRule="auto"/>
      </w:pPr>
      <w:r>
        <w:continuationSeparator/>
      </w:r>
    </w:p>
  </w:footnote>
  <w:footnote w:id="1">
    <w:p w:rsidR="00AD3031" w:rsidRDefault="00AD3031" w:rsidP="00AD3031">
      <w:pPr>
        <w:pStyle w:val="Textonotapie"/>
        <w:jc w:val="both"/>
      </w:pPr>
      <w:r>
        <w:rPr>
          <w:rStyle w:val="Refdenotaalpie"/>
        </w:rPr>
        <w:footnoteRef/>
      </w:r>
      <w:r>
        <w:t xml:space="preserve"> Una misma niña, niño o adolescente puede estar incluido en las reincidencias de varios años o del mismo año.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031" w:rsidRDefault="00AD3031">
    <w:pPr>
      <w:pStyle w:val="Encabezado"/>
    </w:pPr>
    <w:r w:rsidRPr="00AD3031">
      <w:rPr>
        <w:noProof/>
        <w:lang w:eastAsia="es-SV"/>
      </w:rPr>
      <w:drawing>
        <wp:anchor distT="0" distB="0" distL="114300" distR="114300" simplePos="0" relativeHeight="251659264" behindDoc="1" locked="0" layoutInCell="1" allowOverlap="1" wp14:anchorId="12BD9842" wp14:editId="0E86CE08">
          <wp:simplePos x="0" y="0"/>
          <wp:positionH relativeFrom="margin">
            <wp:posOffset>84455</wp:posOffset>
          </wp:positionH>
          <wp:positionV relativeFrom="paragraph">
            <wp:posOffset>-307340</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scudonacional.png"/>
                  <pic:cNvPicPr/>
                </pic:nvPicPr>
                <pic:blipFill>
                  <a:blip r:embed="rId1">
                    <a:extLst>
                      <a:ext uri="{28A0092B-C50C-407E-A947-70E740481C1C}">
                        <a14:useLocalDpi xmlns:a14="http://schemas.microsoft.com/office/drawing/2010/main" val="0"/>
                      </a:ext>
                    </a:extLst>
                  </a:blip>
                  <a:stretch>
                    <a:fillRect/>
                  </a:stretch>
                </pic:blipFill>
                <pic:spPr>
                  <a:xfrm>
                    <a:off x="0" y="0"/>
                    <a:ext cx="739140" cy="704850"/>
                  </a:xfrm>
                  <a:prstGeom prst="rect">
                    <a:avLst/>
                  </a:prstGeom>
                </pic:spPr>
              </pic:pic>
            </a:graphicData>
          </a:graphic>
          <wp14:sizeRelH relativeFrom="margin">
            <wp14:pctWidth>0</wp14:pctWidth>
          </wp14:sizeRelH>
          <wp14:sizeRelV relativeFrom="margin">
            <wp14:pctHeight>0</wp14:pctHeight>
          </wp14:sizeRelV>
        </wp:anchor>
      </w:drawing>
    </w:r>
    <w:r w:rsidRPr="00AD3031">
      <w:rPr>
        <w:noProof/>
        <w:lang w:eastAsia="es-SV"/>
      </w:rPr>
      <w:drawing>
        <wp:anchor distT="0" distB="0" distL="114300" distR="114300" simplePos="0" relativeHeight="251660288" behindDoc="1" locked="0" layoutInCell="1" allowOverlap="1" wp14:anchorId="65CA5E8D" wp14:editId="1F9A458E">
          <wp:simplePos x="0" y="0"/>
          <wp:positionH relativeFrom="column">
            <wp:posOffset>4869151</wp:posOffset>
          </wp:positionH>
          <wp:positionV relativeFrom="paragraph">
            <wp:posOffset>-308920</wp:posOffset>
          </wp:positionV>
          <wp:extent cx="994410" cy="698500"/>
          <wp:effectExtent l="0" t="0" r="0" b="6350"/>
          <wp:wrapTight wrapText="bothSides">
            <wp:wrapPolygon edited="0">
              <wp:start x="0" y="0"/>
              <wp:lineTo x="0" y="21207"/>
              <wp:lineTo x="21103" y="21207"/>
              <wp:lineTo x="211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26646" t="16700" r="17384" b="13436"/>
                  <a:stretch/>
                </pic:blipFill>
                <pic:spPr bwMode="auto">
                  <a:xfrm>
                    <a:off x="0" y="0"/>
                    <a:ext cx="994410" cy="698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0210"/>
    <w:multiLevelType w:val="hybridMultilevel"/>
    <w:tmpl w:val="A3D48FA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962834"/>
    <w:multiLevelType w:val="hybridMultilevel"/>
    <w:tmpl w:val="44A6FC9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58C6992"/>
    <w:multiLevelType w:val="hybridMultilevel"/>
    <w:tmpl w:val="8FE820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9406CC"/>
    <w:multiLevelType w:val="hybridMultilevel"/>
    <w:tmpl w:val="FB44057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654F58"/>
    <w:multiLevelType w:val="hybridMultilevel"/>
    <w:tmpl w:val="EDB0FE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B0F32D4"/>
    <w:multiLevelType w:val="hybridMultilevel"/>
    <w:tmpl w:val="15B41C5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1A27E0D"/>
    <w:multiLevelType w:val="hybridMultilevel"/>
    <w:tmpl w:val="EE18BB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7187445"/>
    <w:multiLevelType w:val="hybridMultilevel"/>
    <w:tmpl w:val="506E1246"/>
    <w:lvl w:ilvl="0" w:tplc="C896B200">
      <w:start w:val="3"/>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1F7673"/>
    <w:multiLevelType w:val="hybridMultilevel"/>
    <w:tmpl w:val="220A2602"/>
    <w:lvl w:ilvl="0" w:tplc="60564262">
      <w:start w:val="1"/>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31084240"/>
    <w:multiLevelType w:val="hybridMultilevel"/>
    <w:tmpl w:val="BF6AF9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3271FF2"/>
    <w:multiLevelType w:val="hybridMultilevel"/>
    <w:tmpl w:val="7812F082"/>
    <w:lvl w:ilvl="0" w:tplc="050032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72D03F9"/>
    <w:multiLevelType w:val="hybridMultilevel"/>
    <w:tmpl w:val="7AA0DED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9814039"/>
    <w:multiLevelType w:val="hybridMultilevel"/>
    <w:tmpl w:val="9B4422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9AD6491"/>
    <w:multiLevelType w:val="multilevel"/>
    <w:tmpl w:val="C7BAD4DE"/>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4" w15:restartNumberingAfterBreak="0">
    <w:nsid w:val="39BB0093"/>
    <w:multiLevelType w:val="hybridMultilevel"/>
    <w:tmpl w:val="25582DCC"/>
    <w:lvl w:ilvl="0" w:tplc="4C224714">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A116AC6"/>
    <w:multiLevelType w:val="hybridMultilevel"/>
    <w:tmpl w:val="0C64D7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BD06AD7"/>
    <w:multiLevelType w:val="hybridMultilevel"/>
    <w:tmpl w:val="EDD239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A25F73"/>
    <w:multiLevelType w:val="hybridMultilevel"/>
    <w:tmpl w:val="C74E92BC"/>
    <w:lvl w:ilvl="0" w:tplc="125E0874">
      <w:start w:val="1"/>
      <w:numFmt w:val="lowerLetter"/>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8" w15:restartNumberingAfterBreak="0">
    <w:nsid w:val="44C632B9"/>
    <w:multiLevelType w:val="hybridMultilevel"/>
    <w:tmpl w:val="90AC8670"/>
    <w:lvl w:ilvl="0" w:tplc="A7FABD30">
      <w:start w:val="3"/>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52E3877"/>
    <w:multiLevelType w:val="hybridMultilevel"/>
    <w:tmpl w:val="219226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AE33AB0"/>
    <w:multiLevelType w:val="hybridMultilevel"/>
    <w:tmpl w:val="77A42B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D36C81"/>
    <w:multiLevelType w:val="hybridMultilevel"/>
    <w:tmpl w:val="EE605D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ECB0ECE"/>
    <w:multiLevelType w:val="hybridMultilevel"/>
    <w:tmpl w:val="50E24FA0"/>
    <w:lvl w:ilvl="0" w:tplc="289C6930">
      <w:start w:val="1"/>
      <w:numFmt w:val="bullet"/>
      <w:lvlText w:val="•"/>
      <w:lvlJc w:val="left"/>
      <w:pPr>
        <w:tabs>
          <w:tab w:val="num" w:pos="720"/>
        </w:tabs>
        <w:ind w:left="720" w:hanging="360"/>
      </w:pPr>
      <w:rPr>
        <w:rFonts w:ascii="Arial" w:hAnsi="Arial" w:hint="default"/>
      </w:rPr>
    </w:lvl>
    <w:lvl w:ilvl="1" w:tplc="D9344B94" w:tentative="1">
      <w:start w:val="1"/>
      <w:numFmt w:val="bullet"/>
      <w:lvlText w:val="•"/>
      <w:lvlJc w:val="left"/>
      <w:pPr>
        <w:tabs>
          <w:tab w:val="num" w:pos="1440"/>
        </w:tabs>
        <w:ind w:left="1440" w:hanging="360"/>
      </w:pPr>
      <w:rPr>
        <w:rFonts w:ascii="Arial" w:hAnsi="Arial" w:hint="default"/>
      </w:rPr>
    </w:lvl>
    <w:lvl w:ilvl="2" w:tplc="FB22D75C" w:tentative="1">
      <w:start w:val="1"/>
      <w:numFmt w:val="bullet"/>
      <w:lvlText w:val="•"/>
      <w:lvlJc w:val="left"/>
      <w:pPr>
        <w:tabs>
          <w:tab w:val="num" w:pos="2160"/>
        </w:tabs>
        <w:ind w:left="2160" w:hanging="360"/>
      </w:pPr>
      <w:rPr>
        <w:rFonts w:ascii="Arial" w:hAnsi="Arial" w:hint="default"/>
      </w:rPr>
    </w:lvl>
    <w:lvl w:ilvl="3" w:tplc="7DE2DD06" w:tentative="1">
      <w:start w:val="1"/>
      <w:numFmt w:val="bullet"/>
      <w:lvlText w:val="•"/>
      <w:lvlJc w:val="left"/>
      <w:pPr>
        <w:tabs>
          <w:tab w:val="num" w:pos="2880"/>
        </w:tabs>
        <w:ind w:left="2880" w:hanging="360"/>
      </w:pPr>
      <w:rPr>
        <w:rFonts w:ascii="Arial" w:hAnsi="Arial" w:hint="default"/>
      </w:rPr>
    </w:lvl>
    <w:lvl w:ilvl="4" w:tplc="EB76A4C4" w:tentative="1">
      <w:start w:val="1"/>
      <w:numFmt w:val="bullet"/>
      <w:lvlText w:val="•"/>
      <w:lvlJc w:val="left"/>
      <w:pPr>
        <w:tabs>
          <w:tab w:val="num" w:pos="3600"/>
        </w:tabs>
        <w:ind w:left="3600" w:hanging="360"/>
      </w:pPr>
      <w:rPr>
        <w:rFonts w:ascii="Arial" w:hAnsi="Arial" w:hint="default"/>
      </w:rPr>
    </w:lvl>
    <w:lvl w:ilvl="5" w:tplc="7D06DD56" w:tentative="1">
      <w:start w:val="1"/>
      <w:numFmt w:val="bullet"/>
      <w:lvlText w:val="•"/>
      <w:lvlJc w:val="left"/>
      <w:pPr>
        <w:tabs>
          <w:tab w:val="num" w:pos="4320"/>
        </w:tabs>
        <w:ind w:left="4320" w:hanging="360"/>
      </w:pPr>
      <w:rPr>
        <w:rFonts w:ascii="Arial" w:hAnsi="Arial" w:hint="default"/>
      </w:rPr>
    </w:lvl>
    <w:lvl w:ilvl="6" w:tplc="A4CA6006" w:tentative="1">
      <w:start w:val="1"/>
      <w:numFmt w:val="bullet"/>
      <w:lvlText w:val="•"/>
      <w:lvlJc w:val="left"/>
      <w:pPr>
        <w:tabs>
          <w:tab w:val="num" w:pos="5040"/>
        </w:tabs>
        <w:ind w:left="5040" w:hanging="360"/>
      </w:pPr>
      <w:rPr>
        <w:rFonts w:ascii="Arial" w:hAnsi="Arial" w:hint="default"/>
      </w:rPr>
    </w:lvl>
    <w:lvl w:ilvl="7" w:tplc="46048402" w:tentative="1">
      <w:start w:val="1"/>
      <w:numFmt w:val="bullet"/>
      <w:lvlText w:val="•"/>
      <w:lvlJc w:val="left"/>
      <w:pPr>
        <w:tabs>
          <w:tab w:val="num" w:pos="5760"/>
        </w:tabs>
        <w:ind w:left="5760" w:hanging="360"/>
      </w:pPr>
      <w:rPr>
        <w:rFonts w:ascii="Arial" w:hAnsi="Arial" w:hint="default"/>
      </w:rPr>
    </w:lvl>
    <w:lvl w:ilvl="8" w:tplc="C068D35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9C4377"/>
    <w:multiLevelType w:val="hybridMultilevel"/>
    <w:tmpl w:val="9EAA58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94B62C8"/>
    <w:multiLevelType w:val="hybridMultilevel"/>
    <w:tmpl w:val="900825B2"/>
    <w:lvl w:ilvl="0" w:tplc="6B7AAE48">
      <w:start w:val="1"/>
      <w:numFmt w:val="lowerLetter"/>
      <w:lvlText w:val="%1)"/>
      <w:lvlJc w:val="left"/>
      <w:pPr>
        <w:ind w:left="810" w:hanging="45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AEC5D3B"/>
    <w:multiLevelType w:val="hybridMultilevel"/>
    <w:tmpl w:val="CBB09498"/>
    <w:lvl w:ilvl="0" w:tplc="4CC48732">
      <w:numFmt w:val="bullet"/>
      <w:lvlText w:val="-"/>
      <w:lvlJc w:val="left"/>
      <w:pPr>
        <w:ind w:left="720" w:hanging="360"/>
      </w:pPr>
      <w:rPr>
        <w:rFonts w:ascii="Calibri" w:eastAsiaTheme="minorHAnsi" w:hAnsi="Calibri" w:cstheme="minorBidi"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0C060DA"/>
    <w:multiLevelType w:val="hybridMultilevel"/>
    <w:tmpl w:val="904655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34B03D5"/>
    <w:multiLevelType w:val="hybridMultilevel"/>
    <w:tmpl w:val="7BD0497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4571991"/>
    <w:multiLevelType w:val="hybridMultilevel"/>
    <w:tmpl w:val="8E40A3D8"/>
    <w:lvl w:ilvl="0" w:tplc="AF2E171A">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63A138D"/>
    <w:multiLevelType w:val="hybridMultilevel"/>
    <w:tmpl w:val="36C227E0"/>
    <w:lvl w:ilvl="0" w:tplc="0EBEE69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665E6AA7"/>
    <w:multiLevelType w:val="hybridMultilevel"/>
    <w:tmpl w:val="9C02A102"/>
    <w:lvl w:ilvl="0" w:tplc="746E2804">
      <w:start w:val="1"/>
      <w:numFmt w:val="bullet"/>
      <w:lvlText w:val="•"/>
      <w:lvlJc w:val="left"/>
      <w:pPr>
        <w:tabs>
          <w:tab w:val="num" w:pos="720"/>
        </w:tabs>
        <w:ind w:left="720" w:hanging="360"/>
      </w:pPr>
      <w:rPr>
        <w:rFonts w:ascii="Arial" w:hAnsi="Arial" w:hint="default"/>
      </w:rPr>
    </w:lvl>
    <w:lvl w:ilvl="1" w:tplc="77522AB0" w:tentative="1">
      <w:start w:val="1"/>
      <w:numFmt w:val="bullet"/>
      <w:lvlText w:val="•"/>
      <w:lvlJc w:val="left"/>
      <w:pPr>
        <w:tabs>
          <w:tab w:val="num" w:pos="1440"/>
        </w:tabs>
        <w:ind w:left="1440" w:hanging="360"/>
      </w:pPr>
      <w:rPr>
        <w:rFonts w:ascii="Arial" w:hAnsi="Arial" w:hint="default"/>
      </w:rPr>
    </w:lvl>
    <w:lvl w:ilvl="2" w:tplc="2A94E066">
      <w:start w:val="1"/>
      <w:numFmt w:val="bullet"/>
      <w:lvlText w:val="•"/>
      <w:lvlJc w:val="left"/>
      <w:pPr>
        <w:tabs>
          <w:tab w:val="num" w:pos="2160"/>
        </w:tabs>
        <w:ind w:left="2160" w:hanging="360"/>
      </w:pPr>
      <w:rPr>
        <w:rFonts w:ascii="Arial" w:hAnsi="Arial" w:hint="default"/>
      </w:rPr>
    </w:lvl>
    <w:lvl w:ilvl="3" w:tplc="67C0BDC6" w:tentative="1">
      <w:start w:val="1"/>
      <w:numFmt w:val="bullet"/>
      <w:lvlText w:val="•"/>
      <w:lvlJc w:val="left"/>
      <w:pPr>
        <w:tabs>
          <w:tab w:val="num" w:pos="2880"/>
        </w:tabs>
        <w:ind w:left="2880" w:hanging="360"/>
      </w:pPr>
      <w:rPr>
        <w:rFonts w:ascii="Arial" w:hAnsi="Arial" w:hint="default"/>
      </w:rPr>
    </w:lvl>
    <w:lvl w:ilvl="4" w:tplc="0FC68AF2" w:tentative="1">
      <w:start w:val="1"/>
      <w:numFmt w:val="bullet"/>
      <w:lvlText w:val="•"/>
      <w:lvlJc w:val="left"/>
      <w:pPr>
        <w:tabs>
          <w:tab w:val="num" w:pos="3600"/>
        </w:tabs>
        <w:ind w:left="3600" w:hanging="360"/>
      </w:pPr>
      <w:rPr>
        <w:rFonts w:ascii="Arial" w:hAnsi="Arial" w:hint="default"/>
      </w:rPr>
    </w:lvl>
    <w:lvl w:ilvl="5" w:tplc="F35A8438" w:tentative="1">
      <w:start w:val="1"/>
      <w:numFmt w:val="bullet"/>
      <w:lvlText w:val="•"/>
      <w:lvlJc w:val="left"/>
      <w:pPr>
        <w:tabs>
          <w:tab w:val="num" w:pos="4320"/>
        </w:tabs>
        <w:ind w:left="4320" w:hanging="360"/>
      </w:pPr>
      <w:rPr>
        <w:rFonts w:ascii="Arial" w:hAnsi="Arial" w:hint="default"/>
      </w:rPr>
    </w:lvl>
    <w:lvl w:ilvl="6" w:tplc="FF621980" w:tentative="1">
      <w:start w:val="1"/>
      <w:numFmt w:val="bullet"/>
      <w:lvlText w:val="•"/>
      <w:lvlJc w:val="left"/>
      <w:pPr>
        <w:tabs>
          <w:tab w:val="num" w:pos="5040"/>
        </w:tabs>
        <w:ind w:left="5040" w:hanging="360"/>
      </w:pPr>
      <w:rPr>
        <w:rFonts w:ascii="Arial" w:hAnsi="Arial" w:hint="default"/>
      </w:rPr>
    </w:lvl>
    <w:lvl w:ilvl="7" w:tplc="BC20CBE6" w:tentative="1">
      <w:start w:val="1"/>
      <w:numFmt w:val="bullet"/>
      <w:lvlText w:val="•"/>
      <w:lvlJc w:val="left"/>
      <w:pPr>
        <w:tabs>
          <w:tab w:val="num" w:pos="5760"/>
        </w:tabs>
        <w:ind w:left="5760" w:hanging="360"/>
      </w:pPr>
      <w:rPr>
        <w:rFonts w:ascii="Arial" w:hAnsi="Arial" w:hint="default"/>
      </w:rPr>
    </w:lvl>
    <w:lvl w:ilvl="8" w:tplc="B3925CE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2A0589"/>
    <w:multiLevelType w:val="hybridMultilevel"/>
    <w:tmpl w:val="6CD0CC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A5724C"/>
    <w:multiLevelType w:val="hybridMultilevel"/>
    <w:tmpl w:val="C004157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B420CB9"/>
    <w:multiLevelType w:val="hybridMultilevel"/>
    <w:tmpl w:val="4F84E0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B584CDE"/>
    <w:multiLevelType w:val="hybridMultilevel"/>
    <w:tmpl w:val="646CF9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F86427F"/>
    <w:multiLevelType w:val="hybridMultilevel"/>
    <w:tmpl w:val="0540DC3A"/>
    <w:lvl w:ilvl="0" w:tplc="4CC48732">
      <w:numFmt w:val="bullet"/>
      <w:lvlText w:val="-"/>
      <w:lvlJc w:val="left"/>
      <w:pPr>
        <w:ind w:left="720" w:hanging="360"/>
      </w:pPr>
      <w:rPr>
        <w:rFonts w:ascii="Calibri" w:eastAsiaTheme="minorHAnsi" w:hAnsi="Calibri" w:cstheme="minorBidi"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0B77749"/>
    <w:multiLevelType w:val="hybridMultilevel"/>
    <w:tmpl w:val="11789F0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2087517"/>
    <w:multiLevelType w:val="hybridMultilevel"/>
    <w:tmpl w:val="38244E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2F86345"/>
    <w:multiLevelType w:val="hybridMultilevel"/>
    <w:tmpl w:val="669849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8E6FC0"/>
    <w:multiLevelType w:val="hybridMultilevel"/>
    <w:tmpl w:val="21AABE52"/>
    <w:lvl w:ilvl="0" w:tplc="1B225E10">
      <w:start w:val="3"/>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7CF083A"/>
    <w:multiLevelType w:val="hybridMultilevel"/>
    <w:tmpl w:val="2F505D72"/>
    <w:lvl w:ilvl="0" w:tplc="12FC8BD0">
      <w:start w:val="1"/>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95032D4"/>
    <w:multiLevelType w:val="hybridMultilevel"/>
    <w:tmpl w:val="538C74F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D4048BF"/>
    <w:multiLevelType w:val="hybridMultilevel"/>
    <w:tmpl w:val="E230C7B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DAB6E43"/>
    <w:multiLevelType w:val="multilevel"/>
    <w:tmpl w:val="418C01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eastAsiaTheme="minorHAnsi" w:hAnsiTheme="minorHAnsi" w:cstheme="minorBidi" w:hint="default"/>
        <w:sz w:val="22"/>
      </w:rPr>
    </w:lvl>
    <w:lvl w:ilvl="2">
      <w:start w:val="1"/>
      <w:numFmt w:val="decimal"/>
      <w:isLgl/>
      <w:lvlText w:val="%1.%2.%3."/>
      <w:lvlJc w:val="left"/>
      <w:pPr>
        <w:ind w:left="1080" w:hanging="720"/>
      </w:pPr>
      <w:rPr>
        <w:rFonts w:asciiTheme="minorHAnsi" w:eastAsiaTheme="minorHAnsi" w:hAnsiTheme="minorHAnsi" w:cstheme="minorBidi" w:hint="default"/>
        <w:sz w:val="22"/>
      </w:rPr>
    </w:lvl>
    <w:lvl w:ilvl="3">
      <w:start w:val="1"/>
      <w:numFmt w:val="decimal"/>
      <w:isLgl/>
      <w:lvlText w:val="%1.%2.%3.%4."/>
      <w:lvlJc w:val="left"/>
      <w:pPr>
        <w:ind w:left="1080" w:hanging="720"/>
      </w:pPr>
      <w:rPr>
        <w:rFonts w:asciiTheme="minorHAnsi" w:eastAsiaTheme="minorHAnsi" w:hAnsiTheme="minorHAnsi" w:cstheme="minorBidi" w:hint="default"/>
        <w:sz w:val="22"/>
      </w:rPr>
    </w:lvl>
    <w:lvl w:ilvl="4">
      <w:start w:val="1"/>
      <w:numFmt w:val="decimal"/>
      <w:isLgl/>
      <w:lvlText w:val="%1.%2.%3.%4.%5."/>
      <w:lvlJc w:val="left"/>
      <w:pPr>
        <w:ind w:left="1440" w:hanging="1080"/>
      </w:pPr>
      <w:rPr>
        <w:rFonts w:asciiTheme="minorHAnsi" w:eastAsiaTheme="minorHAnsi" w:hAnsiTheme="minorHAnsi" w:cstheme="minorBidi" w:hint="default"/>
        <w:sz w:val="22"/>
      </w:rPr>
    </w:lvl>
    <w:lvl w:ilvl="5">
      <w:start w:val="1"/>
      <w:numFmt w:val="decimal"/>
      <w:isLgl/>
      <w:lvlText w:val="%1.%2.%3.%4.%5.%6."/>
      <w:lvlJc w:val="left"/>
      <w:pPr>
        <w:ind w:left="1440" w:hanging="1080"/>
      </w:pPr>
      <w:rPr>
        <w:rFonts w:asciiTheme="minorHAnsi" w:eastAsiaTheme="minorHAnsi" w:hAnsiTheme="minorHAnsi" w:cstheme="minorBidi" w:hint="default"/>
        <w:sz w:val="22"/>
      </w:rPr>
    </w:lvl>
    <w:lvl w:ilvl="6">
      <w:start w:val="1"/>
      <w:numFmt w:val="decimal"/>
      <w:isLgl/>
      <w:lvlText w:val="%1.%2.%3.%4.%5.%6.%7."/>
      <w:lvlJc w:val="left"/>
      <w:pPr>
        <w:ind w:left="1800" w:hanging="1440"/>
      </w:pPr>
      <w:rPr>
        <w:rFonts w:asciiTheme="minorHAnsi" w:eastAsiaTheme="minorHAnsi" w:hAnsiTheme="minorHAnsi" w:cstheme="minorBidi" w:hint="default"/>
        <w:sz w:val="22"/>
      </w:rPr>
    </w:lvl>
    <w:lvl w:ilvl="7">
      <w:start w:val="1"/>
      <w:numFmt w:val="decimal"/>
      <w:isLgl/>
      <w:lvlText w:val="%1.%2.%3.%4.%5.%6.%7.%8."/>
      <w:lvlJc w:val="left"/>
      <w:pPr>
        <w:ind w:left="1800" w:hanging="1440"/>
      </w:pPr>
      <w:rPr>
        <w:rFonts w:asciiTheme="minorHAnsi" w:eastAsiaTheme="minorHAnsi" w:hAnsiTheme="minorHAnsi" w:cstheme="minorBidi" w:hint="default"/>
        <w:sz w:val="22"/>
      </w:rPr>
    </w:lvl>
    <w:lvl w:ilvl="8">
      <w:start w:val="1"/>
      <w:numFmt w:val="decimal"/>
      <w:isLgl/>
      <w:lvlText w:val="%1.%2.%3.%4.%5.%6.%7.%8.%9."/>
      <w:lvlJc w:val="left"/>
      <w:pPr>
        <w:ind w:left="2160" w:hanging="1800"/>
      </w:pPr>
      <w:rPr>
        <w:rFonts w:asciiTheme="minorHAnsi" w:eastAsiaTheme="minorHAnsi" w:hAnsiTheme="minorHAnsi" w:cstheme="minorBidi" w:hint="default"/>
        <w:sz w:val="22"/>
      </w:rPr>
    </w:lvl>
  </w:abstractNum>
  <w:abstractNum w:abstractNumId="44" w15:restartNumberingAfterBreak="0">
    <w:nsid w:val="7E1A1047"/>
    <w:multiLevelType w:val="hybridMultilevel"/>
    <w:tmpl w:val="7488EA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EB10E63"/>
    <w:multiLevelType w:val="hybridMultilevel"/>
    <w:tmpl w:val="24A2B8D2"/>
    <w:lvl w:ilvl="0" w:tplc="745C558A">
      <w:numFmt w:val="bullet"/>
      <w:lvlText w:val="-"/>
      <w:lvlJc w:val="left"/>
      <w:pPr>
        <w:ind w:left="720" w:hanging="360"/>
      </w:pPr>
      <w:rPr>
        <w:rFonts w:ascii="Calibri" w:eastAsia="Times New Roman"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4426A4"/>
    <w:multiLevelType w:val="hybridMultilevel"/>
    <w:tmpl w:val="1082A99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9"/>
  </w:num>
  <w:num w:numId="4">
    <w:abstractNumId w:val="16"/>
  </w:num>
  <w:num w:numId="5">
    <w:abstractNumId w:val="2"/>
  </w:num>
  <w:num w:numId="6">
    <w:abstractNumId w:val="1"/>
  </w:num>
  <w:num w:numId="7">
    <w:abstractNumId w:val="0"/>
  </w:num>
  <w:num w:numId="8">
    <w:abstractNumId w:val="44"/>
  </w:num>
  <w:num w:numId="9">
    <w:abstractNumId w:val="12"/>
  </w:num>
  <w:num w:numId="10">
    <w:abstractNumId w:val="41"/>
  </w:num>
  <w:num w:numId="11">
    <w:abstractNumId w:val="33"/>
  </w:num>
  <w:num w:numId="12">
    <w:abstractNumId w:val="42"/>
  </w:num>
  <w:num w:numId="13">
    <w:abstractNumId w:val="21"/>
  </w:num>
  <w:num w:numId="14">
    <w:abstractNumId w:val="15"/>
  </w:num>
  <w:num w:numId="15">
    <w:abstractNumId w:val="29"/>
  </w:num>
  <w:num w:numId="16">
    <w:abstractNumId w:val="31"/>
  </w:num>
  <w:num w:numId="17">
    <w:abstractNumId w:val="46"/>
  </w:num>
  <w:num w:numId="18">
    <w:abstractNumId w:val="19"/>
  </w:num>
  <w:num w:numId="19">
    <w:abstractNumId w:val="5"/>
  </w:num>
  <w:num w:numId="20">
    <w:abstractNumId w:val="17"/>
  </w:num>
  <w:num w:numId="21">
    <w:abstractNumId w:val="3"/>
  </w:num>
  <w:num w:numId="22">
    <w:abstractNumId w:val="26"/>
  </w:num>
  <w:num w:numId="23">
    <w:abstractNumId w:val="36"/>
  </w:num>
  <w:num w:numId="24">
    <w:abstractNumId w:val="18"/>
  </w:num>
  <w:num w:numId="25">
    <w:abstractNumId w:val="4"/>
  </w:num>
  <w:num w:numId="26">
    <w:abstractNumId w:val="43"/>
  </w:num>
  <w:num w:numId="27">
    <w:abstractNumId w:val="34"/>
  </w:num>
  <w:num w:numId="28">
    <w:abstractNumId w:val="28"/>
  </w:num>
  <w:num w:numId="29">
    <w:abstractNumId w:val="22"/>
  </w:num>
  <w:num w:numId="30">
    <w:abstractNumId w:val="8"/>
  </w:num>
  <w:num w:numId="31">
    <w:abstractNumId w:val="30"/>
  </w:num>
  <w:num w:numId="32">
    <w:abstractNumId w:val="13"/>
  </w:num>
  <w:num w:numId="33">
    <w:abstractNumId w:val="14"/>
  </w:num>
  <w:num w:numId="34">
    <w:abstractNumId w:val="20"/>
  </w:num>
  <w:num w:numId="35">
    <w:abstractNumId w:val="7"/>
  </w:num>
  <w:num w:numId="36">
    <w:abstractNumId w:val="39"/>
  </w:num>
  <w:num w:numId="37">
    <w:abstractNumId w:val="37"/>
  </w:num>
  <w:num w:numId="38">
    <w:abstractNumId w:val="11"/>
  </w:num>
  <w:num w:numId="39">
    <w:abstractNumId w:val="45"/>
  </w:num>
  <w:num w:numId="40">
    <w:abstractNumId w:val="10"/>
  </w:num>
  <w:num w:numId="41">
    <w:abstractNumId w:val="24"/>
  </w:num>
  <w:num w:numId="42">
    <w:abstractNumId w:val="40"/>
  </w:num>
  <w:num w:numId="43">
    <w:abstractNumId w:val="25"/>
  </w:num>
  <w:num w:numId="44">
    <w:abstractNumId w:val="35"/>
  </w:num>
  <w:num w:numId="45">
    <w:abstractNumId w:val="32"/>
  </w:num>
  <w:num w:numId="46">
    <w:abstractNumId w:val="38"/>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CF3"/>
    <w:rsid w:val="00006EBB"/>
    <w:rsid w:val="00013C1D"/>
    <w:rsid w:val="00016986"/>
    <w:rsid w:val="00017B8E"/>
    <w:rsid w:val="00022061"/>
    <w:rsid w:val="00024EC9"/>
    <w:rsid w:val="000345F4"/>
    <w:rsid w:val="0003728A"/>
    <w:rsid w:val="00037970"/>
    <w:rsid w:val="00043692"/>
    <w:rsid w:val="00053945"/>
    <w:rsid w:val="00057046"/>
    <w:rsid w:val="00061CB7"/>
    <w:rsid w:val="00074355"/>
    <w:rsid w:val="00075F21"/>
    <w:rsid w:val="00076724"/>
    <w:rsid w:val="0008209F"/>
    <w:rsid w:val="00082FC2"/>
    <w:rsid w:val="0009175A"/>
    <w:rsid w:val="000961EE"/>
    <w:rsid w:val="00096FCD"/>
    <w:rsid w:val="00097BD6"/>
    <w:rsid w:val="000A1658"/>
    <w:rsid w:val="000A5F26"/>
    <w:rsid w:val="000B421F"/>
    <w:rsid w:val="000B4F29"/>
    <w:rsid w:val="000B658E"/>
    <w:rsid w:val="000C20F5"/>
    <w:rsid w:val="000C44C5"/>
    <w:rsid w:val="000D1C67"/>
    <w:rsid w:val="000D1E5F"/>
    <w:rsid w:val="000D58DF"/>
    <w:rsid w:val="000E69AA"/>
    <w:rsid w:val="000E777E"/>
    <w:rsid w:val="00102124"/>
    <w:rsid w:val="001029CB"/>
    <w:rsid w:val="00111D97"/>
    <w:rsid w:val="00113673"/>
    <w:rsid w:val="00121E1B"/>
    <w:rsid w:val="0013421E"/>
    <w:rsid w:val="001349ED"/>
    <w:rsid w:val="0013561C"/>
    <w:rsid w:val="00146A86"/>
    <w:rsid w:val="00146AE6"/>
    <w:rsid w:val="001534F4"/>
    <w:rsid w:val="00154795"/>
    <w:rsid w:val="001664C6"/>
    <w:rsid w:val="00180C5A"/>
    <w:rsid w:val="0018462E"/>
    <w:rsid w:val="0018515E"/>
    <w:rsid w:val="00195746"/>
    <w:rsid w:val="001A25B5"/>
    <w:rsid w:val="001A2EF7"/>
    <w:rsid w:val="001A7520"/>
    <w:rsid w:val="001B3340"/>
    <w:rsid w:val="001B5F87"/>
    <w:rsid w:val="001C6771"/>
    <w:rsid w:val="001D067E"/>
    <w:rsid w:val="001D49F1"/>
    <w:rsid w:val="001D6ED5"/>
    <w:rsid w:val="001D745A"/>
    <w:rsid w:val="001E05E3"/>
    <w:rsid w:val="001E28B4"/>
    <w:rsid w:val="001E5248"/>
    <w:rsid w:val="001F39FF"/>
    <w:rsid w:val="00201E9A"/>
    <w:rsid w:val="002024F2"/>
    <w:rsid w:val="00206553"/>
    <w:rsid w:val="00207F25"/>
    <w:rsid w:val="0021009F"/>
    <w:rsid w:val="002116B5"/>
    <w:rsid w:val="0021446F"/>
    <w:rsid w:val="0021649E"/>
    <w:rsid w:val="00224BA7"/>
    <w:rsid w:val="00225378"/>
    <w:rsid w:val="002258F9"/>
    <w:rsid w:val="002260FB"/>
    <w:rsid w:val="00226D04"/>
    <w:rsid w:val="00241B8E"/>
    <w:rsid w:val="002427CF"/>
    <w:rsid w:val="00243028"/>
    <w:rsid w:val="00243977"/>
    <w:rsid w:val="00274175"/>
    <w:rsid w:val="00274E54"/>
    <w:rsid w:val="00275114"/>
    <w:rsid w:val="002752F7"/>
    <w:rsid w:val="00275FCB"/>
    <w:rsid w:val="00284738"/>
    <w:rsid w:val="00285228"/>
    <w:rsid w:val="002900B5"/>
    <w:rsid w:val="002938B8"/>
    <w:rsid w:val="002A37C2"/>
    <w:rsid w:val="002A4011"/>
    <w:rsid w:val="002B48A9"/>
    <w:rsid w:val="002B7BEB"/>
    <w:rsid w:val="002C395D"/>
    <w:rsid w:val="002C586C"/>
    <w:rsid w:val="002C586D"/>
    <w:rsid w:val="002C7712"/>
    <w:rsid w:val="002D16D4"/>
    <w:rsid w:val="002D1A50"/>
    <w:rsid w:val="002D4DDC"/>
    <w:rsid w:val="002D6781"/>
    <w:rsid w:val="002E200C"/>
    <w:rsid w:val="002E3CFC"/>
    <w:rsid w:val="002E76EF"/>
    <w:rsid w:val="002F0855"/>
    <w:rsid w:val="002F5C2A"/>
    <w:rsid w:val="002F7245"/>
    <w:rsid w:val="00304211"/>
    <w:rsid w:val="0030425A"/>
    <w:rsid w:val="003130E2"/>
    <w:rsid w:val="00322FF6"/>
    <w:rsid w:val="00327DE3"/>
    <w:rsid w:val="00335A18"/>
    <w:rsid w:val="00341BE5"/>
    <w:rsid w:val="00346A3D"/>
    <w:rsid w:val="003514A4"/>
    <w:rsid w:val="00356C59"/>
    <w:rsid w:val="00367999"/>
    <w:rsid w:val="00375B4B"/>
    <w:rsid w:val="00380D0C"/>
    <w:rsid w:val="003822F8"/>
    <w:rsid w:val="00397D5A"/>
    <w:rsid w:val="003A36B7"/>
    <w:rsid w:val="003A553F"/>
    <w:rsid w:val="003B4EC3"/>
    <w:rsid w:val="003B6B0B"/>
    <w:rsid w:val="003C5F20"/>
    <w:rsid w:val="003D0532"/>
    <w:rsid w:val="003D0C78"/>
    <w:rsid w:val="003D4EE2"/>
    <w:rsid w:val="003D5941"/>
    <w:rsid w:val="003F2332"/>
    <w:rsid w:val="003F353C"/>
    <w:rsid w:val="003F66D7"/>
    <w:rsid w:val="004018A5"/>
    <w:rsid w:val="0040460B"/>
    <w:rsid w:val="004116CF"/>
    <w:rsid w:val="004221A0"/>
    <w:rsid w:val="00422402"/>
    <w:rsid w:val="00425902"/>
    <w:rsid w:val="004277F4"/>
    <w:rsid w:val="00437B18"/>
    <w:rsid w:val="00440ACE"/>
    <w:rsid w:val="004421B3"/>
    <w:rsid w:val="00442417"/>
    <w:rsid w:val="00443A13"/>
    <w:rsid w:val="004460D9"/>
    <w:rsid w:val="00450EC9"/>
    <w:rsid w:val="00451EB8"/>
    <w:rsid w:val="00465041"/>
    <w:rsid w:val="00470F4B"/>
    <w:rsid w:val="00474D81"/>
    <w:rsid w:val="00474EBF"/>
    <w:rsid w:val="004758E5"/>
    <w:rsid w:val="00475AC5"/>
    <w:rsid w:val="00483481"/>
    <w:rsid w:val="00487EAC"/>
    <w:rsid w:val="004A7FB7"/>
    <w:rsid w:val="004B019B"/>
    <w:rsid w:val="004B1F0D"/>
    <w:rsid w:val="004B55C8"/>
    <w:rsid w:val="004D5186"/>
    <w:rsid w:val="004E57FD"/>
    <w:rsid w:val="004F44A6"/>
    <w:rsid w:val="004F5A3A"/>
    <w:rsid w:val="00500F60"/>
    <w:rsid w:val="005046CA"/>
    <w:rsid w:val="00505083"/>
    <w:rsid w:val="005063A2"/>
    <w:rsid w:val="005173DF"/>
    <w:rsid w:val="005215DA"/>
    <w:rsid w:val="005216C6"/>
    <w:rsid w:val="005252BA"/>
    <w:rsid w:val="00526250"/>
    <w:rsid w:val="0053437F"/>
    <w:rsid w:val="00534B03"/>
    <w:rsid w:val="005350E9"/>
    <w:rsid w:val="005551C2"/>
    <w:rsid w:val="00556B60"/>
    <w:rsid w:val="0055713D"/>
    <w:rsid w:val="00562AAF"/>
    <w:rsid w:val="00571C05"/>
    <w:rsid w:val="00574325"/>
    <w:rsid w:val="00581491"/>
    <w:rsid w:val="005820C3"/>
    <w:rsid w:val="0058665B"/>
    <w:rsid w:val="00586B93"/>
    <w:rsid w:val="00595ACE"/>
    <w:rsid w:val="00597B22"/>
    <w:rsid w:val="005A1507"/>
    <w:rsid w:val="005A262E"/>
    <w:rsid w:val="005A4396"/>
    <w:rsid w:val="005B13B1"/>
    <w:rsid w:val="005C497E"/>
    <w:rsid w:val="005C5CEB"/>
    <w:rsid w:val="005C717C"/>
    <w:rsid w:val="005D3CD1"/>
    <w:rsid w:val="005D46B6"/>
    <w:rsid w:val="005E329D"/>
    <w:rsid w:val="005E34A3"/>
    <w:rsid w:val="005E6C1A"/>
    <w:rsid w:val="005F3D0D"/>
    <w:rsid w:val="005F507A"/>
    <w:rsid w:val="005F6A03"/>
    <w:rsid w:val="005F6FF5"/>
    <w:rsid w:val="0060264A"/>
    <w:rsid w:val="00607F16"/>
    <w:rsid w:val="006109FC"/>
    <w:rsid w:val="0061180C"/>
    <w:rsid w:val="006222D0"/>
    <w:rsid w:val="0062797E"/>
    <w:rsid w:val="00632FCC"/>
    <w:rsid w:val="0063362A"/>
    <w:rsid w:val="006448DB"/>
    <w:rsid w:val="0064640B"/>
    <w:rsid w:val="006512F9"/>
    <w:rsid w:val="00655FD5"/>
    <w:rsid w:val="00661C99"/>
    <w:rsid w:val="00662141"/>
    <w:rsid w:val="00664CA4"/>
    <w:rsid w:val="00665BDA"/>
    <w:rsid w:val="00666D9E"/>
    <w:rsid w:val="00667692"/>
    <w:rsid w:val="0067569B"/>
    <w:rsid w:val="0068037F"/>
    <w:rsid w:val="006837C1"/>
    <w:rsid w:val="00684AF0"/>
    <w:rsid w:val="00686B3F"/>
    <w:rsid w:val="00690E18"/>
    <w:rsid w:val="00695F26"/>
    <w:rsid w:val="006976B9"/>
    <w:rsid w:val="00697DEC"/>
    <w:rsid w:val="006A0362"/>
    <w:rsid w:val="006A620E"/>
    <w:rsid w:val="006A6B0B"/>
    <w:rsid w:val="006A7492"/>
    <w:rsid w:val="006B26DE"/>
    <w:rsid w:val="006B6E69"/>
    <w:rsid w:val="006B750A"/>
    <w:rsid w:val="006B78E1"/>
    <w:rsid w:val="006C2688"/>
    <w:rsid w:val="006C51AA"/>
    <w:rsid w:val="006C648F"/>
    <w:rsid w:val="006C665B"/>
    <w:rsid w:val="006C7D38"/>
    <w:rsid w:val="006D10CE"/>
    <w:rsid w:val="006D3BD8"/>
    <w:rsid w:val="006D6605"/>
    <w:rsid w:val="006E546C"/>
    <w:rsid w:val="006F05C4"/>
    <w:rsid w:val="006F164E"/>
    <w:rsid w:val="006F3000"/>
    <w:rsid w:val="006F3841"/>
    <w:rsid w:val="006F72A2"/>
    <w:rsid w:val="00702F9B"/>
    <w:rsid w:val="00704528"/>
    <w:rsid w:val="007107DD"/>
    <w:rsid w:val="00711CF3"/>
    <w:rsid w:val="00716B36"/>
    <w:rsid w:val="00723640"/>
    <w:rsid w:val="00724E40"/>
    <w:rsid w:val="00733056"/>
    <w:rsid w:val="007445E9"/>
    <w:rsid w:val="007475ED"/>
    <w:rsid w:val="00751240"/>
    <w:rsid w:val="00753ABC"/>
    <w:rsid w:val="00753F26"/>
    <w:rsid w:val="00763E81"/>
    <w:rsid w:val="00767EC0"/>
    <w:rsid w:val="00771496"/>
    <w:rsid w:val="00772A10"/>
    <w:rsid w:val="00775ADC"/>
    <w:rsid w:val="007761E6"/>
    <w:rsid w:val="00777816"/>
    <w:rsid w:val="00782447"/>
    <w:rsid w:val="0078742F"/>
    <w:rsid w:val="007915E5"/>
    <w:rsid w:val="0079690F"/>
    <w:rsid w:val="00796B75"/>
    <w:rsid w:val="007A3B54"/>
    <w:rsid w:val="007A609E"/>
    <w:rsid w:val="007B2475"/>
    <w:rsid w:val="007B6087"/>
    <w:rsid w:val="007C2142"/>
    <w:rsid w:val="007C5286"/>
    <w:rsid w:val="007D06AB"/>
    <w:rsid w:val="007D14DF"/>
    <w:rsid w:val="007D255A"/>
    <w:rsid w:val="007E7005"/>
    <w:rsid w:val="007F75D2"/>
    <w:rsid w:val="007F773A"/>
    <w:rsid w:val="00806F2A"/>
    <w:rsid w:val="00812D79"/>
    <w:rsid w:val="00816880"/>
    <w:rsid w:val="00822B30"/>
    <w:rsid w:val="00826004"/>
    <w:rsid w:val="00833ABE"/>
    <w:rsid w:val="0083498E"/>
    <w:rsid w:val="00835120"/>
    <w:rsid w:val="00841597"/>
    <w:rsid w:val="008427AC"/>
    <w:rsid w:val="008440D0"/>
    <w:rsid w:val="00845552"/>
    <w:rsid w:val="00854851"/>
    <w:rsid w:val="00860816"/>
    <w:rsid w:val="00860A4B"/>
    <w:rsid w:val="008672BE"/>
    <w:rsid w:val="00870360"/>
    <w:rsid w:val="008714A1"/>
    <w:rsid w:val="00871EA4"/>
    <w:rsid w:val="0088042B"/>
    <w:rsid w:val="00891F9D"/>
    <w:rsid w:val="0089463D"/>
    <w:rsid w:val="0089478C"/>
    <w:rsid w:val="008A1785"/>
    <w:rsid w:val="008A2B8F"/>
    <w:rsid w:val="008A34CD"/>
    <w:rsid w:val="008B49DF"/>
    <w:rsid w:val="008C3B29"/>
    <w:rsid w:val="008C3C7C"/>
    <w:rsid w:val="008D0358"/>
    <w:rsid w:val="008D276F"/>
    <w:rsid w:val="008D4178"/>
    <w:rsid w:val="008D69CE"/>
    <w:rsid w:val="008D7514"/>
    <w:rsid w:val="008E0C9B"/>
    <w:rsid w:val="008E4786"/>
    <w:rsid w:val="008E6329"/>
    <w:rsid w:val="008F1D58"/>
    <w:rsid w:val="0090123B"/>
    <w:rsid w:val="00906422"/>
    <w:rsid w:val="00916219"/>
    <w:rsid w:val="00916312"/>
    <w:rsid w:val="00921314"/>
    <w:rsid w:val="00921D30"/>
    <w:rsid w:val="00923385"/>
    <w:rsid w:val="00923D46"/>
    <w:rsid w:val="0092613F"/>
    <w:rsid w:val="009266E9"/>
    <w:rsid w:val="00930DD1"/>
    <w:rsid w:val="009317D8"/>
    <w:rsid w:val="00931A76"/>
    <w:rsid w:val="00931E9D"/>
    <w:rsid w:val="009339A6"/>
    <w:rsid w:val="009350AF"/>
    <w:rsid w:val="00936E3B"/>
    <w:rsid w:val="00945E68"/>
    <w:rsid w:val="00960556"/>
    <w:rsid w:val="0096135D"/>
    <w:rsid w:val="0096174B"/>
    <w:rsid w:val="00962941"/>
    <w:rsid w:val="00967A22"/>
    <w:rsid w:val="00970E18"/>
    <w:rsid w:val="009738EB"/>
    <w:rsid w:val="009801AC"/>
    <w:rsid w:val="0098091E"/>
    <w:rsid w:val="00983EFD"/>
    <w:rsid w:val="00993B7D"/>
    <w:rsid w:val="00995E57"/>
    <w:rsid w:val="009960E7"/>
    <w:rsid w:val="009A0144"/>
    <w:rsid w:val="009A36BB"/>
    <w:rsid w:val="009A3860"/>
    <w:rsid w:val="009A3A62"/>
    <w:rsid w:val="009B6A2F"/>
    <w:rsid w:val="009B703D"/>
    <w:rsid w:val="009C06E1"/>
    <w:rsid w:val="009C24E0"/>
    <w:rsid w:val="009C678C"/>
    <w:rsid w:val="009D2FFB"/>
    <w:rsid w:val="009D310B"/>
    <w:rsid w:val="009D7A2D"/>
    <w:rsid w:val="009F788E"/>
    <w:rsid w:val="00A05BAA"/>
    <w:rsid w:val="00A115B3"/>
    <w:rsid w:val="00A1165E"/>
    <w:rsid w:val="00A15740"/>
    <w:rsid w:val="00A21FAA"/>
    <w:rsid w:val="00A22247"/>
    <w:rsid w:val="00A3072F"/>
    <w:rsid w:val="00A31544"/>
    <w:rsid w:val="00A34DA3"/>
    <w:rsid w:val="00A5221C"/>
    <w:rsid w:val="00A61E1F"/>
    <w:rsid w:val="00A622BC"/>
    <w:rsid w:val="00A62CBF"/>
    <w:rsid w:val="00A645E4"/>
    <w:rsid w:val="00A65B74"/>
    <w:rsid w:val="00A70869"/>
    <w:rsid w:val="00A8675D"/>
    <w:rsid w:val="00A87663"/>
    <w:rsid w:val="00A966EB"/>
    <w:rsid w:val="00AA1C1B"/>
    <w:rsid w:val="00AA5855"/>
    <w:rsid w:val="00AB3409"/>
    <w:rsid w:val="00AC2956"/>
    <w:rsid w:val="00AD0AF5"/>
    <w:rsid w:val="00AD10F1"/>
    <w:rsid w:val="00AD3031"/>
    <w:rsid w:val="00AD3CA7"/>
    <w:rsid w:val="00AD7350"/>
    <w:rsid w:val="00AE1B53"/>
    <w:rsid w:val="00AE401B"/>
    <w:rsid w:val="00AF2519"/>
    <w:rsid w:val="00AF5556"/>
    <w:rsid w:val="00AF5FD6"/>
    <w:rsid w:val="00B021FD"/>
    <w:rsid w:val="00B316C6"/>
    <w:rsid w:val="00B3186C"/>
    <w:rsid w:val="00B42669"/>
    <w:rsid w:val="00B42AFD"/>
    <w:rsid w:val="00B4319C"/>
    <w:rsid w:val="00B71FC5"/>
    <w:rsid w:val="00B73A2A"/>
    <w:rsid w:val="00B74CE4"/>
    <w:rsid w:val="00B82AAD"/>
    <w:rsid w:val="00B8593F"/>
    <w:rsid w:val="00B85BFC"/>
    <w:rsid w:val="00B864AD"/>
    <w:rsid w:val="00B92033"/>
    <w:rsid w:val="00B92842"/>
    <w:rsid w:val="00BB02AD"/>
    <w:rsid w:val="00BB3C2B"/>
    <w:rsid w:val="00BB737E"/>
    <w:rsid w:val="00BC420C"/>
    <w:rsid w:val="00BC6BE2"/>
    <w:rsid w:val="00BC6C24"/>
    <w:rsid w:val="00BD1510"/>
    <w:rsid w:val="00BE084E"/>
    <w:rsid w:val="00BE369F"/>
    <w:rsid w:val="00BF181C"/>
    <w:rsid w:val="00BF3EFA"/>
    <w:rsid w:val="00BF6DDB"/>
    <w:rsid w:val="00C0035C"/>
    <w:rsid w:val="00C0203D"/>
    <w:rsid w:val="00C04E9E"/>
    <w:rsid w:val="00C1071F"/>
    <w:rsid w:val="00C11666"/>
    <w:rsid w:val="00C227E4"/>
    <w:rsid w:val="00C411FB"/>
    <w:rsid w:val="00C52F17"/>
    <w:rsid w:val="00C54E6D"/>
    <w:rsid w:val="00C60EB9"/>
    <w:rsid w:val="00C64948"/>
    <w:rsid w:val="00C67631"/>
    <w:rsid w:val="00C67968"/>
    <w:rsid w:val="00C70949"/>
    <w:rsid w:val="00C76FCB"/>
    <w:rsid w:val="00C97C82"/>
    <w:rsid w:val="00CA0EAA"/>
    <w:rsid w:val="00CA481F"/>
    <w:rsid w:val="00CA5CFB"/>
    <w:rsid w:val="00CB4478"/>
    <w:rsid w:val="00CC0E16"/>
    <w:rsid w:val="00CC1E65"/>
    <w:rsid w:val="00CC4B9F"/>
    <w:rsid w:val="00CD296E"/>
    <w:rsid w:val="00CE05F3"/>
    <w:rsid w:val="00CE15F8"/>
    <w:rsid w:val="00CE5696"/>
    <w:rsid w:val="00D0100B"/>
    <w:rsid w:val="00D0661D"/>
    <w:rsid w:val="00D10395"/>
    <w:rsid w:val="00D12B39"/>
    <w:rsid w:val="00D13A80"/>
    <w:rsid w:val="00D1419E"/>
    <w:rsid w:val="00D22666"/>
    <w:rsid w:val="00D22DEB"/>
    <w:rsid w:val="00D30169"/>
    <w:rsid w:val="00D42783"/>
    <w:rsid w:val="00D457AE"/>
    <w:rsid w:val="00D4717F"/>
    <w:rsid w:val="00D5068A"/>
    <w:rsid w:val="00D53CC0"/>
    <w:rsid w:val="00D5617B"/>
    <w:rsid w:val="00D609A7"/>
    <w:rsid w:val="00D613E7"/>
    <w:rsid w:val="00D615F2"/>
    <w:rsid w:val="00D62FE8"/>
    <w:rsid w:val="00D65412"/>
    <w:rsid w:val="00D658D6"/>
    <w:rsid w:val="00D66835"/>
    <w:rsid w:val="00D7061C"/>
    <w:rsid w:val="00D72950"/>
    <w:rsid w:val="00D75A91"/>
    <w:rsid w:val="00D762FB"/>
    <w:rsid w:val="00D76602"/>
    <w:rsid w:val="00D84F16"/>
    <w:rsid w:val="00D87527"/>
    <w:rsid w:val="00DA12C1"/>
    <w:rsid w:val="00DB0DF8"/>
    <w:rsid w:val="00DB3B19"/>
    <w:rsid w:val="00DC01A4"/>
    <w:rsid w:val="00DC06DF"/>
    <w:rsid w:val="00DC75B3"/>
    <w:rsid w:val="00DD0B38"/>
    <w:rsid w:val="00DE1D24"/>
    <w:rsid w:val="00DE2EC5"/>
    <w:rsid w:val="00DE62FE"/>
    <w:rsid w:val="00DE710E"/>
    <w:rsid w:val="00DF4698"/>
    <w:rsid w:val="00E02792"/>
    <w:rsid w:val="00E07F4D"/>
    <w:rsid w:val="00E1505C"/>
    <w:rsid w:val="00E17D85"/>
    <w:rsid w:val="00E20B97"/>
    <w:rsid w:val="00E30D99"/>
    <w:rsid w:val="00E34A17"/>
    <w:rsid w:val="00E36896"/>
    <w:rsid w:val="00E36C8A"/>
    <w:rsid w:val="00E40268"/>
    <w:rsid w:val="00E41EA2"/>
    <w:rsid w:val="00E4379A"/>
    <w:rsid w:val="00E4644A"/>
    <w:rsid w:val="00E4710B"/>
    <w:rsid w:val="00E5010B"/>
    <w:rsid w:val="00E56BEC"/>
    <w:rsid w:val="00E64396"/>
    <w:rsid w:val="00E6596C"/>
    <w:rsid w:val="00E673DB"/>
    <w:rsid w:val="00E7378B"/>
    <w:rsid w:val="00E801A0"/>
    <w:rsid w:val="00E863F5"/>
    <w:rsid w:val="00E90A56"/>
    <w:rsid w:val="00E960A8"/>
    <w:rsid w:val="00E96B66"/>
    <w:rsid w:val="00E97D97"/>
    <w:rsid w:val="00EA0F47"/>
    <w:rsid w:val="00EA1641"/>
    <w:rsid w:val="00EA1EAA"/>
    <w:rsid w:val="00EB57D6"/>
    <w:rsid w:val="00EB6BD3"/>
    <w:rsid w:val="00EC0102"/>
    <w:rsid w:val="00EC4852"/>
    <w:rsid w:val="00EC6E42"/>
    <w:rsid w:val="00EE429B"/>
    <w:rsid w:val="00EF008C"/>
    <w:rsid w:val="00EF587B"/>
    <w:rsid w:val="00EF7715"/>
    <w:rsid w:val="00F002F0"/>
    <w:rsid w:val="00F03759"/>
    <w:rsid w:val="00F10A98"/>
    <w:rsid w:val="00F23AC1"/>
    <w:rsid w:val="00F26236"/>
    <w:rsid w:val="00F30ED2"/>
    <w:rsid w:val="00F336A2"/>
    <w:rsid w:val="00F42D6A"/>
    <w:rsid w:val="00F44055"/>
    <w:rsid w:val="00F5252D"/>
    <w:rsid w:val="00F54698"/>
    <w:rsid w:val="00F55E77"/>
    <w:rsid w:val="00F5667E"/>
    <w:rsid w:val="00F61DF3"/>
    <w:rsid w:val="00F629C7"/>
    <w:rsid w:val="00F70307"/>
    <w:rsid w:val="00F72FF6"/>
    <w:rsid w:val="00F76B7C"/>
    <w:rsid w:val="00F92C7E"/>
    <w:rsid w:val="00F97385"/>
    <w:rsid w:val="00FA4FD4"/>
    <w:rsid w:val="00FB2CE3"/>
    <w:rsid w:val="00FB596A"/>
    <w:rsid w:val="00FB7B11"/>
    <w:rsid w:val="00FC1B56"/>
    <w:rsid w:val="00FC3B6C"/>
    <w:rsid w:val="00FC49D2"/>
    <w:rsid w:val="00FC6552"/>
    <w:rsid w:val="00FC6B38"/>
    <w:rsid w:val="00FD3D9E"/>
    <w:rsid w:val="00FD3FBE"/>
    <w:rsid w:val="00FE1334"/>
    <w:rsid w:val="00FE4D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A98432-57D2-4011-A332-43ED6394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1C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1CF3"/>
  </w:style>
  <w:style w:type="paragraph" w:styleId="Piedepgina">
    <w:name w:val="footer"/>
    <w:basedOn w:val="Normal"/>
    <w:link w:val="PiedepginaCar"/>
    <w:uiPriority w:val="99"/>
    <w:unhideWhenUsed/>
    <w:rsid w:val="00711C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1CF3"/>
  </w:style>
  <w:style w:type="paragraph" w:styleId="Textodeglobo">
    <w:name w:val="Balloon Text"/>
    <w:basedOn w:val="Normal"/>
    <w:link w:val="TextodegloboCar"/>
    <w:uiPriority w:val="99"/>
    <w:semiHidden/>
    <w:unhideWhenUsed/>
    <w:rsid w:val="000B65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658E"/>
    <w:rPr>
      <w:rFonts w:ascii="Segoe UI" w:hAnsi="Segoe UI" w:cs="Segoe UI"/>
      <w:sz w:val="18"/>
      <w:szCs w:val="18"/>
    </w:rPr>
  </w:style>
  <w:style w:type="character" w:styleId="Hipervnculo">
    <w:name w:val="Hyperlink"/>
    <w:basedOn w:val="Fuentedeprrafopredeter"/>
    <w:uiPriority w:val="99"/>
    <w:unhideWhenUsed/>
    <w:rsid w:val="000B658E"/>
    <w:rPr>
      <w:color w:val="0563C1" w:themeColor="hyperlink"/>
      <w:u w:val="single"/>
    </w:rPr>
  </w:style>
  <w:style w:type="paragraph" w:styleId="Revisin">
    <w:name w:val="Revision"/>
    <w:hidden/>
    <w:uiPriority w:val="99"/>
    <w:semiHidden/>
    <w:rsid w:val="00931A76"/>
    <w:pPr>
      <w:spacing w:after="0" w:line="240" w:lineRule="auto"/>
    </w:pPr>
  </w:style>
  <w:style w:type="paragraph" w:customStyle="1" w:styleId="gmail-msonormal">
    <w:name w:val="gmail-msonormal"/>
    <w:basedOn w:val="Normal"/>
    <w:rsid w:val="00076724"/>
    <w:pPr>
      <w:spacing w:before="100" w:beforeAutospacing="1" w:after="100" w:afterAutospacing="1" w:line="240" w:lineRule="auto"/>
    </w:pPr>
    <w:rPr>
      <w:rFonts w:ascii="Times New Roman" w:hAnsi="Times New Roman" w:cs="Times New Roman"/>
      <w:sz w:val="24"/>
      <w:szCs w:val="24"/>
      <w:lang w:eastAsia="es-SV"/>
    </w:rPr>
  </w:style>
  <w:style w:type="paragraph" w:customStyle="1" w:styleId="gmail-msolistparagraph">
    <w:name w:val="gmail-msolistparagraph"/>
    <w:basedOn w:val="Normal"/>
    <w:rsid w:val="00076724"/>
    <w:pPr>
      <w:spacing w:before="100" w:beforeAutospacing="1" w:after="100" w:afterAutospacing="1" w:line="240" w:lineRule="auto"/>
    </w:pPr>
    <w:rPr>
      <w:rFonts w:ascii="Times New Roman" w:hAnsi="Times New Roman" w:cs="Times New Roman"/>
      <w:sz w:val="24"/>
      <w:szCs w:val="24"/>
      <w:lang w:eastAsia="es-SV"/>
    </w:rPr>
  </w:style>
  <w:style w:type="paragraph" w:styleId="Prrafodelista">
    <w:name w:val="List Paragraph"/>
    <w:basedOn w:val="Normal"/>
    <w:link w:val="PrrafodelistaCar"/>
    <w:uiPriority w:val="34"/>
    <w:qFormat/>
    <w:rsid w:val="000A5F26"/>
    <w:pPr>
      <w:ind w:left="720"/>
      <w:contextualSpacing/>
    </w:pPr>
  </w:style>
  <w:style w:type="table" w:styleId="Tablaconcuadrcula">
    <w:name w:val="Table Grid"/>
    <w:basedOn w:val="Tablanormal"/>
    <w:uiPriority w:val="39"/>
    <w:rsid w:val="00667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FA4FD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SingleTxtG">
    <w:name w:val="_ Single Txt_G"/>
    <w:basedOn w:val="Normal"/>
    <w:link w:val="SingleTxtGCar"/>
    <w:qFormat/>
    <w:rsid w:val="007D255A"/>
    <w:pPr>
      <w:spacing w:after="120" w:line="240" w:lineRule="atLeast"/>
      <w:ind w:left="1134" w:right="1134"/>
      <w:jc w:val="both"/>
    </w:pPr>
    <w:rPr>
      <w:rFonts w:ascii="Times New Roman" w:eastAsia="Times New Roman" w:hAnsi="Times New Roman" w:cs="Times New Roman"/>
      <w:sz w:val="20"/>
      <w:szCs w:val="20"/>
      <w:lang w:val="es-ES" w:eastAsia="es-ES"/>
    </w:rPr>
  </w:style>
  <w:style w:type="character" w:customStyle="1" w:styleId="SingleTxtGCar">
    <w:name w:val="_ Single Txt_G Car"/>
    <w:link w:val="SingleTxtG"/>
    <w:locked/>
    <w:rsid w:val="007D255A"/>
    <w:rPr>
      <w:rFonts w:ascii="Times New Roman" w:eastAsia="Times New Roman" w:hAnsi="Times New Roman" w:cs="Times New Roman"/>
      <w:sz w:val="20"/>
      <w:szCs w:val="20"/>
      <w:lang w:val="es-ES" w:eastAsia="es-ES"/>
    </w:rPr>
  </w:style>
  <w:style w:type="character" w:customStyle="1" w:styleId="PrrafodelistaCar">
    <w:name w:val="Párrafo de lista Car"/>
    <w:basedOn w:val="Fuentedeprrafopredeter"/>
    <w:link w:val="Prrafodelista"/>
    <w:uiPriority w:val="34"/>
    <w:locked/>
    <w:rsid w:val="007D255A"/>
  </w:style>
  <w:style w:type="paragraph" w:styleId="Textonotapie">
    <w:name w:val="footnote text"/>
    <w:basedOn w:val="Normal"/>
    <w:link w:val="TextonotapieCar"/>
    <w:uiPriority w:val="99"/>
    <w:semiHidden/>
    <w:unhideWhenUsed/>
    <w:rsid w:val="006A74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A7492"/>
    <w:rPr>
      <w:sz w:val="20"/>
      <w:szCs w:val="20"/>
    </w:rPr>
  </w:style>
  <w:style w:type="character" w:styleId="Refdenotaalpie">
    <w:name w:val="footnote reference"/>
    <w:basedOn w:val="Fuentedeprrafopredeter"/>
    <w:uiPriority w:val="99"/>
    <w:semiHidden/>
    <w:unhideWhenUsed/>
    <w:rsid w:val="00AD30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3293">
      <w:bodyDiv w:val="1"/>
      <w:marLeft w:val="0"/>
      <w:marRight w:val="0"/>
      <w:marTop w:val="0"/>
      <w:marBottom w:val="0"/>
      <w:divBdr>
        <w:top w:val="none" w:sz="0" w:space="0" w:color="auto"/>
        <w:left w:val="none" w:sz="0" w:space="0" w:color="auto"/>
        <w:bottom w:val="none" w:sz="0" w:space="0" w:color="auto"/>
        <w:right w:val="none" w:sz="0" w:space="0" w:color="auto"/>
      </w:divBdr>
    </w:div>
    <w:div w:id="343871450">
      <w:bodyDiv w:val="1"/>
      <w:marLeft w:val="0"/>
      <w:marRight w:val="0"/>
      <w:marTop w:val="0"/>
      <w:marBottom w:val="0"/>
      <w:divBdr>
        <w:top w:val="none" w:sz="0" w:space="0" w:color="auto"/>
        <w:left w:val="none" w:sz="0" w:space="0" w:color="auto"/>
        <w:bottom w:val="none" w:sz="0" w:space="0" w:color="auto"/>
        <w:right w:val="none" w:sz="0" w:space="0" w:color="auto"/>
      </w:divBdr>
    </w:div>
    <w:div w:id="614942033">
      <w:bodyDiv w:val="1"/>
      <w:marLeft w:val="0"/>
      <w:marRight w:val="0"/>
      <w:marTop w:val="0"/>
      <w:marBottom w:val="0"/>
      <w:divBdr>
        <w:top w:val="none" w:sz="0" w:space="0" w:color="auto"/>
        <w:left w:val="none" w:sz="0" w:space="0" w:color="auto"/>
        <w:bottom w:val="none" w:sz="0" w:space="0" w:color="auto"/>
        <w:right w:val="none" w:sz="0" w:space="0" w:color="auto"/>
      </w:divBdr>
    </w:div>
    <w:div w:id="660931385">
      <w:bodyDiv w:val="1"/>
      <w:marLeft w:val="0"/>
      <w:marRight w:val="0"/>
      <w:marTop w:val="0"/>
      <w:marBottom w:val="0"/>
      <w:divBdr>
        <w:top w:val="none" w:sz="0" w:space="0" w:color="auto"/>
        <w:left w:val="none" w:sz="0" w:space="0" w:color="auto"/>
        <w:bottom w:val="none" w:sz="0" w:space="0" w:color="auto"/>
        <w:right w:val="none" w:sz="0" w:space="0" w:color="auto"/>
      </w:divBdr>
      <w:divsChild>
        <w:div w:id="1085344166">
          <w:marLeft w:val="1267"/>
          <w:marRight w:val="0"/>
          <w:marTop w:val="100"/>
          <w:marBottom w:val="0"/>
          <w:divBdr>
            <w:top w:val="none" w:sz="0" w:space="0" w:color="auto"/>
            <w:left w:val="none" w:sz="0" w:space="0" w:color="auto"/>
            <w:bottom w:val="none" w:sz="0" w:space="0" w:color="auto"/>
            <w:right w:val="none" w:sz="0" w:space="0" w:color="auto"/>
          </w:divBdr>
        </w:div>
        <w:div w:id="1693148796">
          <w:marLeft w:val="1267"/>
          <w:marRight w:val="0"/>
          <w:marTop w:val="100"/>
          <w:marBottom w:val="0"/>
          <w:divBdr>
            <w:top w:val="none" w:sz="0" w:space="0" w:color="auto"/>
            <w:left w:val="none" w:sz="0" w:space="0" w:color="auto"/>
            <w:bottom w:val="none" w:sz="0" w:space="0" w:color="auto"/>
            <w:right w:val="none" w:sz="0" w:space="0" w:color="auto"/>
          </w:divBdr>
        </w:div>
        <w:div w:id="1624579176">
          <w:marLeft w:val="1267"/>
          <w:marRight w:val="0"/>
          <w:marTop w:val="100"/>
          <w:marBottom w:val="0"/>
          <w:divBdr>
            <w:top w:val="none" w:sz="0" w:space="0" w:color="auto"/>
            <w:left w:val="none" w:sz="0" w:space="0" w:color="auto"/>
            <w:bottom w:val="none" w:sz="0" w:space="0" w:color="auto"/>
            <w:right w:val="none" w:sz="0" w:space="0" w:color="auto"/>
          </w:divBdr>
        </w:div>
        <w:div w:id="1835292809">
          <w:marLeft w:val="1267"/>
          <w:marRight w:val="0"/>
          <w:marTop w:val="100"/>
          <w:marBottom w:val="0"/>
          <w:divBdr>
            <w:top w:val="none" w:sz="0" w:space="0" w:color="auto"/>
            <w:left w:val="none" w:sz="0" w:space="0" w:color="auto"/>
            <w:bottom w:val="none" w:sz="0" w:space="0" w:color="auto"/>
            <w:right w:val="none" w:sz="0" w:space="0" w:color="auto"/>
          </w:divBdr>
        </w:div>
      </w:divsChild>
    </w:div>
    <w:div w:id="687486130">
      <w:bodyDiv w:val="1"/>
      <w:marLeft w:val="0"/>
      <w:marRight w:val="0"/>
      <w:marTop w:val="0"/>
      <w:marBottom w:val="0"/>
      <w:divBdr>
        <w:top w:val="none" w:sz="0" w:space="0" w:color="auto"/>
        <w:left w:val="none" w:sz="0" w:space="0" w:color="auto"/>
        <w:bottom w:val="none" w:sz="0" w:space="0" w:color="auto"/>
        <w:right w:val="none" w:sz="0" w:space="0" w:color="auto"/>
      </w:divBdr>
    </w:div>
    <w:div w:id="763649800">
      <w:bodyDiv w:val="1"/>
      <w:marLeft w:val="0"/>
      <w:marRight w:val="0"/>
      <w:marTop w:val="0"/>
      <w:marBottom w:val="0"/>
      <w:divBdr>
        <w:top w:val="none" w:sz="0" w:space="0" w:color="auto"/>
        <w:left w:val="none" w:sz="0" w:space="0" w:color="auto"/>
        <w:bottom w:val="none" w:sz="0" w:space="0" w:color="auto"/>
        <w:right w:val="none" w:sz="0" w:space="0" w:color="auto"/>
      </w:divBdr>
    </w:div>
    <w:div w:id="1407532275">
      <w:bodyDiv w:val="1"/>
      <w:marLeft w:val="0"/>
      <w:marRight w:val="0"/>
      <w:marTop w:val="0"/>
      <w:marBottom w:val="0"/>
      <w:divBdr>
        <w:top w:val="none" w:sz="0" w:space="0" w:color="auto"/>
        <w:left w:val="none" w:sz="0" w:space="0" w:color="auto"/>
        <w:bottom w:val="none" w:sz="0" w:space="0" w:color="auto"/>
        <w:right w:val="none" w:sz="0" w:space="0" w:color="auto"/>
      </w:divBdr>
      <w:divsChild>
        <w:div w:id="846675878">
          <w:marLeft w:val="360"/>
          <w:marRight w:val="0"/>
          <w:marTop w:val="200"/>
          <w:marBottom w:val="0"/>
          <w:divBdr>
            <w:top w:val="none" w:sz="0" w:space="0" w:color="auto"/>
            <w:left w:val="none" w:sz="0" w:space="0" w:color="auto"/>
            <w:bottom w:val="none" w:sz="0" w:space="0" w:color="auto"/>
            <w:right w:val="none" w:sz="0" w:space="0" w:color="auto"/>
          </w:divBdr>
        </w:div>
      </w:divsChild>
    </w:div>
    <w:div w:id="1851796874">
      <w:bodyDiv w:val="1"/>
      <w:marLeft w:val="0"/>
      <w:marRight w:val="0"/>
      <w:marTop w:val="0"/>
      <w:marBottom w:val="0"/>
      <w:divBdr>
        <w:top w:val="none" w:sz="0" w:space="0" w:color="auto"/>
        <w:left w:val="none" w:sz="0" w:space="0" w:color="auto"/>
        <w:bottom w:val="none" w:sz="0" w:space="0" w:color="auto"/>
        <w:right w:val="none" w:sz="0" w:space="0" w:color="auto"/>
      </w:divBdr>
    </w:div>
    <w:div w:id="18901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conna.gob.sv/sinaes/estadisticas.html?t=-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760F4-7BE6-4AE2-AA6B-DB57A6CE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10755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 UCO</dc:creator>
  <cp:keywords/>
  <dc:description/>
  <cp:lastModifiedBy>Maria Ines MH. Hernandez Vidal</cp:lastModifiedBy>
  <cp:revision>2</cp:revision>
  <cp:lastPrinted>2018-06-04T14:14:00Z</cp:lastPrinted>
  <dcterms:created xsi:type="dcterms:W3CDTF">2018-11-30T19:27:00Z</dcterms:created>
  <dcterms:modified xsi:type="dcterms:W3CDTF">2018-11-30T19:27:00Z</dcterms:modified>
</cp:coreProperties>
</file>