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2C" w:rsidRDefault="0063352C" w:rsidP="008866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es-419"/>
        </w:rPr>
      </w:pPr>
      <w:r>
        <w:rPr>
          <w:rFonts w:ascii="Calibri" w:eastAsia="Times New Roman" w:hAnsi="Calibri" w:cs="Calibri"/>
          <w:color w:val="000000"/>
          <w:lang w:eastAsia="es-419"/>
        </w:rPr>
        <w:t xml:space="preserve">Estimadas autoridades de la Unidad de Acceso a la Información Publico, en atención al requerimiento CNR-2024-0017, que corresponde a la petición del </w:t>
      </w:r>
      <w:r w:rsidR="00963DD7">
        <w:rPr>
          <w:rFonts w:ascii="Calibri" w:eastAsia="Times New Roman" w:hAnsi="Calibri" w:cs="Calibri"/>
          <w:color w:val="000000"/>
          <w:lang w:eastAsia="es-419"/>
        </w:rPr>
        <w:t>ciudadano</w:t>
      </w:r>
      <w:r>
        <w:rPr>
          <w:rFonts w:ascii="Calibri" w:eastAsia="Times New Roman" w:hAnsi="Calibri" w:cs="Calibri"/>
          <w:color w:val="000000"/>
          <w:lang w:eastAsia="es-419"/>
        </w:rPr>
        <w:t xml:space="preserve"> en relación a:</w:t>
      </w:r>
    </w:p>
    <w:p w:rsidR="0063352C" w:rsidRPr="0063352C" w:rsidRDefault="0063352C" w:rsidP="00886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Cuántas empresas fueron registradas durante el año 2022 con  actividades (elaboración, importación, exportación, comercialización, entre otras) relacionadas a productos de café y sus derivados y cuántas de éstas renovaron su matrícula de comercio en el año 2023.</w:t>
      </w:r>
    </w:p>
    <w:p w:rsidR="0063352C" w:rsidRPr="0063352C" w:rsidRDefault="0063352C" w:rsidP="00886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Cuántas empresas fueron registradas durante el año 2023 con actividades (elaboración, importación, exp</w:t>
      </w:r>
      <w:bookmarkStart w:id="0" w:name="_GoBack"/>
      <w:bookmarkEnd w:id="0"/>
      <w:r w:rsidRPr="0063352C">
        <w:rPr>
          <w:rFonts w:ascii="Calibri" w:eastAsia="Times New Roman" w:hAnsi="Calibri" w:cs="Calibri"/>
          <w:color w:val="000000"/>
          <w:lang w:eastAsia="es-419"/>
        </w:rPr>
        <w:t>ortación, comercialización, entre otras) relacionadas a productos de café y sus derivados.</w:t>
      </w:r>
    </w:p>
    <w:p w:rsidR="0063352C" w:rsidRPr="0063352C" w:rsidRDefault="0063352C" w:rsidP="00886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Listado de empresas que fueron registradas durante el año 2022 con actividades (elaboración, importación, exportación, comercialización, entre otras) relacionadas a productos de café y sus derivados. Dicho listado debe ser elaborado en un archivo de hoja de cálculo y contener las siguientes variables:</w:t>
      </w:r>
    </w:p>
    <w:p w:rsidR="0063352C" w:rsidRPr="0063352C" w:rsidRDefault="0063352C" w:rsidP="008866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Razón social</w:t>
      </w:r>
    </w:p>
    <w:p w:rsidR="0063352C" w:rsidRPr="0063352C" w:rsidRDefault="0063352C" w:rsidP="008866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Nombre comercial de la empresa</w:t>
      </w:r>
    </w:p>
    <w:p w:rsidR="0063352C" w:rsidRPr="0063352C" w:rsidRDefault="0063352C" w:rsidP="008866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Actividades (de la empresa) detalladas en el Registro de Comercio</w:t>
      </w:r>
    </w:p>
    <w:p w:rsidR="0063352C" w:rsidRPr="0063352C" w:rsidRDefault="0063352C" w:rsidP="0088668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Confirmación sobre la renovación de la matrícula de comercio en el año 2023. Por ejemplo, el nombre de la columna podría ser: "¿Renovó la matrícula de comercio en el 2023?"; y los posibles valores serían: "Sí" o "No".</w:t>
      </w:r>
    </w:p>
    <w:p w:rsidR="0063352C" w:rsidRPr="0063352C" w:rsidRDefault="0063352C" w:rsidP="00886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Listado de empresas que fueron registradas durante el año 2023 con actividades (elaboración, importación, exportación, comercialización, entre otras) relacionadas a productos de café y sus derivados. Dicho listado debe ser elaborado en un archivo de hoja de cálculo y contener las siguientes variables:</w:t>
      </w:r>
    </w:p>
    <w:p w:rsidR="0063352C" w:rsidRPr="0063352C" w:rsidRDefault="0063352C" w:rsidP="0088668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Razón social</w:t>
      </w:r>
    </w:p>
    <w:p w:rsidR="0063352C" w:rsidRPr="0063352C" w:rsidRDefault="0063352C" w:rsidP="0088668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Nombre comercial de la empresa</w:t>
      </w:r>
    </w:p>
    <w:p w:rsidR="0063352C" w:rsidRPr="0063352C" w:rsidRDefault="0063352C" w:rsidP="0088668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jc w:val="both"/>
        <w:rPr>
          <w:rFonts w:ascii="Calibri" w:eastAsia="Times New Roman" w:hAnsi="Calibri" w:cs="Calibri"/>
          <w:color w:val="000000"/>
          <w:lang w:eastAsia="es-419"/>
        </w:rPr>
      </w:pPr>
      <w:r w:rsidRPr="0063352C">
        <w:rPr>
          <w:rFonts w:ascii="Calibri" w:eastAsia="Times New Roman" w:hAnsi="Calibri" w:cs="Calibri"/>
          <w:color w:val="000000"/>
          <w:lang w:eastAsia="es-419"/>
        </w:rPr>
        <w:t>Actividades (de la empresa) detalladas en el Registro de Comercio</w:t>
      </w:r>
    </w:p>
    <w:p w:rsidR="00626107" w:rsidRDefault="00F52287" w:rsidP="00886682">
      <w:pPr>
        <w:jc w:val="both"/>
      </w:pPr>
      <w:r>
        <w:t>En atención a lo solicitado y d</w:t>
      </w:r>
      <w:r w:rsidR="0063352C" w:rsidRPr="0063352C">
        <w:t xml:space="preserve">espués de </w:t>
      </w:r>
      <w:r w:rsidR="00241EB9">
        <w:t>analizar</w:t>
      </w:r>
      <w:r w:rsidR="0063352C" w:rsidRPr="0063352C">
        <w:t xml:space="preserve"> el contenido del anterior requerimiento, </w:t>
      </w:r>
      <w:r w:rsidR="00626107">
        <w:t>gestionad</w:t>
      </w:r>
      <w:r w:rsidR="00586021">
        <w:t>o</w:t>
      </w:r>
      <w:r w:rsidR="0063352C" w:rsidRPr="0063352C">
        <w:t xml:space="preserve"> ante el Registro de </w:t>
      </w:r>
      <w:r w:rsidR="0063352C">
        <w:t>Comercio</w:t>
      </w:r>
      <w:r w:rsidR="0063352C" w:rsidRPr="0063352C">
        <w:t xml:space="preserve"> </w:t>
      </w:r>
      <w:r w:rsidR="00594AD7">
        <w:t>para</w:t>
      </w:r>
      <w:r w:rsidR="00586021">
        <w:t xml:space="preserve"> que este brinde respuesta,</w:t>
      </w:r>
      <w:r w:rsidR="0063352C" w:rsidRPr="0063352C">
        <w:t xml:space="preserve"> </w:t>
      </w:r>
      <w:r w:rsidR="00886682">
        <w:t>se verificó</w:t>
      </w:r>
      <w:r w:rsidR="0063352C" w:rsidRPr="0063352C">
        <w:t xml:space="preserve"> que</w:t>
      </w:r>
      <w:r w:rsidR="00626107">
        <w:t xml:space="preserve"> el Registro de Comercio no cuenta </w:t>
      </w:r>
      <w:r w:rsidR="0063352C" w:rsidRPr="0063352C">
        <w:t xml:space="preserve"> con la información </w:t>
      </w:r>
      <w:r w:rsidR="00626107" w:rsidRPr="0063352C">
        <w:t xml:space="preserve">que el </w:t>
      </w:r>
      <w:r w:rsidR="00594AD7" w:rsidRPr="0063352C">
        <w:t>ciudadano</w:t>
      </w:r>
      <w:r w:rsidR="00626107" w:rsidRPr="0063352C">
        <w:t xml:space="preserve"> requiere</w:t>
      </w:r>
      <w:r w:rsidR="00594AD7">
        <w:t xml:space="preserve"> bajo </w:t>
      </w:r>
      <w:r w:rsidR="00586021">
        <w:t xml:space="preserve">la </w:t>
      </w:r>
      <w:r w:rsidR="00594AD7">
        <w:t>modalidad</w:t>
      </w:r>
      <w:r w:rsidR="00886682">
        <w:t xml:space="preserve"> que é</w:t>
      </w:r>
      <w:r w:rsidR="00586021">
        <w:t>l indica en la petición</w:t>
      </w:r>
      <w:r w:rsidR="00886682">
        <w:t>,</w:t>
      </w:r>
      <w:r w:rsidR="00594AD7">
        <w:t xml:space="preserve"> en </w:t>
      </w:r>
      <w:r w:rsidR="00626107">
        <w:t xml:space="preserve"> vista que el Registro no captura datos baj</w:t>
      </w:r>
      <w:r w:rsidR="006D6E81">
        <w:t xml:space="preserve">o un detalle </w:t>
      </w:r>
      <w:r w:rsidR="00594AD7">
        <w:t>de</w:t>
      </w:r>
      <w:r w:rsidR="00886682">
        <w:t xml:space="preserve"> especialización de la</w:t>
      </w:r>
      <w:r w:rsidR="006D6E81">
        <w:t xml:space="preserve">s </w:t>
      </w:r>
      <w:r w:rsidR="00626107">
        <w:t xml:space="preserve">actividades </w:t>
      </w:r>
      <w:r w:rsidR="006D6E81">
        <w:t>que</w:t>
      </w:r>
      <w:r w:rsidR="00586021">
        <w:t xml:space="preserve"> los comerciantes individuales o</w:t>
      </w:r>
      <w:r w:rsidR="006D6E81">
        <w:t xml:space="preserve"> empresa </w:t>
      </w:r>
      <w:r w:rsidR="00586021">
        <w:t xml:space="preserve">sociales </w:t>
      </w:r>
      <w:r w:rsidR="006D6E81">
        <w:t>registra</w:t>
      </w:r>
      <w:r w:rsidR="00586021">
        <w:t>n</w:t>
      </w:r>
      <w:r w:rsidR="006D6E81">
        <w:t>.</w:t>
      </w:r>
    </w:p>
    <w:p w:rsidR="006D6E81" w:rsidRDefault="006D6E81" w:rsidP="00886682">
      <w:pPr>
        <w:jc w:val="both"/>
      </w:pPr>
      <w:r>
        <w:t>S</w:t>
      </w:r>
      <w:r w:rsidRPr="0063352C">
        <w:t xml:space="preserve">in embargo, </w:t>
      </w:r>
      <w:r w:rsidR="00586021">
        <w:t>existe</w:t>
      </w:r>
      <w:r w:rsidR="00594AD7">
        <w:t xml:space="preserve"> </w:t>
      </w:r>
      <w:r w:rsidRPr="0063352C">
        <w:t>información</w:t>
      </w:r>
      <w:r w:rsidR="00586021">
        <w:t xml:space="preserve"> </w:t>
      </w:r>
      <w:r w:rsidR="008801A7">
        <w:t xml:space="preserve">de acceso libre </w:t>
      </w:r>
      <w:r w:rsidR="00586021">
        <w:t xml:space="preserve">a </w:t>
      </w:r>
      <w:r w:rsidR="00886682">
        <w:t>disposición</w:t>
      </w:r>
      <w:r w:rsidR="006A0BA4">
        <w:t xml:space="preserve"> de los ciudadanos</w:t>
      </w:r>
      <w:r w:rsidR="00594AD7">
        <w:t xml:space="preserve"> sobre cualquier empresa</w:t>
      </w:r>
      <w:r w:rsidR="00886682">
        <w:t xml:space="preserve"> que</w:t>
      </w:r>
      <w:r w:rsidR="00594AD7">
        <w:t xml:space="preserve"> </w:t>
      </w:r>
      <w:r w:rsidRPr="0063352C">
        <w:t>puede ser consultada de manera directa y gratuita en los expedientes</w:t>
      </w:r>
      <w:r w:rsidR="00886682">
        <w:t xml:space="preserve"> que se encuentran a la orden</w:t>
      </w:r>
      <w:r w:rsidRPr="0063352C">
        <w:t xml:space="preserve"> del público</w:t>
      </w:r>
      <w:r w:rsidR="00020072">
        <w:t xml:space="preserve"> a través de</w:t>
      </w:r>
      <w:r w:rsidRPr="0063352C">
        <w:t xml:space="preserve"> las ventani</w:t>
      </w:r>
      <w:r w:rsidR="00241EB9">
        <w:t>llas de atención al cliente o</w:t>
      </w:r>
      <w:r w:rsidR="00886682">
        <w:t xml:space="preserve"> en las </w:t>
      </w:r>
      <w:r w:rsidRPr="0063352C">
        <w:t xml:space="preserve">máquinas </w:t>
      </w:r>
      <w:r w:rsidR="00687F26">
        <w:t xml:space="preserve">de consulta </w:t>
      </w:r>
      <w:r w:rsidRPr="0063352C">
        <w:t xml:space="preserve">en las diferentes oficinas del Registro de </w:t>
      </w:r>
      <w:r>
        <w:t>Comercio.</w:t>
      </w:r>
    </w:p>
    <w:p w:rsidR="00A43952" w:rsidRPr="00A43952" w:rsidRDefault="00594AD7" w:rsidP="001E74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Así mismo se encuentra </w:t>
      </w:r>
      <w:r w:rsidR="008801A7">
        <w:t>disponible</w:t>
      </w:r>
      <w:r w:rsidR="00B9706E">
        <w:t xml:space="preserve"> </w:t>
      </w:r>
      <w:r w:rsidRPr="0063352C">
        <w:t>la consulta directa</w:t>
      </w:r>
      <w:r w:rsidR="00241EB9">
        <w:t xml:space="preserve"> que é</w:t>
      </w:r>
      <w:r w:rsidRPr="0063352C">
        <w:t>l ciudadano</w:t>
      </w:r>
      <w:r>
        <w:t xml:space="preserve"> </w:t>
      </w:r>
      <w:r w:rsidR="00241EB9">
        <w:t xml:space="preserve">puede </w:t>
      </w:r>
      <w:r w:rsidR="004716B0">
        <w:t>comprobar</w:t>
      </w:r>
      <w:r w:rsidR="00B9706E">
        <w:t xml:space="preserve"> por</w:t>
      </w:r>
      <w:r w:rsidR="00241EB9">
        <w:t xml:space="preserve"> </w:t>
      </w:r>
      <w:r>
        <w:t xml:space="preserve"> medio de la página web:  </w:t>
      </w:r>
      <w:hyperlink r:id="rId5" w:tgtFrame="_blank" w:history="1">
        <w:r w:rsidR="006D6E81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https://www.transparencia.gob.sv/institutions/cnr/documents/estadisticas</w:t>
        </w:r>
      </w:hyperlink>
      <w:r>
        <w:t xml:space="preserve">, en el apartado que corresponde a </w:t>
      </w:r>
      <w:r w:rsidR="00A43952">
        <w:t>E</w:t>
      </w:r>
      <w:r w:rsidR="00586021">
        <w:t>stadísticas, cuadro 5 y 7 Demanda de Servicios de Registro de Comercio</w:t>
      </w:r>
      <w:r w:rsidR="00A43952">
        <w:t xml:space="preserve"> y en apartado que corresponde a Servicios en él cuadro </w:t>
      </w:r>
      <w:r w:rsidR="00A43952" w:rsidRPr="00A43952">
        <w:rPr>
          <w:rFonts w:cstheme="minorHAnsi"/>
        </w:rPr>
        <w:t>7</w:t>
      </w:r>
      <w:r w:rsidR="00A43952">
        <w:rPr>
          <w:rFonts w:cstheme="minorHAnsi"/>
        </w:rPr>
        <w:t xml:space="preserve"> número, Renovación de Matrículas años 2019 a 2023 </w:t>
      </w:r>
      <w:r w:rsidR="00A43952" w:rsidRPr="00A43952">
        <w:rPr>
          <w:rFonts w:cstheme="minorHAnsi"/>
        </w:rPr>
        <w:t>:</w:t>
      </w:r>
      <w:r w:rsidR="00A43952">
        <w:rPr>
          <w:rFonts w:cstheme="minorHAnsi"/>
        </w:rPr>
        <w:t xml:space="preserve"> </w:t>
      </w:r>
      <w:r w:rsidR="00A43952" w:rsidRPr="00A43952">
        <w:rPr>
          <w:rFonts w:cstheme="minorHAnsi"/>
        </w:rPr>
        <w:t xml:space="preserve"> Demanda de servicios del CNR relacionados a la Dinámica Comercial</w:t>
      </w:r>
    </w:p>
    <w:p w:rsidR="006D6E81" w:rsidRPr="00A43952" w:rsidRDefault="00A43952" w:rsidP="001E745D">
      <w:pPr>
        <w:jc w:val="both"/>
        <w:rPr>
          <w:rFonts w:cstheme="minorHAnsi"/>
        </w:rPr>
      </w:pPr>
      <w:r w:rsidRPr="00A43952">
        <w:rPr>
          <w:rFonts w:cstheme="minorHAnsi"/>
        </w:rPr>
        <w:t>(Acumulado a noviembre de cada año)</w:t>
      </w:r>
      <w:r w:rsidR="00586021" w:rsidRPr="00A43952">
        <w:rPr>
          <w:rFonts w:cstheme="minorHAnsi"/>
        </w:rPr>
        <w:t>.</w:t>
      </w:r>
    </w:p>
    <w:p w:rsidR="008272D2" w:rsidRDefault="008272D2" w:rsidP="001E745D">
      <w:pPr>
        <w:jc w:val="both"/>
      </w:pPr>
      <w:r>
        <w:t>Por lo que se hace del conocimiento.</w:t>
      </w:r>
    </w:p>
    <w:sectPr w:rsidR="00827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6726A"/>
    <w:multiLevelType w:val="multilevel"/>
    <w:tmpl w:val="5CEC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2C"/>
    <w:rsid w:val="00020072"/>
    <w:rsid w:val="001E0AAD"/>
    <w:rsid w:val="001E745D"/>
    <w:rsid w:val="00241EB9"/>
    <w:rsid w:val="002B39CE"/>
    <w:rsid w:val="00364A55"/>
    <w:rsid w:val="003E436C"/>
    <w:rsid w:val="004716B0"/>
    <w:rsid w:val="004D787F"/>
    <w:rsid w:val="00586021"/>
    <w:rsid w:val="00594AD7"/>
    <w:rsid w:val="00626107"/>
    <w:rsid w:val="0063352C"/>
    <w:rsid w:val="00687F26"/>
    <w:rsid w:val="006A0BA4"/>
    <w:rsid w:val="006A6094"/>
    <w:rsid w:val="006D6E81"/>
    <w:rsid w:val="007C7B36"/>
    <w:rsid w:val="008272D2"/>
    <w:rsid w:val="008801A7"/>
    <w:rsid w:val="00886682"/>
    <w:rsid w:val="00963DD7"/>
    <w:rsid w:val="00A43952"/>
    <w:rsid w:val="00B50FD0"/>
    <w:rsid w:val="00B9706E"/>
    <w:rsid w:val="00CE124B"/>
    <w:rsid w:val="00D60F48"/>
    <w:rsid w:val="00F5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0DCBAA-6A32-49D2-8057-6D673BB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3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cnr/documents/estadistic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Wilber Alas</dc:creator>
  <cp:keywords/>
  <dc:description/>
  <cp:lastModifiedBy>Elda Mercedes Lopez de Jimenez</cp:lastModifiedBy>
  <cp:revision>2</cp:revision>
  <dcterms:created xsi:type="dcterms:W3CDTF">2024-02-23T16:19:00Z</dcterms:created>
  <dcterms:modified xsi:type="dcterms:W3CDTF">2024-02-23T16:19:00Z</dcterms:modified>
</cp:coreProperties>
</file>