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noProof/>
          <w:sz w:val="24"/>
          <w:szCs w:val="24"/>
          <w:lang w:eastAsia="es-419"/>
        </w:rPr>
        <w:drawing>
          <wp:anchor distT="0" distB="0" distL="114300" distR="114300" simplePos="0" relativeHeight="251659264" behindDoc="0" locked="0" layoutInCell="1" allowOverlap="1" wp14:anchorId="5ABAA97E" wp14:editId="460520EA">
            <wp:simplePos x="0" y="0"/>
            <wp:positionH relativeFrom="column">
              <wp:posOffset>1736090</wp:posOffset>
            </wp:positionH>
            <wp:positionV relativeFrom="paragraph">
              <wp:posOffset>160655</wp:posOffset>
            </wp:positionV>
            <wp:extent cx="2101850" cy="1859915"/>
            <wp:effectExtent l="0" t="0" r="0" b="6985"/>
            <wp:wrapNone/>
            <wp:docPr id="2" name="Imagen 1" descr="Log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2573" w:right="-20" w:firstLine="259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CONSEJO NACIONAL DE ENERGIA</w:t>
      </w:r>
    </w:p>
    <w:p w:rsidR="003E7F8A" w:rsidRPr="00FB6C4C" w:rsidRDefault="003E7F8A" w:rsidP="00590F46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UNIDAD DE GESTION</w:t>
      </w:r>
      <w:r w:rsidR="00590F46">
        <w:rPr>
          <w:rFonts w:ascii="Arial" w:hAnsi="Arial" w:cs="Arial"/>
          <w:b/>
          <w:bCs/>
          <w:color w:val="030707"/>
          <w:sz w:val="24"/>
          <w:szCs w:val="24"/>
        </w:rPr>
        <w:t xml:space="preserve">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DOCUMENTAL Y ARCHIVOS</w:t>
      </w: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pacing w:val="21"/>
          <w:sz w:val="24"/>
          <w:szCs w:val="24"/>
        </w:rPr>
      </w:pPr>
      <w:r>
        <w:rPr>
          <w:rFonts w:ascii="Arial" w:hAnsi="Arial" w:cs="Arial"/>
          <w:b/>
          <w:bCs/>
          <w:color w:val="030707"/>
          <w:sz w:val="24"/>
          <w:szCs w:val="24"/>
        </w:rPr>
        <w:t xml:space="preserve">CUADRO CLASIFICACION DOCUMENTAL </w:t>
      </w: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>
        <w:rPr>
          <w:rFonts w:ascii="Arial" w:hAnsi="Arial" w:cs="Arial"/>
          <w:b/>
          <w:bCs/>
          <w:color w:val="030707"/>
          <w:sz w:val="24"/>
          <w:szCs w:val="24"/>
        </w:rPr>
        <w:t>2d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a. Versión</w:t>
      </w: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3E7F8A" w:rsidRPr="00FB6C4C" w:rsidRDefault="0077245F" w:rsidP="0077245F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>
        <w:rPr>
          <w:rFonts w:ascii="Arial" w:hAnsi="Arial" w:cs="Arial"/>
          <w:b/>
          <w:bCs/>
          <w:color w:val="030707"/>
          <w:sz w:val="24"/>
          <w:szCs w:val="24"/>
        </w:rPr>
        <w:t>20</w:t>
      </w:r>
      <w:r w:rsidR="003E7F8A">
        <w:rPr>
          <w:rFonts w:ascii="Arial" w:hAnsi="Arial" w:cs="Arial"/>
          <w:b/>
          <w:bCs/>
          <w:color w:val="030707"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color w:val="030707"/>
          <w:sz w:val="24"/>
          <w:szCs w:val="24"/>
        </w:rPr>
        <w:t xml:space="preserve"> Septiembre de 2019</w:t>
      </w:r>
    </w:p>
    <w:tbl>
      <w:tblPr>
        <w:tblStyle w:val="Tablaconcuadrcula"/>
        <w:tblpPr w:leftFromText="141" w:rightFromText="141" w:vertAnchor="page" w:horzAnchor="margin" w:tblpY="10093"/>
        <w:tblW w:w="0" w:type="auto"/>
        <w:tblLook w:val="04A0" w:firstRow="1" w:lastRow="0" w:firstColumn="1" w:lastColumn="0" w:noHBand="0" w:noVBand="1"/>
      </w:tblPr>
      <w:tblGrid>
        <w:gridCol w:w="4123"/>
        <w:gridCol w:w="4371"/>
      </w:tblGrid>
      <w:tr w:rsidR="003E7F8A" w:rsidRPr="00CC331C" w:rsidTr="00AF6691">
        <w:tc>
          <w:tcPr>
            <w:tcW w:w="9215" w:type="dxa"/>
            <w:gridSpan w:val="2"/>
          </w:tcPr>
          <w:p w:rsidR="003E7F8A" w:rsidRPr="00CC331C" w:rsidRDefault="003E7F8A" w:rsidP="0077245F">
            <w:pPr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Aprobación De Documento</w:t>
            </w:r>
          </w:p>
        </w:tc>
      </w:tr>
      <w:tr w:rsidR="003E7F8A" w:rsidRPr="00CC331C" w:rsidTr="00AF6691">
        <w:tc>
          <w:tcPr>
            <w:tcW w:w="4503" w:type="dxa"/>
          </w:tcPr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Elaboro </w:t>
            </w:r>
          </w:p>
        </w:tc>
        <w:tc>
          <w:tcPr>
            <w:tcW w:w="4712" w:type="dxa"/>
          </w:tcPr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Aprobó</w:t>
            </w:r>
          </w:p>
        </w:tc>
      </w:tr>
      <w:tr w:rsidR="003E7F8A" w:rsidRPr="00CC331C" w:rsidTr="00AF6691">
        <w:trPr>
          <w:trHeight w:val="1070"/>
        </w:trPr>
        <w:tc>
          <w:tcPr>
            <w:tcW w:w="4503" w:type="dxa"/>
          </w:tcPr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 </w:t>
            </w:r>
          </w:p>
        </w:tc>
      </w:tr>
      <w:tr w:rsidR="003E7F8A" w:rsidRPr="00CC331C" w:rsidTr="00AF6691">
        <w:trPr>
          <w:trHeight w:val="1141"/>
        </w:trPr>
        <w:tc>
          <w:tcPr>
            <w:tcW w:w="4503" w:type="dxa"/>
          </w:tcPr>
          <w:p w:rsidR="003E7F8A" w:rsidRPr="00590F46" w:rsidRDefault="003E7F8A" w:rsidP="00AF6691">
            <w:pPr>
              <w:jc w:val="center"/>
              <w:rPr>
                <w:rFonts w:ascii="Arial" w:hAnsi="Arial" w:cs="Arial"/>
                <w:b/>
                <w:bCs/>
                <w:color w:val="070A0C"/>
                <w:position w:val="-1"/>
                <w:sz w:val="20"/>
                <w:szCs w:val="20"/>
              </w:rPr>
            </w:pPr>
            <w:r w:rsidRPr="00590F46">
              <w:rPr>
                <w:rFonts w:ascii="Arial" w:hAnsi="Arial" w:cs="Arial"/>
                <w:b/>
                <w:bCs/>
                <w:color w:val="070A0C"/>
                <w:position w:val="-1"/>
                <w:sz w:val="20"/>
                <w:szCs w:val="20"/>
              </w:rPr>
              <w:t>Lic. Mario Ernesto García Funes</w:t>
            </w:r>
          </w:p>
          <w:p w:rsidR="003E7F8A" w:rsidRPr="00CC331C" w:rsidRDefault="003E7F8A" w:rsidP="00AF6691">
            <w:pPr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Oficial de Gestión Documental y Archivo</w:t>
            </w:r>
          </w:p>
          <w:p w:rsidR="003E7F8A" w:rsidRPr="00CC331C" w:rsidRDefault="003E7F8A" w:rsidP="00AF6691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Unidad de Gestión Documental  y Archivo</w:t>
            </w:r>
          </w:p>
        </w:tc>
        <w:tc>
          <w:tcPr>
            <w:tcW w:w="4712" w:type="dxa"/>
          </w:tcPr>
          <w:p w:rsidR="003E7F8A" w:rsidRPr="00590F46" w:rsidRDefault="003E7F8A" w:rsidP="00AF6691">
            <w:pPr>
              <w:jc w:val="center"/>
              <w:rPr>
                <w:rFonts w:ascii="Arial" w:hAnsi="Arial" w:cs="Arial"/>
                <w:b/>
                <w:bCs/>
                <w:color w:val="070A0C"/>
                <w:position w:val="-1"/>
                <w:sz w:val="20"/>
                <w:szCs w:val="20"/>
              </w:rPr>
            </w:pPr>
            <w:r w:rsidRPr="00590F46">
              <w:rPr>
                <w:rFonts w:ascii="Arial" w:hAnsi="Arial" w:cs="Arial"/>
                <w:b/>
                <w:bCs/>
                <w:color w:val="070A0C"/>
                <w:position w:val="-1"/>
                <w:sz w:val="20"/>
                <w:szCs w:val="20"/>
              </w:rPr>
              <w:t>Licda. María Concepción Gómez Guardado</w:t>
            </w:r>
          </w:p>
          <w:p w:rsidR="003E7F8A" w:rsidRPr="00CC331C" w:rsidRDefault="003E7F8A" w:rsidP="00AF6691">
            <w:pPr>
              <w:ind w:right="301"/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Directora de Finanzas y Administración</w:t>
            </w:r>
          </w:p>
          <w:p w:rsidR="003E7F8A" w:rsidRPr="00CC331C" w:rsidRDefault="003E7F8A" w:rsidP="00590F46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(Delegada mediante Disposición A</w:t>
            </w:r>
            <w:r w:rsidR="00590F46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dministrativa No. 14 del 2017, a </w:t>
            </w: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aprobar Normativa y documentos de Implementación del Sistema Institucional de Gestión Documental y Archivos)  </w:t>
            </w:r>
          </w:p>
        </w:tc>
      </w:tr>
    </w:tbl>
    <w:p w:rsidR="003E7F8A" w:rsidRPr="00FB6C4C" w:rsidRDefault="003E7F8A" w:rsidP="003E7F8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color w:val="000000"/>
          <w:sz w:val="24"/>
          <w:szCs w:val="24"/>
        </w:rPr>
      </w:pPr>
    </w:p>
    <w:p w:rsidR="0077245F" w:rsidRDefault="0077245F" w:rsidP="00590F46">
      <w:pPr>
        <w:jc w:val="both"/>
      </w:pPr>
    </w:p>
    <w:p w:rsidR="0077245F" w:rsidRDefault="0077245F" w:rsidP="00590F46">
      <w:pPr>
        <w:jc w:val="both"/>
      </w:pPr>
    </w:p>
    <w:p w:rsidR="00590F46" w:rsidRDefault="00590F46" w:rsidP="0077245F">
      <w:pPr>
        <w:jc w:val="center"/>
      </w:pPr>
      <w:r>
        <w:t xml:space="preserve">Consejo Nacional de </w:t>
      </w:r>
      <w:r w:rsidR="0077245F">
        <w:t>Energía</w:t>
      </w:r>
      <w:r>
        <w:t xml:space="preserve">, Calle El Mirador y Novena Calle Poniente, numero #249, Colonia </w:t>
      </w:r>
      <w:r w:rsidR="0077245F">
        <w:t>Escalón</w:t>
      </w:r>
      <w:r>
        <w:t xml:space="preserve">, San Salvador, El Salvador. </w:t>
      </w:r>
      <w:r w:rsidR="0077245F">
        <w:t>Teléfono</w:t>
      </w:r>
      <w:r>
        <w:t xml:space="preserve"> (503) 2233</w:t>
      </w:r>
      <w:r w:rsidR="0077245F">
        <w:t xml:space="preserve">-7900 </w:t>
      </w:r>
      <w:r>
        <w:t>WWW. CNE.GOB.SV</w:t>
      </w:r>
    </w:p>
    <w:p w:rsidR="003E7F8A" w:rsidRDefault="003E7F8A"/>
    <w:p w:rsidR="00590F46" w:rsidRDefault="00590F46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90F46" w:rsidTr="001564BA">
        <w:tc>
          <w:tcPr>
            <w:tcW w:w="8494" w:type="dxa"/>
            <w:gridSpan w:val="3"/>
          </w:tcPr>
          <w:p w:rsidR="00590F46" w:rsidRDefault="00590F46" w:rsidP="00590F46">
            <w:pPr>
              <w:jc w:val="center"/>
            </w:pPr>
            <w:r>
              <w:t>Aviso de modificaciones</w:t>
            </w:r>
          </w:p>
        </w:tc>
      </w:tr>
      <w:tr w:rsidR="00590F46" w:rsidTr="00590F46">
        <w:tc>
          <w:tcPr>
            <w:tcW w:w="2831" w:type="dxa"/>
          </w:tcPr>
          <w:p w:rsidR="00590F46" w:rsidRDefault="00590F46">
            <w:r>
              <w:t>Cambios en documentos</w:t>
            </w:r>
          </w:p>
        </w:tc>
        <w:tc>
          <w:tcPr>
            <w:tcW w:w="2831" w:type="dxa"/>
          </w:tcPr>
          <w:p w:rsidR="00590F46" w:rsidRDefault="00590F46">
            <w:r>
              <w:t>Cambios en Formulario</w:t>
            </w:r>
          </w:p>
        </w:tc>
        <w:tc>
          <w:tcPr>
            <w:tcW w:w="2832" w:type="dxa"/>
          </w:tcPr>
          <w:p w:rsidR="00590F46" w:rsidRDefault="00590F46">
            <w:r>
              <w:t xml:space="preserve">Descripción </w:t>
            </w:r>
          </w:p>
        </w:tc>
      </w:tr>
      <w:tr w:rsidR="00590F46" w:rsidTr="00590F46">
        <w:tc>
          <w:tcPr>
            <w:tcW w:w="2831" w:type="dxa"/>
          </w:tcPr>
          <w:p w:rsidR="00590F46" w:rsidRPr="0077245F" w:rsidRDefault="00590F46" w:rsidP="0077245F">
            <w:pPr>
              <w:pStyle w:val="Prrafodelista"/>
              <w:numPr>
                <w:ilvl w:val="0"/>
                <w:numId w:val="5"/>
              </w:numPr>
              <w:ind w:left="164" w:hanging="218"/>
            </w:pPr>
            <w:r w:rsidRPr="0077245F">
              <w:t>Cuadro de Clasificación Documental</w:t>
            </w:r>
          </w:p>
        </w:tc>
        <w:tc>
          <w:tcPr>
            <w:tcW w:w="2831" w:type="dxa"/>
          </w:tcPr>
          <w:p w:rsidR="00590F46" w:rsidRDefault="0077245F">
            <w:r>
              <w:t xml:space="preserve">  N/A</w:t>
            </w:r>
          </w:p>
        </w:tc>
        <w:tc>
          <w:tcPr>
            <w:tcW w:w="2832" w:type="dxa"/>
          </w:tcPr>
          <w:p w:rsidR="00590F46" w:rsidRPr="00590F46" w:rsidRDefault="00590F46" w:rsidP="00590F46">
            <w:pPr>
              <w:pStyle w:val="Prrafodelista"/>
              <w:numPr>
                <w:ilvl w:val="0"/>
                <w:numId w:val="4"/>
              </w:numPr>
              <w:tabs>
                <w:tab w:val="left" w:pos="322"/>
              </w:tabs>
              <w:ind w:left="322" w:hanging="322"/>
              <w:jc w:val="both"/>
            </w:pPr>
            <w:r>
              <w:t xml:space="preserve">Se modifica el esquema de elaboración del Cuadro de </w:t>
            </w:r>
            <w:r w:rsidR="0077245F">
              <w:t>Clasificación</w:t>
            </w:r>
            <w:r>
              <w:t xml:space="preserve"> Documental, la versión 1 se </w:t>
            </w:r>
            <w:r w:rsidR="0077245F">
              <w:t>realizó</w:t>
            </w:r>
            <w:r>
              <w:t xml:space="preserve"> bajo el esquema </w:t>
            </w:r>
            <w:r w:rsidR="0077245F">
              <w:t>orgánico</w:t>
            </w:r>
            <w:r>
              <w:t>, y esta versión 2 se ha elaborado en base al esquema funcional</w:t>
            </w:r>
            <w:r w:rsidR="0077245F">
              <w:t>.</w:t>
            </w:r>
          </w:p>
        </w:tc>
      </w:tr>
    </w:tbl>
    <w:p w:rsidR="00590F46" w:rsidRDefault="00590F46">
      <w:r>
        <w:br w:type="page"/>
      </w:r>
    </w:p>
    <w:p w:rsidR="005C760D" w:rsidRDefault="005C760D" w:rsidP="005C760D">
      <w:pPr>
        <w:jc w:val="center"/>
      </w:pPr>
      <w:r>
        <w:lastRenderedPageBreak/>
        <w:t>CUADRO DE CLASIFICACIÓN DOCUMENTAL DE</w:t>
      </w:r>
      <w:r>
        <w:t>L CONSEJO NACIONAL DE ENERGIA</w:t>
      </w:r>
    </w:p>
    <w:p w:rsidR="005C760D" w:rsidRDefault="00590F46" w:rsidP="005C760D">
      <w:pPr>
        <w:jc w:val="center"/>
      </w:pPr>
      <w:r>
        <w:t>Versión</w:t>
      </w:r>
      <w:r w:rsidR="005C760D">
        <w:t xml:space="preserve"> 2. </w:t>
      </w:r>
    </w:p>
    <w:p w:rsidR="005C760D" w:rsidRDefault="005C760D" w:rsidP="005C760D"/>
    <w:p w:rsidR="005C760D" w:rsidRDefault="005C760D" w:rsidP="005C760D">
      <w:pPr>
        <w:jc w:val="both"/>
      </w:pPr>
      <w:r>
        <w:t xml:space="preserve">Por medio del presente documento se da a conocer el </w:t>
      </w:r>
      <w:r>
        <w:t xml:space="preserve">cuadro de clasificación documental (CCD), </w:t>
      </w:r>
      <w:r>
        <w:t xml:space="preserve">siendo este documento de vital importancia en toda institución en vista que se reviste como un </w:t>
      </w:r>
      <w:r>
        <w:t>instrumento archivístico que</w:t>
      </w:r>
      <w:r>
        <w:t xml:space="preserve"> contiene la estructura que posee el fondo documental del CNE, el mismo se ha realizado bajo el esquema denominado funcional.</w:t>
      </w:r>
    </w:p>
    <w:p w:rsidR="005C760D" w:rsidRDefault="005C760D" w:rsidP="003E7F8A">
      <w:pPr>
        <w:tabs>
          <w:tab w:val="left" w:pos="2977"/>
        </w:tabs>
        <w:jc w:val="both"/>
      </w:pPr>
      <w:r>
        <w:t xml:space="preserve">Es necesario manifestar que la Unidad de </w:t>
      </w:r>
      <w:r w:rsidR="00590F46">
        <w:t>Gestión</w:t>
      </w:r>
      <w:r>
        <w:t xml:space="preserve"> Documental y Archivos propuso este cambio de esquema en virtud que esquema </w:t>
      </w:r>
      <w:r w:rsidR="00590F46">
        <w:t>orgánico</w:t>
      </w:r>
      <w:r>
        <w:t xml:space="preserve"> poco a poco fue cayendo en desuso en vista de los cambios constantes que se suscitan en la </w:t>
      </w:r>
      <w:r w:rsidR="00590F46">
        <w:t>administración</w:t>
      </w:r>
      <w:r>
        <w:t xml:space="preserve"> del estado, </w:t>
      </w:r>
      <w:r w:rsidR="00590F46">
        <w:t xml:space="preserve">caso contrario en el </w:t>
      </w:r>
      <w:r>
        <w:t>CNE</w:t>
      </w:r>
      <w:r w:rsidR="00590F46">
        <w:t>, que</w:t>
      </w:r>
      <w:r>
        <w:t xml:space="preserve"> es una institución de reciente funcionamiento.</w:t>
      </w:r>
    </w:p>
    <w:p w:rsidR="005C760D" w:rsidRDefault="005C760D" w:rsidP="005C760D">
      <w:pPr>
        <w:jc w:val="both"/>
      </w:pPr>
      <w:r>
        <w:t xml:space="preserve">Sin embargo, dados los esfuerzos por modernizar la administración </w:t>
      </w:r>
      <w:r w:rsidR="00590F46">
        <w:t>pública</w:t>
      </w:r>
      <w:r>
        <w:t xml:space="preserve"> y</w:t>
      </w:r>
      <w:r w:rsidR="003E7F8A">
        <w:t xml:space="preserve"> la implementación de los </w:t>
      </w:r>
      <w:r w:rsidR="00590F46">
        <w:t>Lineamientos</w:t>
      </w:r>
      <w:r w:rsidR="003E7F8A">
        <w:t xml:space="preserve"> de </w:t>
      </w:r>
      <w:r w:rsidR="00590F46">
        <w:t>Gestión</w:t>
      </w:r>
      <w:r w:rsidR="003E7F8A">
        <w:t xml:space="preserve"> Documental</w:t>
      </w:r>
      <w:r>
        <w:t xml:space="preserve"> que el Instituto de Acceso a la </w:t>
      </w:r>
      <w:r w:rsidR="00590F46">
        <w:t>Información</w:t>
      </w:r>
      <w:r>
        <w:t xml:space="preserve"> Publica </w:t>
      </w:r>
      <w:r w:rsidR="00590F46">
        <w:t>emitió</w:t>
      </w:r>
      <w:r>
        <w:t xml:space="preserve"> en 2015</w:t>
      </w:r>
      <w:r w:rsidR="003E7F8A">
        <w:t xml:space="preserve">, es que se ha realizado la actualización del cuadro de </w:t>
      </w:r>
      <w:r w:rsidR="00590F46">
        <w:t>clasificación</w:t>
      </w:r>
      <w:r w:rsidR="003E7F8A">
        <w:t xml:space="preserve"> Documental bajo el esquema funcional, que deja atrás la </w:t>
      </w:r>
      <w:r w:rsidR="00590F46">
        <w:t>noción</w:t>
      </w:r>
      <w:r w:rsidR="003E7F8A">
        <w:t xml:space="preserve"> de basarse en los órganos, sino en la función que estos ejecutan, y lo </w:t>
      </w:r>
      <w:r w:rsidR="00590F46">
        <w:t>más</w:t>
      </w:r>
      <w:r w:rsidR="003E7F8A">
        <w:t xml:space="preserve"> importante es que las funciones  se detalla</w:t>
      </w:r>
      <w:r w:rsidR="00590F46">
        <w:t xml:space="preserve"> de forma separada e independiente</w:t>
      </w:r>
      <w:r w:rsidR="003E7F8A">
        <w:t xml:space="preserve"> del órgano que la realiza.</w:t>
      </w:r>
    </w:p>
    <w:p w:rsidR="003E7F8A" w:rsidRDefault="003E7F8A" w:rsidP="003E7F8A">
      <w:pPr>
        <w:jc w:val="center"/>
      </w:pPr>
    </w:p>
    <w:p w:rsidR="003E7F8A" w:rsidRDefault="003E7F8A" w:rsidP="003E7F8A">
      <w:pPr>
        <w:jc w:val="center"/>
      </w:pPr>
      <w:r>
        <w:t>CUADRO DE CLASIFICACIÓN DOCUMENTAL DEL CONSEJO NACIONAL DE ENERGIA</w:t>
      </w:r>
    </w:p>
    <w:p w:rsidR="005C760D" w:rsidRDefault="005C760D" w:rsidP="003E7F8A">
      <w:pPr>
        <w:jc w:val="center"/>
      </w:pPr>
    </w:p>
    <w:p w:rsidR="005C760D" w:rsidRDefault="005C760D" w:rsidP="0077245F">
      <w:pPr>
        <w:pStyle w:val="Prrafodelista"/>
        <w:numPr>
          <w:ilvl w:val="0"/>
          <w:numId w:val="4"/>
        </w:numPr>
        <w:ind w:left="426" w:hanging="284"/>
        <w:jc w:val="both"/>
      </w:pPr>
      <w:r>
        <w:t>SECCIÓN 1:</w:t>
      </w:r>
      <w:r w:rsidR="003E7F8A">
        <w:t xml:space="preserve"> </w:t>
      </w:r>
      <w:r w:rsidR="003E7F8A" w:rsidRPr="0077245F">
        <w:rPr>
          <w:u w:val="single"/>
        </w:rPr>
        <w:t xml:space="preserve">Junta Directiva y Secretaria Ejecutiva del Consejo Nacional de </w:t>
      </w:r>
      <w:r w:rsidR="00590F46" w:rsidRPr="0077245F">
        <w:rPr>
          <w:u w:val="single"/>
        </w:rPr>
        <w:t>Energía</w:t>
      </w:r>
      <w:r w:rsidR="003E7F8A">
        <w:t>.</w:t>
      </w:r>
    </w:p>
    <w:p w:rsidR="005C760D" w:rsidRDefault="005C760D" w:rsidP="0077245F">
      <w:pPr>
        <w:jc w:val="both"/>
      </w:pPr>
      <w:r>
        <w:t xml:space="preserve">Es el conjunto de series documentales generados </w:t>
      </w:r>
      <w:r w:rsidR="0077245F">
        <w:t xml:space="preserve">en el ejercicio de sus funciones, </w:t>
      </w:r>
      <w:r>
        <w:t>en razón de las atribuciones, competencias</w:t>
      </w:r>
      <w:r w:rsidR="0077245F">
        <w:t xml:space="preserve"> de Ley </w:t>
      </w:r>
      <w:r>
        <w:t>y composición de las máximas autoridades de</w:t>
      </w:r>
      <w:r w:rsidR="0077245F">
        <w:t>l CNE</w:t>
      </w:r>
      <w:r>
        <w:t>.</w:t>
      </w:r>
    </w:p>
    <w:p w:rsidR="0077245F" w:rsidRDefault="0077245F" w:rsidP="0077245F">
      <w:pPr>
        <w:jc w:val="both"/>
      </w:pPr>
    </w:p>
    <w:p w:rsidR="005C760D" w:rsidRPr="0077245F" w:rsidRDefault="005C760D" w:rsidP="0077245F">
      <w:pPr>
        <w:pStyle w:val="Prrafodelista"/>
        <w:numPr>
          <w:ilvl w:val="0"/>
          <w:numId w:val="4"/>
        </w:numPr>
        <w:ind w:left="426" w:hanging="284"/>
        <w:jc w:val="both"/>
        <w:rPr>
          <w:u w:val="single"/>
        </w:rPr>
      </w:pPr>
      <w:r>
        <w:t xml:space="preserve">SECCIÓN 2: </w:t>
      </w:r>
      <w:r w:rsidRPr="0077245F">
        <w:rPr>
          <w:u w:val="single"/>
        </w:rPr>
        <w:t>Administración.</w:t>
      </w:r>
    </w:p>
    <w:p w:rsidR="005C760D" w:rsidRDefault="005C760D" w:rsidP="005C760D">
      <w:pPr>
        <w:jc w:val="both"/>
      </w:pPr>
      <w:r>
        <w:t>Comprende</w:t>
      </w:r>
      <w:r w:rsidR="0077245F">
        <w:t xml:space="preserve"> las actividades estratégicas que desarrolla el CNE</w:t>
      </w:r>
      <w:r>
        <w:t xml:space="preserve">, </w:t>
      </w:r>
      <w:r w:rsidR="0077245F">
        <w:t>e incluye las de a</w:t>
      </w:r>
      <w:r>
        <w:t>poyo administrativo.</w:t>
      </w:r>
    </w:p>
    <w:p w:rsidR="005C760D" w:rsidRDefault="0077245F" w:rsidP="005C760D">
      <w:pPr>
        <w:jc w:val="both"/>
      </w:pPr>
      <w:r>
        <w:t>Comprende las Unidad de Acceso a la Información Publica, UACI, Servicios Generales, Recursos Humanos, etc.</w:t>
      </w:r>
    </w:p>
    <w:p w:rsidR="0077245F" w:rsidRDefault="0077245F" w:rsidP="005C760D">
      <w:pPr>
        <w:jc w:val="both"/>
      </w:pPr>
    </w:p>
    <w:p w:rsidR="005C760D" w:rsidRDefault="005C760D" w:rsidP="005C760D">
      <w:pPr>
        <w:jc w:val="both"/>
      </w:pPr>
      <w:r>
        <w:t xml:space="preserve">SECCIÓN 3: </w:t>
      </w:r>
      <w:r w:rsidR="0077245F" w:rsidRPr="0077245F">
        <w:rPr>
          <w:u w:val="single"/>
        </w:rPr>
        <w:t>Dirección de Finanzas y Administración</w:t>
      </w:r>
      <w:r w:rsidR="0077245F">
        <w:rPr>
          <w:u w:val="single"/>
        </w:rPr>
        <w:t>.</w:t>
      </w:r>
    </w:p>
    <w:p w:rsidR="005C760D" w:rsidRDefault="0077245F" w:rsidP="0077245F">
      <w:pPr>
        <w:jc w:val="both"/>
      </w:pPr>
      <w:r>
        <w:t>Se refiere a la D</w:t>
      </w:r>
      <w:r w:rsidR="005C760D">
        <w:t>irección de</w:t>
      </w:r>
      <w:r>
        <w:t xml:space="preserve"> Finanzas y Administración que ejecuta las funciones de Tesorería, Presupuesto y Contabilidad.</w:t>
      </w:r>
    </w:p>
    <w:p w:rsidR="0077245F" w:rsidRDefault="0077245F" w:rsidP="0077245F">
      <w:pPr>
        <w:jc w:val="both"/>
      </w:pPr>
    </w:p>
    <w:p w:rsidR="005C760D" w:rsidRPr="0077245F" w:rsidRDefault="005C760D" w:rsidP="005C760D">
      <w:pPr>
        <w:jc w:val="both"/>
        <w:rPr>
          <w:u w:val="single"/>
        </w:rPr>
      </w:pPr>
      <w:r>
        <w:t xml:space="preserve">SECCIÓN 4: </w:t>
      </w:r>
      <w:r w:rsidRPr="0077245F">
        <w:rPr>
          <w:u w:val="single"/>
        </w:rPr>
        <w:t>Servicios.</w:t>
      </w:r>
    </w:p>
    <w:p w:rsidR="005C760D" w:rsidRDefault="005C760D" w:rsidP="005C760D">
      <w:pPr>
        <w:jc w:val="both"/>
      </w:pPr>
      <w:r>
        <w:t>Los ámbitos funcionales de esta sección responden a la generación de las actividades</w:t>
      </w:r>
      <w:r w:rsidR="0077245F">
        <w:t xml:space="preserve"> que ejecuta propiamente la institución.</w:t>
      </w:r>
    </w:p>
    <w:p w:rsidR="0077245F" w:rsidRDefault="0077245F" w:rsidP="0077245F">
      <w:pPr>
        <w:jc w:val="both"/>
      </w:pPr>
      <w:r>
        <w:lastRenderedPageBreak/>
        <w:t xml:space="preserve">Este instrumento </w:t>
      </w:r>
      <w:r w:rsidR="00D1339B">
        <w:t xml:space="preserve">ha resumido las series documentales en formato de orden alfabetico para facilitar su comprensión, y siguiendo la estructura de mantener las cuatro secciones establecidas anteriormente. </w:t>
      </w:r>
    </w:p>
    <w:p w:rsidR="00D1339B" w:rsidRDefault="00D1339B" w:rsidP="0077245F">
      <w:pPr>
        <w:jc w:val="both"/>
      </w:pPr>
    </w:p>
    <w:p w:rsidR="0077245F" w:rsidRDefault="00D1339B" w:rsidP="0077245F">
      <w:pPr>
        <w:jc w:val="both"/>
      </w:pPr>
      <w:r>
        <w:t>SECCIÓN 1: GOBIERNO</w:t>
      </w:r>
    </w:p>
    <w:p w:rsidR="0077245F" w:rsidRDefault="0077245F" w:rsidP="0077245F">
      <w:pPr>
        <w:jc w:val="both"/>
      </w:pPr>
      <w:r>
        <w:t xml:space="preserve">Actas de </w:t>
      </w:r>
      <w:r w:rsidR="00D1339B">
        <w:t>Junta Directiva</w:t>
      </w:r>
    </w:p>
    <w:p w:rsidR="00D1339B" w:rsidRDefault="00D1339B" w:rsidP="0077245F">
      <w:pPr>
        <w:jc w:val="both"/>
      </w:pPr>
      <w:r>
        <w:t>Informes de Secretaria Ejecutiva</w:t>
      </w:r>
    </w:p>
    <w:p w:rsidR="00D1339B" w:rsidRDefault="00D1339B" w:rsidP="0077245F">
      <w:pPr>
        <w:jc w:val="both"/>
      </w:pPr>
    </w:p>
    <w:p w:rsidR="00D1339B" w:rsidRDefault="00D1339B" w:rsidP="0077245F">
      <w:pPr>
        <w:jc w:val="both"/>
      </w:pPr>
    </w:p>
    <w:p w:rsidR="0077245F" w:rsidRDefault="0077245F" w:rsidP="0077245F">
      <w:pPr>
        <w:jc w:val="both"/>
      </w:pPr>
      <w:r>
        <w:t>SECCIÓN 2: ADMINISTRACIÓN</w:t>
      </w:r>
    </w:p>
    <w:p w:rsidR="0077245F" w:rsidRDefault="0077245F" w:rsidP="0077245F">
      <w:pPr>
        <w:jc w:val="both"/>
      </w:pPr>
      <w:r>
        <w:t>Actas de Comité de Planificación</w:t>
      </w:r>
    </w:p>
    <w:p w:rsidR="0077245F" w:rsidRDefault="0077245F" w:rsidP="0077245F">
      <w:pPr>
        <w:jc w:val="both"/>
      </w:pPr>
      <w:r>
        <w:t>Actas de Comité de Riesgos</w:t>
      </w:r>
    </w:p>
    <w:p w:rsidR="0077245F" w:rsidRDefault="0077245F" w:rsidP="0077245F">
      <w:pPr>
        <w:jc w:val="both"/>
      </w:pPr>
      <w:r>
        <w:t>Activos fijos</w:t>
      </w:r>
    </w:p>
    <w:p w:rsidR="0077245F" w:rsidRDefault="0077245F" w:rsidP="0077245F">
      <w:pPr>
        <w:jc w:val="both"/>
      </w:pPr>
      <w:r>
        <w:t>Asignación de roles</w:t>
      </w:r>
    </w:p>
    <w:p w:rsidR="0077245F" w:rsidRDefault="0077245F" w:rsidP="0077245F">
      <w:pPr>
        <w:jc w:val="both"/>
      </w:pPr>
      <w:r>
        <w:t>Autorizaciones de vehículos</w:t>
      </w:r>
    </w:p>
    <w:p w:rsidR="0077245F" w:rsidRDefault="0077245F" w:rsidP="0077245F">
      <w:pPr>
        <w:jc w:val="both"/>
      </w:pPr>
      <w:r>
        <w:t>Capacitaciones</w:t>
      </w:r>
    </w:p>
    <w:p w:rsidR="0077245F" w:rsidRDefault="0077245F" w:rsidP="0077245F">
      <w:pPr>
        <w:jc w:val="both"/>
      </w:pPr>
      <w:r>
        <w:t>Certificados de licencia de software</w:t>
      </w:r>
    </w:p>
    <w:p w:rsidR="0077245F" w:rsidRDefault="0077245F" w:rsidP="0077245F">
      <w:pPr>
        <w:jc w:val="both"/>
      </w:pPr>
      <w:r>
        <w:t>Código de ética</w:t>
      </w:r>
      <w:r w:rsidR="00D1339B">
        <w:t xml:space="preserve"> del CNE</w:t>
      </w:r>
    </w:p>
    <w:p w:rsidR="0077245F" w:rsidRDefault="0077245F" w:rsidP="0077245F">
      <w:pPr>
        <w:jc w:val="both"/>
      </w:pPr>
      <w:r>
        <w:t>Conciliaciones de saldo de cartera</w:t>
      </w:r>
    </w:p>
    <w:p w:rsidR="0077245F" w:rsidRDefault="0077245F" w:rsidP="0077245F">
      <w:pPr>
        <w:jc w:val="both"/>
      </w:pPr>
      <w:r>
        <w:t>Concurso público</w:t>
      </w:r>
    </w:p>
    <w:p w:rsidR="0077245F" w:rsidRDefault="0077245F" w:rsidP="0077245F">
      <w:pPr>
        <w:jc w:val="both"/>
      </w:pPr>
      <w:r>
        <w:t>Contratación directa</w:t>
      </w:r>
    </w:p>
    <w:p w:rsidR="005C760D" w:rsidRDefault="0077245F" w:rsidP="005C760D">
      <w:pPr>
        <w:jc w:val="both"/>
      </w:pPr>
      <w:r>
        <w:t>Control de mantenimiento preventivo y soporte de hardware</w:t>
      </w:r>
    </w:p>
    <w:p w:rsidR="00D1339B" w:rsidRDefault="00D1339B" w:rsidP="00D1339B">
      <w:pPr>
        <w:jc w:val="both"/>
      </w:pPr>
      <w:r>
        <w:t>Expedientes de contratos; Arrendamiento de inmuebles, arrendamiento de locales,</w:t>
      </w:r>
    </w:p>
    <w:p w:rsidR="00D1339B" w:rsidRDefault="00D1339B" w:rsidP="00D1339B">
      <w:pPr>
        <w:jc w:val="both"/>
      </w:pPr>
      <w:r>
        <w:t xml:space="preserve">comodato de vehículo, prestación de servicios, seguro de bienes y personas, </w:t>
      </w:r>
    </w:p>
    <w:p w:rsidR="00D1339B" w:rsidRDefault="00D1339B" w:rsidP="00D1339B">
      <w:pPr>
        <w:jc w:val="both"/>
      </w:pPr>
      <w:r>
        <w:t>Expedientes de personal</w:t>
      </w:r>
    </w:p>
    <w:p w:rsidR="00D1339B" w:rsidRDefault="00D1339B" w:rsidP="00D1339B">
      <w:pPr>
        <w:jc w:val="both"/>
      </w:pPr>
      <w:r>
        <w:t>Guía institucional de archivo</w:t>
      </w:r>
    </w:p>
    <w:p w:rsidR="00D1339B" w:rsidRDefault="00D1339B" w:rsidP="00D1339B">
      <w:pPr>
        <w:jc w:val="both"/>
      </w:pPr>
      <w:r>
        <w:t>índice de información reservada</w:t>
      </w:r>
    </w:p>
    <w:p w:rsidR="00D1339B" w:rsidRDefault="00D1339B" w:rsidP="00D1339B">
      <w:pPr>
        <w:jc w:val="both"/>
      </w:pPr>
      <w:r>
        <w:t>Información confidencial</w:t>
      </w:r>
    </w:p>
    <w:p w:rsidR="00D1339B" w:rsidRDefault="00D1339B" w:rsidP="00D1339B">
      <w:pPr>
        <w:jc w:val="both"/>
      </w:pPr>
      <w:r>
        <w:t xml:space="preserve">Informes de Auditoría Interna: Control interno. </w:t>
      </w:r>
    </w:p>
    <w:p w:rsidR="00D1339B" w:rsidRDefault="00D1339B" w:rsidP="00D1339B">
      <w:pPr>
        <w:jc w:val="both"/>
      </w:pPr>
      <w:r>
        <w:t>Instrumentos de gestión documental</w:t>
      </w:r>
    </w:p>
    <w:p w:rsidR="00D1339B" w:rsidRDefault="00D1339B" w:rsidP="00D1339B">
      <w:pPr>
        <w:jc w:val="both"/>
      </w:pPr>
      <w:r>
        <w:t>Insumos para informes anuales lAIP</w:t>
      </w:r>
    </w:p>
    <w:p w:rsidR="00D1339B" w:rsidRDefault="00D1339B" w:rsidP="00D1339B">
      <w:pPr>
        <w:jc w:val="both"/>
      </w:pPr>
      <w:r>
        <w:t>Licitación Pública</w:t>
      </w:r>
    </w:p>
    <w:p w:rsidR="00D1339B" w:rsidRDefault="00D1339B" w:rsidP="00D1339B">
      <w:pPr>
        <w:jc w:val="both"/>
      </w:pPr>
      <w:r>
        <w:lastRenderedPageBreak/>
        <w:t>Mantenimiento correctivo</w:t>
      </w:r>
    </w:p>
    <w:p w:rsidR="00D1339B" w:rsidRDefault="00D1339B" w:rsidP="00D1339B">
      <w:pPr>
        <w:jc w:val="both"/>
      </w:pPr>
      <w:r>
        <w:t>Manual de organización y funciones</w:t>
      </w:r>
    </w:p>
    <w:p w:rsidR="00D1339B" w:rsidRDefault="00D1339B" w:rsidP="00D1339B">
      <w:pPr>
        <w:jc w:val="both"/>
      </w:pPr>
      <w:r>
        <w:t>Manual de perfiles de puesto</w:t>
      </w:r>
    </w:p>
    <w:p w:rsidR="00D1339B" w:rsidRDefault="00D1339B" w:rsidP="00D1339B">
      <w:pPr>
        <w:jc w:val="both"/>
      </w:pPr>
      <w:r>
        <w:t>Manual de procesos</w:t>
      </w:r>
    </w:p>
    <w:p w:rsidR="00D1339B" w:rsidRDefault="00D1339B" w:rsidP="00D1339B">
      <w:pPr>
        <w:jc w:val="both"/>
      </w:pPr>
      <w:r>
        <w:t>Manual de usuarios de sistemas</w:t>
      </w:r>
    </w:p>
    <w:p w:rsidR="00D1339B" w:rsidRDefault="00D1339B" w:rsidP="00D1339B">
      <w:pPr>
        <w:jc w:val="both"/>
      </w:pPr>
      <w:r>
        <w:t>Normativa de gestión documental y archivos</w:t>
      </w:r>
    </w:p>
    <w:p w:rsidR="00D1339B" w:rsidRDefault="00D1339B" w:rsidP="00D1339B">
      <w:pPr>
        <w:jc w:val="both"/>
      </w:pPr>
      <w:r>
        <w:t>Órdenes de compra</w:t>
      </w:r>
    </w:p>
    <w:p w:rsidR="00D1339B" w:rsidRDefault="00D1339B" w:rsidP="00D1339B">
      <w:pPr>
        <w:jc w:val="both"/>
      </w:pPr>
      <w:r>
        <w:t>Organigramas institucionales</w:t>
      </w:r>
    </w:p>
    <w:p w:rsidR="00D1339B" w:rsidRDefault="00D1339B" w:rsidP="00D1339B">
      <w:pPr>
        <w:jc w:val="both"/>
      </w:pPr>
      <w:r>
        <w:t>Plan anual de contrataciones y adquisiciones</w:t>
      </w:r>
    </w:p>
    <w:p w:rsidR="00D1339B" w:rsidRDefault="00D1339B" w:rsidP="00D1339B">
      <w:pPr>
        <w:jc w:val="both"/>
      </w:pPr>
      <w:r>
        <w:t>Plan estratégico institucional</w:t>
      </w:r>
    </w:p>
    <w:p w:rsidR="00D1339B" w:rsidRDefault="00D1339B" w:rsidP="00D1339B">
      <w:pPr>
        <w:jc w:val="both"/>
      </w:pPr>
      <w:r>
        <w:t>Planes de trabajo</w:t>
      </w:r>
    </w:p>
    <w:p w:rsidR="003F3FC2" w:rsidRDefault="00D1339B" w:rsidP="00D1339B">
      <w:pPr>
        <w:jc w:val="both"/>
      </w:pPr>
      <w:r>
        <w:t>Planillas: Salario, ISSS, AFP</w:t>
      </w:r>
    </w:p>
    <w:p w:rsidR="00D1339B" w:rsidRDefault="003F3FC2" w:rsidP="00D1339B">
      <w:pPr>
        <w:jc w:val="both"/>
      </w:pPr>
      <w:r>
        <w:t>Política Energética Nacional</w:t>
      </w:r>
      <w:r w:rsidR="00D1339B">
        <w:t xml:space="preserve"> </w:t>
      </w:r>
    </w:p>
    <w:p w:rsidR="00D1339B" w:rsidRDefault="00D1339B" w:rsidP="00D1339B">
      <w:pPr>
        <w:jc w:val="both"/>
      </w:pPr>
      <w:r>
        <w:t>Política de Comunicaciones</w:t>
      </w:r>
    </w:p>
    <w:p w:rsidR="00D1339B" w:rsidRDefault="00D1339B" w:rsidP="00D1339B">
      <w:pPr>
        <w:jc w:val="both"/>
      </w:pPr>
      <w:r>
        <w:t>Proceso de seguros de bienes</w:t>
      </w:r>
    </w:p>
    <w:p w:rsidR="00D1339B" w:rsidRDefault="00D1339B" w:rsidP="00D1339B">
      <w:pPr>
        <w:jc w:val="both"/>
      </w:pPr>
      <w:r>
        <w:t>Salida de vehículos</w:t>
      </w:r>
    </w:p>
    <w:p w:rsidR="00D1339B" w:rsidRDefault="00D1339B" w:rsidP="00D1339B">
      <w:pPr>
        <w:jc w:val="both"/>
      </w:pPr>
      <w:r>
        <w:t>Seguros</w:t>
      </w:r>
    </w:p>
    <w:p w:rsidR="00D1339B" w:rsidRDefault="00D1339B" w:rsidP="00D1339B">
      <w:pPr>
        <w:jc w:val="both"/>
      </w:pPr>
      <w:r>
        <w:t>Suministros</w:t>
      </w:r>
    </w:p>
    <w:p w:rsidR="00D1339B" w:rsidRDefault="00D1339B" w:rsidP="00D1339B">
      <w:pPr>
        <w:jc w:val="both"/>
      </w:pPr>
    </w:p>
    <w:p w:rsidR="00D1339B" w:rsidRDefault="00D1339B" w:rsidP="00D1339B">
      <w:pPr>
        <w:jc w:val="both"/>
      </w:pPr>
      <w:r>
        <w:t>SECCIÓN 3: UNIDAD FINANCIERA INSTITUCIONAL</w:t>
      </w:r>
    </w:p>
    <w:p w:rsidR="00D1339B" w:rsidRDefault="00D1339B" w:rsidP="00D1339B">
      <w:pPr>
        <w:jc w:val="both"/>
      </w:pPr>
      <w:r>
        <w:t>Auditoría</w:t>
      </w:r>
      <w:r>
        <w:t xml:space="preserve"> fiscal</w:t>
      </w:r>
    </w:p>
    <w:p w:rsidR="003F3FC2" w:rsidRDefault="00D1339B" w:rsidP="00D1339B">
      <w:pPr>
        <w:jc w:val="both"/>
      </w:pPr>
      <w:r>
        <w:t>libros de IVA</w:t>
      </w:r>
    </w:p>
    <w:p w:rsidR="00D1339B" w:rsidRDefault="00D1339B" w:rsidP="00D1339B">
      <w:pPr>
        <w:jc w:val="both"/>
      </w:pPr>
      <w:r>
        <w:t>Com</w:t>
      </w:r>
      <w:r w:rsidR="003F3FC2">
        <w:t>probantes de diario</w:t>
      </w:r>
      <w:r>
        <w:t xml:space="preserve"> Oficina Central</w:t>
      </w:r>
    </w:p>
    <w:p w:rsidR="00D1339B" w:rsidRDefault="00D1339B" w:rsidP="00D1339B">
      <w:pPr>
        <w:jc w:val="both"/>
      </w:pPr>
      <w:r>
        <w:t>Compromisos presupuestarios</w:t>
      </w:r>
    </w:p>
    <w:p w:rsidR="00D1339B" w:rsidRDefault="00D1339B" w:rsidP="00D1339B">
      <w:pPr>
        <w:jc w:val="both"/>
      </w:pPr>
      <w:r>
        <w:t>Conciliación de ingresos fiscales</w:t>
      </w:r>
    </w:p>
    <w:p w:rsidR="00D1339B" w:rsidRDefault="00D1339B" w:rsidP="00D1339B">
      <w:pPr>
        <w:jc w:val="both"/>
      </w:pPr>
      <w:r>
        <w:t>Conciliaciones Bancarias</w:t>
      </w:r>
    </w:p>
    <w:p w:rsidR="00D1339B" w:rsidRDefault="00D1339B" w:rsidP="00D1339B">
      <w:pPr>
        <w:jc w:val="both"/>
      </w:pPr>
      <w:r>
        <w:t>Constancias de disponibilidades presupuestarias</w:t>
      </w:r>
    </w:p>
    <w:p w:rsidR="00D1339B" w:rsidRDefault="00D1339B" w:rsidP="00D1339B">
      <w:pPr>
        <w:jc w:val="both"/>
      </w:pPr>
      <w:r>
        <w:t>Disponibilidades presupuestarias</w:t>
      </w:r>
    </w:p>
    <w:p w:rsidR="00D1339B" w:rsidRDefault="00D1339B" w:rsidP="00D1339B">
      <w:pPr>
        <w:jc w:val="both"/>
      </w:pPr>
      <w:r>
        <w:t>Estados financieros</w:t>
      </w:r>
    </w:p>
    <w:p w:rsidR="00D1339B" w:rsidRDefault="00D1339B" w:rsidP="00D1339B">
      <w:pPr>
        <w:jc w:val="both"/>
      </w:pPr>
      <w:r>
        <w:t xml:space="preserve">Informe de </w:t>
      </w:r>
      <w:r w:rsidR="003F3FC2">
        <w:t>auditoría</w:t>
      </w:r>
      <w:r>
        <w:t xml:space="preserve"> financiera</w:t>
      </w:r>
    </w:p>
    <w:p w:rsidR="00D1339B" w:rsidRDefault="00D1339B" w:rsidP="00D1339B">
      <w:pPr>
        <w:jc w:val="both"/>
      </w:pPr>
      <w:r>
        <w:t>Informe mensual de retención</w:t>
      </w:r>
    </w:p>
    <w:p w:rsidR="00D1339B" w:rsidRDefault="00D1339B" w:rsidP="00D1339B">
      <w:pPr>
        <w:jc w:val="both"/>
      </w:pPr>
      <w:r>
        <w:lastRenderedPageBreak/>
        <w:t>Libros de IVA</w:t>
      </w:r>
    </w:p>
    <w:p w:rsidR="00D1339B" w:rsidRDefault="00D1339B" w:rsidP="00D1339B">
      <w:pPr>
        <w:jc w:val="both"/>
      </w:pPr>
      <w:r>
        <w:t>Modificaciones presupuestarias</w:t>
      </w:r>
    </w:p>
    <w:p w:rsidR="00D1339B" w:rsidRDefault="00D1339B" w:rsidP="00D1339B">
      <w:pPr>
        <w:jc w:val="both"/>
      </w:pPr>
      <w:r>
        <w:t>Plan anual operativo</w:t>
      </w:r>
    </w:p>
    <w:p w:rsidR="00D1339B" w:rsidRDefault="00D1339B" w:rsidP="00D1339B">
      <w:pPr>
        <w:jc w:val="both"/>
      </w:pPr>
      <w:r>
        <w:t>Plan anual de compras</w:t>
      </w:r>
    </w:p>
    <w:p w:rsidR="00D1339B" w:rsidRDefault="00D1339B" w:rsidP="00D1339B">
      <w:pPr>
        <w:jc w:val="both"/>
      </w:pPr>
      <w:r>
        <w:t>Presupuesto institucional</w:t>
      </w:r>
    </w:p>
    <w:p w:rsidR="00D1339B" w:rsidRDefault="00D1339B" w:rsidP="00D1339B">
      <w:pPr>
        <w:jc w:val="both"/>
      </w:pPr>
      <w:r>
        <w:t>Presupuesto por áreas de gestión: Formulación, autorización y ejecución</w:t>
      </w:r>
    </w:p>
    <w:p w:rsidR="003F3FC2" w:rsidRDefault="003F3FC2" w:rsidP="00D1339B">
      <w:pPr>
        <w:jc w:val="both"/>
      </w:pPr>
      <w:r w:rsidRPr="003F3FC2">
        <w:t>SECCIÓN 4: SERVICIOS</w:t>
      </w:r>
    </w:p>
    <w:p w:rsidR="003F3FC2" w:rsidRDefault="003F3FC2" w:rsidP="00D1339B">
      <w:pPr>
        <w:jc w:val="both"/>
      </w:pPr>
    </w:p>
    <w:p w:rsidR="003F3FC2" w:rsidRDefault="003F3FC2" w:rsidP="00D1339B">
      <w:pPr>
        <w:jc w:val="both"/>
      </w:pPr>
      <w:r>
        <w:t>*A la fecha el CNE no brinda servicios a la Ciudadanía, por esta sección no se col</w:t>
      </w:r>
      <w:bookmarkStart w:id="0" w:name="_GoBack"/>
      <w:bookmarkEnd w:id="0"/>
      <w:r>
        <w:t>ocaran series documentales.</w:t>
      </w:r>
    </w:p>
    <w:p w:rsidR="003F3FC2" w:rsidRDefault="003F3FC2" w:rsidP="00D1339B">
      <w:pPr>
        <w:jc w:val="both"/>
      </w:pPr>
    </w:p>
    <w:p w:rsidR="003F3FC2" w:rsidRDefault="003F3FC2" w:rsidP="00D1339B">
      <w:pPr>
        <w:jc w:val="both"/>
      </w:pPr>
    </w:p>
    <w:sectPr w:rsidR="003F3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9B" w:rsidRDefault="00D1339B" w:rsidP="00D1339B">
      <w:pPr>
        <w:spacing w:after="0" w:line="240" w:lineRule="auto"/>
      </w:pPr>
      <w:r>
        <w:separator/>
      </w:r>
    </w:p>
  </w:endnote>
  <w:endnote w:type="continuationSeparator" w:id="0">
    <w:p w:rsidR="00D1339B" w:rsidRDefault="00D1339B" w:rsidP="00D1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9B" w:rsidRDefault="00D1339B" w:rsidP="00D1339B">
      <w:pPr>
        <w:spacing w:after="0" w:line="240" w:lineRule="auto"/>
      </w:pPr>
      <w:r>
        <w:separator/>
      </w:r>
    </w:p>
  </w:footnote>
  <w:footnote w:type="continuationSeparator" w:id="0">
    <w:p w:rsidR="00D1339B" w:rsidRDefault="00D1339B" w:rsidP="00D1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8B7"/>
    <w:multiLevelType w:val="hybridMultilevel"/>
    <w:tmpl w:val="434ACEA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5A7"/>
    <w:multiLevelType w:val="hybridMultilevel"/>
    <w:tmpl w:val="7E2CD1B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F1E4F"/>
    <w:multiLevelType w:val="hybridMultilevel"/>
    <w:tmpl w:val="7ECA69E2"/>
    <w:lvl w:ilvl="0" w:tplc="5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C0057A"/>
    <w:multiLevelType w:val="hybridMultilevel"/>
    <w:tmpl w:val="7AA440A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24A49"/>
    <w:multiLevelType w:val="hybridMultilevel"/>
    <w:tmpl w:val="3D961B84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0D"/>
    <w:rsid w:val="002819D8"/>
    <w:rsid w:val="00321086"/>
    <w:rsid w:val="003E7F8A"/>
    <w:rsid w:val="003F3FC2"/>
    <w:rsid w:val="00590F46"/>
    <w:rsid w:val="005C760D"/>
    <w:rsid w:val="0077245F"/>
    <w:rsid w:val="007A09B1"/>
    <w:rsid w:val="00CC7888"/>
    <w:rsid w:val="00D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24509"/>
  <w15:chartTrackingRefBased/>
  <w15:docId w15:val="{A0383E1C-BD4E-4689-A3AB-8800938D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7F8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0F4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1339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1339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1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7C50-75A1-49B2-8F14-A50C6C3C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MGarcia</dc:creator>
  <cp:keywords/>
  <dc:description/>
  <cp:lastModifiedBy>MGarcia</cp:lastModifiedBy>
  <cp:revision>1</cp:revision>
  <dcterms:created xsi:type="dcterms:W3CDTF">2019-10-06T05:07:00Z</dcterms:created>
  <dcterms:modified xsi:type="dcterms:W3CDTF">2019-10-06T06:06:00Z</dcterms:modified>
</cp:coreProperties>
</file>