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:rsidR="00D6382B" w:rsidRDefault="00D6382B" w:rsidP="000869E5">
      <w:pPr>
        <w:spacing w:after="0" w:line="276" w:lineRule="auto"/>
        <w:jc w:val="both"/>
        <w:rPr>
          <w:rFonts w:ascii="Eras Light ITC" w:hAnsi="Eras Light ITC"/>
        </w:rPr>
      </w:pPr>
    </w:p>
    <w:p w:rsidR="00D6382B" w:rsidRPr="00A743B2" w:rsidRDefault="001C26C2" w:rsidP="001C26C2">
      <w:pPr>
        <w:spacing w:after="0" w:line="276" w:lineRule="auto"/>
        <w:jc w:val="center"/>
        <w:rPr>
          <w:rFonts w:ascii="Bell MT" w:hAnsi="Bell MT"/>
          <w:color w:val="1F4E79" w:themeColor="accent1" w:themeShade="80"/>
          <w:sz w:val="28"/>
        </w:rPr>
      </w:pPr>
      <w:r w:rsidRPr="00A743B2">
        <w:rPr>
          <w:rFonts w:ascii="Bell MT" w:hAnsi="Bell MT"/>
          <w:color w:val="1F4E79" w:themeColor="accent1" w:themeShade="80"/>
          <w:sz w:val="28"/>
        </w:rPr>
        <w:t>ALCALDÍA MUNICIPAL DE CIUDAD DELGADO</w:t>
      </w:r>
    </w:p>
    <w:p w:rsidR="001C26C2" w:rsidRPr="00A743B2" w:rsidRDefault="001C26C2" w:rsidP="001C26C2">
      <w:pPr>
        <w:spacing w:after="0" w:line="276" w:lineRule="auto"/>
        <w:jc w:val="center"/>
        <w:rPr>
          <w:rFonts w:ascii="Bell MT" w:hAnsi="Bell MT"/>
          <w:color w:val="1F4E79" w:themeColor="accent1" w:themeShade="80"/>
          <w:sz w:val="28"/>
        </w:rPr>
      </w:pPr>
      <w:r w:rsidRPr="00A743B2">
        <w:rPr>
          <w:rFonts w:ascii="Bell MT" w:hAnsi="Bell MT"/>
          <w:color w:val="1F4E79" w:themeColor="accent1" w:themeShade="80"/>
          <w:sz w:val="28"/>
        </w:rPr>
        <w:t>UNIDAD CONTRAVENCIONAL</w:t>
      </w:r>
    </w:p>
    <w:p w:rsidR="001C26C2" w:rsidRPr="00A743B2" w:rsidRDefault="001C26C2" w:rsidP="001C26C2">
      <w:pPr>
        <w:spacing w:after="0" w:line="276" w:lineRule="auto"/>
        <w:jc w:val="center"/>
        <w:rPr>
          <w:rFonts w:ascii="Bell MT" w:hAnsi="Bell MT"/>
          <w:color w:val="1F4E79" w:themeColor="accent1" w:themeShade="80"/>
          <w:sz w:val="28"/>
        </w:rPr>
      </w:pPr>
      <w:r w:rsidRPr="00A743B2">
        <w:rPr>
          <w:rFonts w:ascii="Bell MT" w:hAnsi="Bell MT"/>
          <w:color w:val="1F4E79" w:themeColor="accent1" w:themeShade="80"/>
          <w:sz w:val="28"/>
        </w:rPr>
        <w:t xml:space="preserve">RESOLUCIONES EJECTURIADAS </w:t>
      </w:r>
      <w:r w:rsidR="00AF1766" w:rsidRPr="00A743B2">
        <w:rPr>
          <w:rFonts w:ascii="Bell MT" w:hAnsi="Bell MT"/>
          <w:color w:val="1F4E79" w:themeColor="accent1" w:themeShade="80"/>
          <w:sz w:val="28"/>
        </w:rPr>
        <w:t>1er</w:t>
      </w:r>
      <w:r w:rsidRPr="00A743B2">
        <w:rPr>
          <w:rFonts w:ascii="Bell MT" w:hAnsi="Bell MT"/>
          <w:color w:val="1F4E79" w:themeColor="accent1" w:themeShade="80"/>
          <w:sz w:val="28"/>
        </w:rPr>
        <w:t xml:space="preserve"> TRIMESTRE 202</w:t>
      </w:r>
      <w:r w:rsidR="00EC32D0" w:rsidRPr="00A743B2">
        <w:rPr>
          <w:rFonts w:ascii="Bell MT" w:hAnsi="Bell MT"/>
          <w:color w:val="1F4E79" w:themeColor="accent1" w:themeShade="80"/>
          <w:sz w:val="28"/>
        </w:rPr>
        <w:t>4</w:t>
      </w:r>
    </w:p>
    <w:p w:rsidR="001C26C2" w:rsidRDefault="001C26C2" w:rsidP="000869E5">
      <w:pPr>
        <w:spacing w:after="0" w:line="276" w:lineRule="auto"/>
        <w:jc w:val="both"/>
        <w:rPr>
          <w:rFonts w:ascii="Eras Light ITC" w:hAnsi="Eras Light ITC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239"/>
        <w:gridCol w:w="1824"/>
        <w:gridCol w:w="4673"/>
      </w:tblGrid>
      <w:tr w:rsidR="00A45BF6" w:rsidTr="006A0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A45BF6" w:rsidRPr="00A743B2" w:rsidRDefault="00A45BF6" w:rsidP="000869E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Referencia </w:t>
            </w:r>
          </w:p>
        </w:tc>
        <w:tc>
          <w:tcPr>
            <w:tcW w:w="1824" w:type="dxa"/>
          </w:tcPr>
          <w:p w:rsidR="00A45BF6" w:rsidRPr="00A743B2" w:rsidRDefault="00A45BF6" w:rsidP="000869E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Fecha </w:t>
            </w:r>
          </w:p>
        </w:tc>
        <w:tc>
          <w:tcPr>
            <w:tcW w:w="4673" w:type="dxa"/>
          </w:tcPr>
          <w:p w:rsidR="00A45BF6" w:rsidRPr="00A743B2" w:rsidRDefault="00A45BF6" w:rsidP="000869E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Resumen del caso </w:t>
            </w:r>
          </w:p>
        </w:tc>
      </w:tr>
      <w:tr w:rsidR="00A45BF6" w:rsidTr="006A048A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6171FE" w:rsidRPr="00A743B2" w:rsidRDefault="006171FE" w:rsidP="006171FE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A. CONCILIATORIA </w:t>
            </w:r>
          </w:p>
          <w:p w:rsidR="00A45BF6" w:rsidRPr="00A743B2" w:rsidRDefault="00CE3C1D" w:rsidP="006171FE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6-03-2024</w:t>
            </w:r>
          </w:p>
        </w:tc>
        <w:tc>
          <w:tcPr>
            <w:tcW w:w="1824" w:type="dxa"/>
          </w:tcPr>
          <w:p w:rsidR="00A45BF6" w:rsidRPr="00A743B2" w:rsidRDefault="00CE3C1D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6-03-2024</w:t>
            </w:r>
          </w:p>
        </w:tc>
        <w:tc>
          <w:tcPr>
            <w:tcW w:w="4673" w:type="dxa"/>
          </w:tcPr>
          <w:p w:rsidR="00A45BF6" w:rsidRPr="00A743B2" w:rsidRDefault="006171FE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Acuerdo favorable de audiencia conciliatori</w:t>
            </w:r>
            <w:r w:rsidR="00CE3C1D" w:rsidRPr="00A743B2">
              <w:rPr>
                <w:rFonts w:ascii="Century Gothic" w:hAnsi="Century Gothic"/>
              </w:rPr>
              <w:t>a por mordedura de perro (paga $200 dólares por la reparación de daños).</w:t>
            </w:r>
          </w:p>
          <w:p w:rsidR="00637312" w:rsidRPr="00A743B2" w:rsidRDefault="00637312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45EC6" w:rsidTr="006A048A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345EC6" w:rsidRPr="00A743B2" w:rsidRDefault="00CE3C1D" w:rsidP="00CE3C1D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A CONCILIATORIA</w:t>
            </w:r>
          </w:p>
          <w:p w:rsidR="00CE3C1D" w:rsidRPr="00A743B2" w:rsidRDefault="00CE3C1D" w:rsidP="00CE3C1D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22-01-2024</w:t>
            </w:r>
          </w:p>
          <w:p w:rsidR="00CE3C1D" w:rsidRPr="00A743B2" w:rsidRDefault="00CE3C1D" w:rsidP="00CE3C1D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:rsidR="00345EC6" w:rsidRPr="00A743B2" w:rsidRDefault="00CE3C1D" w:rsidP="000869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22-01-2024</w:t>
            </w:r>
          </w:p>
        </w:tc>
        <w:tc>
          <w:tcPr>
            <w:tcW w:w="4673" w:type="dxa"/>
          </w:tcPr>
          <w:p w:rsidR="00345EC6" w:rsidRPr="00A743B2" w:rsidRDefault="00CE3C1D" w:rsidP="0061369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Audiencia conciliatoria frustrada  por no lograrse ningún acuerdo entre las partes; con lo cual se deja expedito el derecho para que se siga la siguiente instancia.</w:t>
            </w:r>
          </w:p>
        </w:tc>
      </w:tr>
      <w:tr w:rsidR="00613698" w:rsidTr="006A048A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9917A0" w:rsidRPr="00A743B2" w:rsidRDefault="009917A0" w:rsidP="009917A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D-63-2024</w:t>
            </w:r>
          </w:p>
          <w:p w:rsidR="00AF3393" w:rsidRPr="00A743B2" w:rsidRDefault="00AF3393" w:rsidP="009917A0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22-02-2024</w:t>
            </w:r>
          </w:p>
        </w:tc>
        <w:tc>
          <w:tcPr>
            <w:tcW w:w="1824" w:type="dxa"/>
          </w:tcPr>
          <w:p w:rsidR="00613698" w:rsidRPr="00A743B2" w:rsidRDefault="00AF3393" w:rsidP="00613698">
            <w:pPr>
              <w:spacing w:line="240" w:lineRule="exact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</w:rPr>
            </w:pPr>
            <w:r w:rsidRPr="00A743B2">
              <w:rPr>
                <w:rFonts w:ascii="Century Gothic" w:eastAsia="Eras Light ITC" w:hAnsi="Century Gothic" w:cs="Eras Light ITC"/>
                <w:spacing w:val="-2"/>
                <w:position w:val="1"/>
              </w:rPr>
              <w:t>22-02-2024</w:t>
            </w:r>
          </w:p>
        </w:tc>
        <w:tc>
          <w:tcPr>
            <w:tcW w:w="4673" w:type="dxa"/>
          </w:tcPr>
          <w:p w:rsidR="00613698" w:rsidRPr="00A743B2" w:rsidRDefault="00950D69" w:rsidP="00950D69">
            <w:pPr>
              <w:spacing w:line="240" w:lineRule="exact"/>
              <w:ind w:left="103" w:right="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Se dejó recomendaciones</w:t>
            </w:r>
            <w:r w:rsidR="00AF3393"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 xml:space="preserve"> por obstrucción de canaleta de aguas lluvias del pasaje (colocara rejilla en canaleta con el fin de detener la basura de vecinos)</w:t>
            </w:r>
            <w:r w:rsidR="00B41E8F"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.</w:t>
            </w:r>
            <w:r w:rsidR="001214F3"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 xml:space="preserve"> Art. 52 de la Ordenanza para la Convivencia Ciudadana y Contravenciones Administrativas.</w:t>
            </w:r>
          </w:p>
          <w:p w:rsidR="001214F3" w:rsidRPr="00A743B2" w:rsidRDefault="001214F3" w:rsidP="00950D69">
            <w:pPr>
              <w:spacing w:line="240" w:lineRule="exact"/>
              <w:ind w:left="103" w:right="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</w:rPr>
            </w:pPr>
          </w:p>
        </w:tc>
      </w:tr>
      <w:tr w:rsidR="00613698" w:rsidTr="006A048A">
        <w:trPr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613698" w:rsidRPr="00A743B2" w:rsidRDefault="00AF3393" w:rsidP="00AF3393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A DERECHO DE DEFENSA                      </w:t>
            </w:r>
          </w:p>
          <w:p w:rsidR="00AF3393" w:rsidRPr="00A743B2" w:rsidRDefault="00AF3393" w:rsidP="00AF3393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26-02-2024</w:t>
            </w:r>
          </w:p>
        </w:tc>
        <w:tc>
          <w:tcPr>
            <w:tcW w:w="1824" w:type="dxa"/>
          </w:tcPr>
          <w:p w:rsidR="00613698" w:rsidRPr="00A743B2" w:rsidRDefault="00AF3393" w:rsidP="00613698">
            <w:pPr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</w:rPr>
            </w:pPr>
            <w:r w:rsidRPr="00A743B2">
              <w:rPr>
                <w:rFonts w:ascii="Century Gothic" w:eastAsia="Eras Light ITC" w:hAnsi="Century Gothic" w:cs="Eras Light ITC"/>
                <w:spacing w:val="-2"/>
              </w:rPr>
              <w:t>26-02-2024</w:t>
            </w:r>
          </w:p>
        </w:tc>
        <w:tc>
          <w:tcPr>
            <w:tcW w:w="4673" w:type="dxa"/>
          </w:tcPr>
          <w:p w:rsidR="00613698" w:rsidRPr="00A743B2" w:rsidRDefault="00B41E8F" w:rsidP="00B41E8F">
            <w:pPr>
              <w:spacing w:line="276" w:lineRule="auto"/>
              <w:ind w:left="103" w:right="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  <w:spacing w:val="-1"/>
              </w:rPr>
            </w:pPr>
            <w:r w:rsidRPr="00A743B2">
              <w:rPr>
                <w:rFonts w:ascii="Century Gothic" w:eastAsia="Eras Light ITC" w:hAnsi="Century Gothic" w:cs="Eras Light ITC"/>
                <w:spacing w:val="-1"/>
              </w:rPr>
              <w:t>Recomendaciones</w:t>
            </w:r>
            <w:r w:rsidR="00935B8F" w:rsidRPr="00A743B2">
              <w:rPr>
                <w:rFonts w:ascii="Century Gothic" w:eastAsia="Eras Light ITC" w:hAnsi="Century Gothic" w:cs="Eras Light ITC"/>
                <w:spacing w:val="-1"/>
              </w:rPr>
              <w:t xml:space="preserve"> por conflictos vecinales </w:t>
            </w:r>
            <w:r w:rsidRPr="00A743B2">
              <w:rPr>
                <w:rFonts w:ascii="Century Gothic" w:eastAsia="Eras Light ITC" w:hAnsi="Century Gothic" w:cs="Eras Light ITC"/>
                <w:spacing w:val="-1"/>
              </w:rPr>
              <w:t>debido a</w:t>
            </w:r>
            <w:r w:rsidR="00935B8F" w:rsidRPr="00A743B2">
              <w:rPr>
                <w:rFonts w:ascii="Century Gothic" w:eastAsia="Eras Light ITC" w:hAnsi="Century Gothic" w:cs="Eras Light ITC"/>
                <w:spacing w:val="-1"/>
              </w:rPr>
              <w:t xml:space="preserve"> mascotas en descuido (se compromete a llevar a control de vacunas y presentar cartillas de vacunación a las oficinas)</w:t>
            </w:r>
            <w:r w:rsidR="00D208C8" w:rsidRPr="00A743B2">
              <w:rPr>
                <w:rFonts w:ascii="Century Gothic" w:eastAsia="Eras Light ITC" w:hAnsi="Century Gothic" w:cs="Eras Light ITC"/>
                <w:spacing w:val="-1"/>
              </w:rPr>
              <w:t>.</w:t>
            </w:r>
            <w:r w:rsidR="007A412F" w:rsidRPr="00A743B2">
              <w:rPr>
                <w:rFonts w:ascii="Century Gothic" w:eastAsia="Eras Light ITC" w:hAnsi="Century Gothic" w:cs="Eras Light ITC"/>
                <w:spacing w:val="-1"/>
              </w:rPr>
              <w:t xml:space="preserve"> Art. 62 literal f) de la Ley Especial de Protección y Bienestar Animal. </w:t>
            </w:r>
          </w:p>
          <w:p w:rsidR="007A412F" w:rsidRPr="00A743B2" w:rsidRDefault="007A412F" w:rsidP="00B41E8F">
            <w:pPr>
              <w:spacing w:line="276" w:lineRule="auto"/>
              <w:ind w:left="103" w:right="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</w:rPr>
            </w:pPr>
          </w:p>
        </w:tc>
      </w:tr>
      <w:tr w:rsidR="00EE1A46" w:rsidTr="006A048A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935B8F" w:rsidRPr="00A743B2" w:rsidRDefault="009917A0" w:rsidP="00935B8F">
            <w:pPr>
              <w:spacing w:line="240" w:lineRule="exact"/>
              <w:rPr>
                <w:rFonts w:ascii="Century Gothic" w:eastAsia="Eras Light ITC" w:hAnsi="Century Gothic" w:cs="Eras Light ITC"/>
              </w:rPr>
            </w:pPr>
            <w:r w:rsidRPr="00A743B2">
              <w:rPr>
                <w:rFonts w:ascii="Century Gothic" w:eastAsia="Eras Light ITC" w:hAnsi="Century Gothic" w:cs="Eras Light ITC"/>
              </w:rPr>
              <w:t>D-79-2024_</w:t>
            </w:r>
            <w:r w:rsidR="00935B8F" w:rsidRPr="00A743B2">
              <w:rPr>
                <w:rFonts w:ascii="Century Gothic" w:eastAsia="Eras Light ITC" w:hAnsi="Century Gothic" w:cs="Eras Light ITC"/>
              </w:rPr>
              <w:t xml:space="preserve">8-03-2024         </w:t>
            </w:r>
          </w:p>
          <w:p w:rsidR="00B41E8F" w:rsidRPr="00A743B2" w:rsidRDefault="00B41E8F" w:rsidP="00935B8F">
            <w:pPr>
              <w:spacing w:line="240" w:lineRule="exact"/>
              <w:rPr>
                <w:rFonts w:ascii="Century Gothic" w:eastAsia="Eras Light ITC" w:hAnsi="Century Gothic" w:cs="Eras Light ITC"/>
              </w:rPr>
            </w:pPr>
          </w:p>
        </w:tc>
        <w:tc>
          <w:tcPr>
            <w:tcW w:w="1824" w:type="dxa"/>
          </w:tcPr>
          <w:p w:rsidR="00EE1A46" w:rsidRPr="00A743B2" w:rsidRDefault="00935B8F" w:rsidP="00935B8F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</w:rPr>
            </w:pPr>
            <w:r w:rsidRPr="00A743B2">
              <w:rPr>
                <w:rFonts w:ascii="Century Gothic" w:eastAsia="Eras Light ITC" w:hAnsi="Century Gothic" w:cs="Eras Light ITC"/>
                <w:spacing w:val="-2"/>
                <w:position w:val="1"/>
              </w:rPr>
              <w:t xml:space="preserve"> 8-03-2024</w:t>
            </w:r>
          </w:p>
        </w:tc>
        <w:tc>
          <w:tcPr>
            <w:tcW w:w="4673" w:type="dxa"/>
          </w:tcPr>
          <w:p w:rsidR="00EE1A46" w:rsidRPr="00A743B2" w:rsidRDefault="00B41E8F" w:rsidP="00B41E8F">
            <w:pPr>
              <w:spacing w:line="240" w:lineRule="exact"/>
              <w:ind w:left="103" w:right="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  <w:spacing w:val="-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-1"/>
                <w:position w:val="1"/>
              </w:rPr>
              <w:t xml:space="preserve">Resolución </w:t>
            </w:r>
            <w:r w:rsidR="00935B8F" w:rsidRPr="00A743B2">
              <w:rPr>
                <w:rFonts w:ascii="Century Gothic" w:eastAsia="Eras Light ITC" w:hAnsi="Century Gothic" w:cs="Eras Light ITC"/>
                <w:spacing w:val="-1"/>
                <w:position w:val="1"/>
              </w:rPr>
              <w:t>por poste obstaculizando servidumbre (retro</w:t>
            </w:r>
            <w:r w:rsidR="00A8394B" w:rsidRPr="00A743B2">
              <w:rPr>
                <w:rFonts w:ascii="Century Gothic" w:eastAsia="Eras Light ITC" w:hAnsi="Century Gothic" w:cs="Eras Light ITC"/>
                <w:spacing w:val="-1"/>
                <w:position w:val="1"/>
              </w:rPr>
              <w:t>cederá 10 cm de la servidumbre). Art 49 de la Ordenanza para la Convivencia Ciudadana y Contravenciones Administrativas.</w:t>
            </w:r>
          </w:p>
          <w:p w:rsidR="009917A0" w:rsidRPr="00A743B2" w:rsidRDefault="009917A0" w:rsidP="00B41E8F">
            <w:pPr>
              <w:spacing w:line="240" w:lineRule="exact"/>
              <w:ind w:left="103" w:right="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Eras Light ITC" w:hAnsi="Century Gothic" w:cs="Eras Light ITC"/>
              </w:rPr>
            </w:pPr>
          </w:p>
        </w:tc>
      </w:tr>
      <w:tr w:rsidR="00EE1A46" w:rsidTr="006A048A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530A20" w:rsidRPr="00A743B2" w:rsidRDefault="00530A20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R.C.T./12-2023-195</w:t>
            </w:r>
          </w:p>
          <w:p w:rsidR="00935B8F" w:rsidRPr="00A743B2" w:rsidRDefault="00935B8F" w:rsidP="00B633D0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:rsidR="00EE1A46" w:rsidRPr="00A743B2" w:rsidRDefault="00935B8F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 8-01-2024</w:t>
            </w:r>
          </w:p>
        </w:tc>
        <w:tc>
          <w:tcPr>
            <w:tcW w:w="4673" w:type="dxa"/>
          </w:tcPr>
          <w:p w:rsidR="00EE1A46" w:rsidRPr="00A743B2" w:rsidRDefault="008C759C" w:rsidP="008C759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Acuerdo favorab</w:t>
            </w:r>
            <w:r w:rsidR="00935B8F" w:rsidRPr="00A743B2">
              <w:rPr>
                <w:rFonts w:ascii="Century Gothic" w:hAnsi="Century Gothic"/>
              </w:rPr>
              <w:t xml:space="preserve">le de audiencia de derecho de defensa </w:t>
            </w:r>
            <w:r w:rsidR="0092098C" w:rsidRPr="00A743B2">
              <w:rPr>
                <w:rFonts w:ascii="Century Gothic" w:hAnsi="Century Gothic"/>
              </w:rPr>
              <w:t>por residuos generando contaminación e insalubridad (compromiso de limpiar y recoger basura del pasaje)</w:t>
            </w:r>
          </w:p>
          <w:p w:rsidR="004D58A6" w:rsidRPr="00A743B2" w:rsidRDefault="004D58A6" w:rsidP="008C759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DA3" w:rsidTr="006A048A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A07DA3" w:rsidRPr="00A743B2" w:rsidRDefault="0092098C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 xml:space="preserve">ESQUELA DESESTIMADA             </w:t>
            </w:r>
          </w:p>
          <w:p w:rsidR="0092098C" w:rsidRPr="00A743B2" w:rsidRDefault="0092098C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29-01-2024</w:t>
            </w:r>
          </w:p>
        </w:tc>
        <w:tc>
          <w:tcPr>
            <w:tcW w:w="1824" w:type="dxa"/>
          </w:tcPr>
          <w:p w:rsidR="00A07DA3" w:rsidRPr="00A743B2" w:rsidRDefault="0092098C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29-01-2024</w:t>
            </w:r>
          </w:p>
        </w:tc>
        <w:tc>
          <w:tcPr>
            <w:tcW w:w="4673" w:type="dxa"/>
          </w:tcPr>
          <w:p w:rsidR="00A07DA3" w:rsidRPr="00A743B2" w:rsidRDefault="004D58A6" w:rsidP="004D58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Esquela desestimada por comprobar que no eran ciertos los hechos alegados, </w:t>
            </w:r>
            <w:r w:rsidRPr="00A743B2">
              <w:rPr>
                <w:rFonts w:ascii="Century Gothic" w:hAnsi="Century Gothic"/>
              </w:rPr>
              <w:lastRenderedPageBreak/>
              <w:t>presentando para constancia, la cartilla de vacunación de sus mascotas.</w:t>
            </w:r>
          </w:p>
          <w:p w:rsidR="004D58A6" w:rsidRPr="00A743B2" w:rsidRDefault="004D58A6" w:rsidP="004D58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DA3" w:rsidTr="006A048A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A07DA3" w:rsidRPr="00A743B2" w:rsidRDefault="0092098C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lastRenderedPageBreak/>
              <w:t>ESQUELA DESE</w:t>
            </w:r>
            <w:r w:rsidR="00CA2F8A"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S</w:t>
            </w: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 xml:space="preserve">TIMADA               </w:t>
            </w:r>
          </w:p>
          <w:p w:rsidR="0092098C" w:rsidRPr="00A743B2" w:rsidRDefault="0092098C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16-01-2024</w:t>
            </w:r>
          </w:p>
        </w:tc>
        <w:tc>
          <w:tcPr>
            <w:tcW w:w="1824" w:type="dxa"/>
          </w:tcPr>
          <w:p w:rsidR="00A07DA3" w:rsidRPr="00A743B2" w:rsidRDefault="0092098C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16-01-2024</w:t>
            </w:r>
          </w:p>
        </w:tc>
        <w:tc>
          <w:tcPr>
            <w:tcW w:w="4673" w:type="dxa"/>
          </w:tcPr>
          <w:p w:rsidR="006069C6" w:rsidRPr="00A743B2" w:rsidRDefault="004D58A6" w:rsidP="006069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E</w:t>
            </w:r>
            <w:r w:rsidR="00CA2F8A" w:rsidRPr="00A743B2">
              <w:rPr>
                <w:rFonts w:ascii="Century Gothic" w:hAnsi="Century Gothic"/>
              </w:rPr>
              <w:t>squela desestimada</w:t>
            </w:r>
            <w:r w:rsidR="006069C6" w:rsidRPr="00A743B2">
              <w:rPr>
                <w:rFonts w:ascii="Century Gothic" w:hAnsi="Century Gothic"/>
              </w:rPr>
              <w:t xml:space="preserve"> </w:t>
            </w:r>
            <w:r w:rsidR="006069C6" w:rsidRPr="00A743B2">
              <w:rPr>
                <w:rFonts w:ascii="Century Gothic" w:hAnsi="Century Gothic"/>
              </w:rPr>
              <w:t>por comprobar que no eran ciertos los hechos alegados, presentando para constancia, la cartilla de vacunación de sus mascotas.</w:t>
            </w:r>
          </w:p>
          <w:p w:rsidR="00A07DA3" w:rsidRPr="00A743B2" w:rsidRDefault="00A07DA3" w:rsidP="00B63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DA3" w:rsidTr="006A048A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CA2F8A" w:rsidRPr="00A743B2" w:rsidRDefault="00B562F9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O-52-2024_ 26-02-2024</w:t>
            </w:r>
          </w:p>
        </w:tc>
        <w:tc>
          <w:tcPr>
            <w:tcW w:w="1824" w:type="dxa"/>
          </w:tcPr>
          <w:p w:rsidR="00A07DA3" w:rsidRPr="00A743B2" w:rsidRDefault="00CA2F8A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26-02-2024</w:t>
            </w:r>
          </w:p>
        </w:tc>
        <w:tc>
          <w:tcPr>
            <w:tcW w:w="4673" w:type="dxa"/>
          </w:tcPr>
          <w:p w:rsidR="00A07DA3" w:rsidRPr="00A743B2" w:rsidRDefault="00150310" w:rsidP="00ED768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Esquela desestimada</w:t>
            </w:r>
            <w:r w:rsidR="00ED7687" w:rsidRPr="00A743B2">
              <w:rPr>
                <w:rFonts w:ascii="Century Gothic" w:hAnsi="Century Gothic"/>
              </w:rPr>
              <w:t xml:space="preserve"> por comprobar que no eran ciertos los hechos alegados. A</w:t>
            </w:r>
            <w:r w:rsidR="00364B64" w:rsidRPr="00A743B2">
              <w:rPr>
                <w:rFonts w:ascii="Century Gothic" w:hAnsi="Century Gothic"/>
              </w:rPr>
              <w:t xml:space="preserve">rt. </w:t>
            </w:r>
            <w:r w:rsidR="00ED7687" w:rsidRPr="00A743B2">
              <w:rPr>
                <w:rFonts w:ascii="Century Gothic" w:hAnsi="Century Gothic"/>
              </w:rPr>
              <w:t xml:space="preserve">52 y 99 </w:t>
            </w:r>
            <w:r w:rsidR="00364B64" w:rsidRPr="00A743B2">
              <w:rPr>
                <w:rFonts w:ascii="Century Gothic" w:hAnsi="Century Gothic"/>
              </w:rPr>
              <w:t xml:space="preserve">de la Ordenanza para la Convivencia Ciudadana y </w:t>
            </w:r>
            <w:r w:rsidR="00ED7687" w:rsidRPr="00A743B2">
              <w:rPr>
                <w:rFonts w:ascii="Century Gothic" w:hAnsi="Century Gothic"/>
              </w:rPr>
              <w:t>Contravenciones Administrativas.</w:t>
            </w:r>
          </w:p>
        </w:tc>
      </w:tr>
      <w:tr w:rsidR="00553661" w:rsidTr="006A048A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364B64" w:rsidRPr="00A743B2" w:rsidRDefault="003A59E0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O-66-2024_29-01-2024</w:t>
            </w:r>
          </w:p>
        </w:tc>
        <w:tc>
          <w:tcPr>
            <w:tcW w:w="1824" w:type="dxa"/>
          </w:tcPr>
          <w:p w:rsidR="00553661" w:rsidRPr="00A743B2" w:rsidRDefault="00364B64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29-01-2024</w:t>
            </w:r>
          </w:p>
        </w:tc>
        <w:tc>
          <w:tcPr>
            <w:tcW w:w="4673" w:type="dxa"/>
          </w:tcPr>
          <w:p w:rsidR="00553661" w:rsidRPr="00A743B2" w:rsidRDefault="00457399" w:rsidP="009366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 xml:space="preserve">Esquela desestimada </w:t>
            </w:r>
            <w:r w:rsidR="0093662C" w:rsidRPr="00A743B2">
              <w:rPr>
                <w:rFonts w:ascii="Century Gothic" w:hAnsi="Century Gothic"/>
              </w:rPr>
              <w:t>por no encontrarse fundamentos en los hechos alegados.</w:t>
            </w:r>
            <w:r w:rsidR="00364B64" w:rsidRPr="00A743B2">
              <w:rPr>
                <w:rFonts w:ascii="Century Gothic" w:hAnsi="Century Gothic"/>
              </w:rPr>
              <w:t xml:space="preserve"> </w:t>
            </w:r>
            <w:r w:rsidR="0093662C" w:rsidRPr="00A743B2">
              <w:rPr>
                <w:rFonts w:ascii="Century Gothic" w:hAnsi="Century Gothic"/>
              </w:rPr>
              <w:t>A</w:t>
            </w:r>
            <w:r w:rsidR="00364B64" w:rsidRPr="00A743B2">
              <w:rPr>
                <w:rFonts w:ascii="Century Gothic" w:hAnsi="Century Gothic"/>
              </w:rPr>
              <w:t>rt. 66</w:t>
            </w:r>
            <w:r w:rsidR="0093662C" w:rsidRPr="00A743B2">
              <w:rPr>
                <w:rFonts w:ascii="Century Gothic" w:hAnsi="Century Gothic"/>
              </w:rPr>
              <w:t xml:space="preserve"> y 99</w:t>
            </w:r>
            <w:r w:rsidR="00364B64" w:rsidRPr="00A743B2">
              <w:rPr>
                <w:rFonts w:ascii="Century Gothic" w:hAnsi="Century Gothic"/>
              </w:rPr>
              <w:t xml:space="preserve"> de la Ordenanza para la Convivencia Ciudadana y </w:t>
            </w:r>
            <w:r w:rsidR="0093662C" w:rsidRPr="00A743B2">
              <w:rPr>
                <w:rFonts w:ascii="Century Gothic" w:hAnsi="Century Gothic"/>
              </w:rPr>
              <w:t>Contravenciones Administrativas.</w:t>
            </w:r>
          </w:p>
        </w:tc>
      </w:tr>
      <w:tr w:rsidR="00553661" w:rsidTr="006A048A">
        <w:trPr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364B64" w:rsidRPr="00A743B2" w:rsidRDefault="00FA3B0D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O-66-23022024</w:t>
            </w:r>
          </w:p>
        </w:tc>
        <w:tc>
          <w:tcPr>
            <w:tcW w:w="1824" w:type="dxa"/>
          </w:tcPr>
          <w:p w:rsidR="00553661" w:rsidRPr="00A743B2" w:rsidRDefault="00364B64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26-02-2024</w:t>
            </w:r>
          </w:p>
        </w:tc>
        <w:tc>
          <w:tcPr>
            <w:tcW w:w="4673" w:type="dxa"/>
          </w:tcPr>
          <w:p w:rsidR="00FA3B0D" w:rsidRPr="00A743B2" w:rsidRDefault="00FA3B0D" w:rsidP="00B63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Resolución condenatoria al pago de $51.00 por</w:t>
            </w:r>
          </w:p>
          <w:p w:rsidR="00553661" w:rsidRPr="00A743B2" w:rsidRDefault="00FA3B0D" w:rsidP="00FA3B0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la</w:t>
            </w:r>
            <w:r w:rsidR="00364B64" w:rsidRPr="00A743B2">
              <w:rPr>
                <w:rFonts w:ascii="Century Gothic" w:hAnsi="Century Gothic"/>
              </w:rPr>
              <w:t xml:space="preserve"> infracción al art. 66 “Realización de construcciones en inmuebles sin permiso correspondiente” de la Ordenanza para la Convivencia Ciudadana y Contravencione</w:t>
            </w:r>
            <w:r w:rsidRPr="00A743B2">
              <w:rPr>
                <w:rFonts w:ascii="Century Gothic" w:hAnsi="Century Gothic"/>
              </w:rPr>
              <w:t>s Administrativas.</w:t>
            </w:r>
          </w:p>
          <w:p w:rsidR="00FA3B0D" w:rsidRPr="00A743B2" w:rsidRDefault="00FA3B0D" w:rsidP="00FA3B0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DA3" w:rsidTr="006A048A">
        <w:trPr>
          <w:trHeight w:val="1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E35219" w:rsidRPr="00A743B2" w:rsidRDefault="007311C6" w:rsidP="00B633D0">
            <w:pPr>
              <w:rPr>
                <w:rFonts w:ascii="Century Gothic" w:eastAsia="Eras Light ITC" w:hAnsi="Century Gothic" w:cs="Eras Light ITC"/>
                <w:spacing w:val="1"/>
                <w:position w:val="1"/>
              </w:rPr>
            </w:pPr>
            <w:r w:rsidRPr="00A743B2">
              <w:rPr>
                <w:rFonts w:ascii="Century Gothic" w:eastAsia="Eras Light ITC" w:hAnsi="Century Gothic" w:cs="Eras Light ITC"/>
                <w:spacing w:val="1"/>
                <w:position w:val="1"/>
              </w:rPr>
              <w:t>O-66-05230224</w:t>
            </w:r>
          </w:p>
        </w:tc>
        <w:tc>
          <w:tcPr>
            <w:tcW w:w="1824" w:type="dxa"/>
          </w:tcPr>
          <w:p w:rsidR="00A07DA3" w:rsidRPr="00A743B2" w:rsidRDefault="00E35219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28-02-2024</w:t>
            </w:r>
          </w:p>
        </w:tc>
        <w:tc>
          <w:tcPr>
            <w:tcW w:w="4673" w:type="dxa"/>
          </w:tcPr>
          <w:p w:rsidR="007311C6" w:rsidRPr="00A743B2" w:rsidRDefault="007311C6" w:rsidP="007311C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Resolución condenatoria al pago de $300.00 por la</w:t>
            </w:r>
            <w:r w:rsidR="00E35219" w:rsidRPr="00A743B2">
              <w:rPr>
                <w:rFonts w:ascii="Century Gothic" w:hAnsi="Century Gothic"/>
              </w:rPr>
              <w:t xml:space="preserve"> infracción al art. 66 “realización de construcción en inmuebles sin permiso correspondiente” de la Ordenanza para la Convivencia Ciudadana y Contravenciones </w:t>
            </w:r>
            <w:r w:rsidRPr="00A743B2">
              <w:rPr>
                <w:rFonts w:ascii="Century Gothic" w:hAnsi="Century Gothic"/>
              </w:rPr>
              <w:t>Administrativas.</w:t>
            </w:r>
          </w:p>
          <w:p w:rsidR="00E35219" w:rsidRPr="00A743B2" w:rsidRDefault="00E35219" w:rsidP="00B63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EE1A46" w:rsidTr="006A048A">
        <w:trPr>
          <w:trHeight w:val="2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:rsidR="006A048A" w:rsidRPr="00A743B2" w:rsidRDefault="00F2731A" w:rsidP="00EE1A46">
            <w:pPr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O-31-230220</w:t>
            </w:r>
            <w:bookmarkStart w:id="0" w:name="_GoBack"/>
            <w:bookmarkEnd w:id="0"/>
            <w:r w:rsidRPr="00A743B2">
              <w:rPr>
                <w:rFonts w:ascii="Century Gothic" w:hAnsi="Century Gothic"/>
              </w:rPr>
              <w:t>24</w:t>
            </w:r>
          </w:p>
        </w:tc>
        <w:tc>
          <w:tcPr>
            <w:tcW w:w="1824" w:type="dxa"/>
          </w:tcPr>
          <w:p w:rsidR="00EE1A46" w:rsidRPr="00A743B2" w:rsidRDefault="006A048A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27-02-2024</w:t>
            </w:r>
          </w:p>
        </w:tc>
        <w:tc>
          <w:tcPr>
            <w:tcW w:w="4673" w:type="dxa"/>
          </w:tcPr>
          <w:p w:rsidR="003A5C5F" w:rsidRPr="00A743B2" w:rsidRDefault="00F2731A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743B2">
              <w:rPr>
                <w:rFonts w:ascii="Century Gothic" w:hAnsi="Century Gothic"/>
              </w:rPr>
              <w:t>Resolución condenatoria al pago de $51.00</w:t>
            </w:r>
            <w:r w:rsidR="006A048A" w:rsidRPr="00A743B2">
              <w:rPr>
                <w:rFonts w:ascii="Century Gothic" w:hAnsi="Century Gothic"/>
              </w:rPr>
              <w:t xml:space="preserve"> por </w:t>
            </w:r>
            <w:r w:rsidRPr="00A743B2">
              <w:rPr>
                <w:rFonts w:ascii="Century Gothic" w:hAnsi="Century Gothic"/>
              </w:rPr>
              <w:t xml:space="preserve">la </w:t>
            </w:r>
            <w:r w:rsidR="006A048A" w:rsidRPr="00A743B2">
              <w:rPr>
                <w:rFonts w:ascii="Century Gothic" w:hAnsi="Century Gothic"/>
              </w:rPr>
              <w:t xml:space="preserve">infracción al art. 31 “Impedir o dificultar la circulación de peatones y/o vehículos” de la Ordenanza para la Convivencia Ciudadana y </w:t>
            </w:r>
            <w:r w:rsidRPr="00A743B2">
              <w:rPr>
                <w:rFonts w:ascii="Century Gothic" w:hAnsi="Century Gothic"/>
              </w:rPr>
              <w:t>Contravenciones Administrativas.</w:t>
            </w:r>
          </w:p>
          <w:p w:rsidR="003A5C5F" w:rsidRPr="00A743B2" w:rsidRDefault="003A5C5F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:rsidR="003A5C5F" w:rsidRPr="00A743B2" w:rsidRDefault="003A5C5F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:rsidR="003A5C5F" w:rsidRPr="00A743B2" w:rsidRDefault="003A5C5F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:rsidR="003A5C5F" w:rsidRPr="00A743B2" w:rsidRDefault="003A5C5F" w:rsidP="00EE1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D755D9" w:rsidRPr="004C53FB" w:rsidRDefault="00D755D9" w:rsidP="000869E5">
      <w:pPr>
        <w:spacing w:after="0" w:line="276" w:lineRule="auto"/>
        <w:jc w:val="both"/>
        <w:rPr>
          <w:rFonts w:ascii="Eras Light ITC" w:hAnsi="Eras Light ITC"/>
        </w:rPr>
      </w:pPr>
    </w:p>
    <w:sectPr w:rsidR="00D755D9" w:rsidRPr="004C53FB" w:rsidSect="00637312">
      <w:headerReference w:type="default" r:id="rId8"/>
      <w:pgSz w:w="12240" w:h="15840" w:code="1"/>
      <w:pgMar w:top="1417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BC" w:rsidRDefault="00F062BC" w:rsidP="000A3A88">
      <w:pPr>
        <w:spacing w:after="0" w:line="240" w:lineRule="auto"/>
      </w:pPr>
      <w:r>
        <w:separator/>
      </w:r>
    </w:p>
  </w:endnote>
  <w:endnote w:type="continuationSeparator" w:id="0">
    <w:p w:rsidR="00F062BC" w:rsidRDefault="00F062BC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BC" w:rsidRDefault="00F062BC" w:rsidP="000A3A88">
      <w:pPr>
        <w:spacing w:after="0" w:line="240" w:lineRule="auto"/>
      </w:pPr>
      <w:r>
        <w:separator/>
      </w:r>
    </w:p>
  </w:footnote>
  <w:footnote w:type="continuationSeparator" w:id="0">
    <w:p w:rsidR="00F062BC" w:rsidRDefault="00F062BC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88" w:rsidRDefault="004935B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FFE"/>
    <w:multiLevelType w:val="hybridMultilevel"/>
    <w:tmpl w:val="9A3437C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77A28"/>
    <w:multiLevelType w:val="hybridMultilevel"/>
    <w:tmpl w:val="CD7A5A0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F4CD5"/>
    <w:multiLevelType w:val="hybridMultilevel"/>
    <w:tmpl w:val="2C46D374"/>
    <w:lvl w:ilvl="0" w:tplc="2182DCB8">
      <w:start w:val="1"/>
      <w:numFmt w:val="upperLetter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 w15:restartNumberingAfterBreak="0">
    <w:nsid w:val="6E8E7DA1"/>
    <w:multiLevelType w:val="hybridMultilevel"/>
    <w:tmpl w:val="B76E75CA"/>
    <w:lvl w:ilvl="0" w:tplc="04DA8C16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004E4"/>
    <w:multiLevelType w:val="hybridMultilevel"/>
    <w:tmpl w:val="EC9245F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43A3"/>
    <w:rsid w:val="00005720"/>
    <w:rsid w:val="000119D7"/>
    <w:rsid w:val="00061CA3"/>
    <w:rsid w:val="0007611D"/>
    <w:rsid w:val="000869E5"/>
    <w:rsid w:val="00091347"/>
    <w:rsid w:val="00096336"/>
    <w:rsid w:val="000A3A88"/>
    <w:rsid w:val="001214F3"/>
    <w:rsid w:val="00150310"/>
    <w:rsid w:val="00162003"/>
    <w:rsid w:val="001727F0"/>
    <w:rsid w:val="0018646F"/>
    <w:rsid w:val="0019507B"/>
    <w:rsid w:val="001B0CCC"/>
    <w:rsid w:val="001C26C2"/>
    <w:rsid w:val="001C41F7"/>
    <w:rsid w:val="001D1293"/>
    <w:rsid w:val="001D2BB5"/>
    <w:rsid w:val="001D3D49"/>
    <w:rsid w:val="001F0FB4"/>
    <w:rsid w:val="00211FE9"/>
    <w:rsid w:val="00237938"/>
    <w:rsid w:val="00252275"/>
    <w:rsid w:val="002A48E7"/>
    <w:rsid w:val="002B2776"/>
    <w:rsid w:val="002C1375"/>
    <w:rsid w:val="002D70E2"/>
    <w:rsid w:val="002F23E5"/>
    <w:rsid w:val="002F5C78"/>
    <w:rsid w:val="003072B2"/>
    <w:rsid w:val="00333479"/>
    <w:rsid w:val="00334E88"/>
    <w:rsid w:val="00345EC6"/>
    <w:rsid w:val="003644D9"/>
    <w:rsid w:val="00364B64"/>
    <w:rsid w:val="003740EE"/>
    <w:rsid w:val="003A37F3"/>
    <w:rsid w:val="003A518A"/>
    <w:rsid w:val="003A59E0"/>
    <w:rsid w:val="003A5C5F"/>
    <w:rsid w:val="003A65E7"/>
    <w:rsid w:val="003B45E6"/>
    <w:rsid w:val="004055F8"/>
    <w:rsid w:val="00406CCA"/>
    <w:rsid w:val="004071CB"/>
    <w:rsid w:val="00420EAD"/>
    <w:rsid w:val="004211CD"/>
    <w:rsid w:val="004315F9"/>
    <w:rsid w:val="00457399"/>
    <w:rsid w:val="0049289E"/>
    <w:rsid w:val="004935B0"/>
    <w:rsid w:val="00493B7C"/>
    <w:rsid w:val="004A30D7"/>
    <w:rsid w:val="004A3E22"/>
    <w:rsid w:val="004B6519"/>
    <w:rsid w:val="004B798F"/>
    <w:rsid w:val="004C53FB"/>
    <w:rsid w:val="004D1301"/>
    <w:rsid w:val="004D58A6"/>
    <w:rsid w:val="00530A20"/>
    <w:rsid w:val="00535E28"/>
    <w:rsid w:val="00553661"/>
    <w:rsid w:val="005853D6"/>
    <w:rsid w:val="005B3EA9"/>
    <w:rsid w:val="006069C6"/>
    <w:rsid w:val="00613698"/>
    <w:rsid w:val="006171FE"/>
    <w:rsid w:val="00622570"/>
    <w:rsid w:val="00622B81"/>
    <w:rsid w:val="0063677F"/>
    <w:rsid w:val="00637312"/>
    <w:rsid w:val="00666928"/>
    <w:rsid w:val="00694F6D"/>
    <w:rsid w:val="006A048A"/>
    <w:rsid w:val="006E07D0"/>
    <w:rsid w:val="006F04AD"/>
    <w:rsid w:val="007311C6"/>
    <w:rsid w:val="0073149B"/>
    <w:rsid w:val="00756475"/>
    <w:rsid w:val="007739E2"/>
    <w:rsid w:val="007A0646"/>
    <w:rsid w:val="007A412F"/>
    <w:rsid w:val="007A4251"/>
    <w:rsid w:val="00811C78"/>
    <w:rsid w:val="00815324"/>
    <w:rsid w:val="00831867"/>
    <w:rsid w:val="00832119"/>
    <w:rsid w:val="008627A4"/>
    <w:rsid w:val="00892152"/>
    <w:rsid w:val="008B53BF"/>
    <w:rsid w:val="008C759C"/>
    <w:rsid w:val="008D0DF5"/>
    <w:rsid w:val="008E4F7E"/>
    <w:rsid w:val="008F600D"/>
    <w:rsid w:val="00904B83"/>
    <w:rsid w:val="0092098C"/>
    <w:rsid w:val="00923A89"/>
    <w:rsid w:val="00935B8F"/>
    <w:rsid w:val="0093662C"/>
    <w:rsid w:val="00937FC7"/>
    <w:rsid w:val="00950D69"/>
    <w:rsid w:val="00963723"/>
    <w:rsid w:val="00972F8B"/>
    <w:rsid w:val="00976025"/>
    <w:rsid w:val="009917A0"/>
    <w:rsid w:val="009A26E2"/>
    <w:rsid w:val="009B12B5"/>
    <w:rsid w:val="009D5E4B"/>
    <w:rsid w:val="009D7F0F"/>
    <w:rsid w:val="009F6275"/>
    <w:rsid w:val="00A07DA3"/>
    <w:rsid w:val="00A1139B"/>
    <w:rsid w:val="00A45BF6"/>
    <w:rsid w:val="00A52B95"/>
    <w:rsid w:val="00A743B2"/>
    <w:rsid w:val="00A75972"/>
    <w:rsid w:val="00A8394B"/>
    <w:rsid w:val="00A90A0A"/>
    <w:rsid w:val="00AC0F11"/>
    <w:rsid w:val="00AC502A"/>
    <w:rsid w:val="00AD3FA0"/>
    <w:rsid w:val="00AF1766"/>
    <w:rsid w:val="00AF3393"/>
    <w:rsid w:val="00AF4167"/>
    <w:rsid w:val="00AF6F3E"/>
    <w:rsid w:val="00B138BE"/>
    <w:rsid w:val="00B15BE5"/>
    <w:rsid w:val="00B34B88"/>
    <w:rsid w:val="00B41E8F"/>
    <w:rsid w:val="00B562F9"/>
    <w:rsid w:val="00B633D0"/>
    <w:rsid w:val="00B72682"/>
    <w:rsid w:val="00B93853"/>
    <w:rsid w:val="00BA626A"/>
    <w:rsid w:val="00BC745E"/>
    <w:rsid w:val="00BD74DF"/>
    <w:rsid w:val="00BE4E09"/>
    <w:rsid w:val="00BF070C"/>
    <w:rsid w:val="00BF1BEF"/>
    <w:rsid w:val="00C36032"/>
    <w:rsid w:val="00C60253"/>
    <w:rsid w:val="00C9783B"/>
    <w:rsid w:val="00CA2F8A"/>
    <w:rsid w:val="00CE1A98"/>
    <w:rsid w:val="00CE3C1D"/>
    <w:rsid w:val="00CE43B1"/>
    <w:rsid w:val="00D01A33"/>
    <w:rsid w:val="00D208C8"/>
    <w:rsid w:val="00D42BF9"/>
    <w:rsid w:val="00D43725"/>
    <w:rsid w:val="00D560EA"/>
    <w:rsid w:val="00D615B4"/>
    <w:rsid w:val="00D6382B"/>
    <w:rsid w:val="00D755D9"/>
    <w:rsid w:val="00D86608"/>
    <w:rsid w:val="00DE5C95"/>
    <w:rsid w:val="00E059C7"/>
    <w:rsid w:val="00E341DB"/>
    <w:rsid w:val="00E35219"/>
    <w:rsid w:val="00E61552"/>
    <w:rsid w:val="00E71106"/>
    <w:rsid w:val="00EA19F2"/>
    <w:rsid w:val="00EA26D8"/>
    <w:rsid w:val="00EA508D"/>
    <w:rsid w:val="00EA6968"/>
    <w:rsid w:val="00EC32D0"/>
    <w:rsid w:val="00ED21EE"/>
    <w:rsid w:val="00ED7687"/>
    <w:rsid w:val="00EE1A46"/>
    <w:rsid w:val="00EF02E7"/>
    <w:rsid w:val="00F03BCD"/>
    <w:rsid w:val="00F062BC"/>
    <w:rsid w:val="00F2731A"/>
    <w:rsid w:val="00F62D4F"/>
    <w:rsid w:val="00FA3B0D"/>
    <w:rsid w:val="00FB099B"/>
    <w:rsid w:val="00FB7903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102DD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table" w:styleId="Tablaconcuadrcula">
    <w:name w:val="Table Grid"/>
    <w:basedOn w:val="Tablanormal"/>
    <w:uiPriority w:val="39"/>
    <w:rsid w:val="0053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9C7"/>
    <w:rPr>
      <w:rFonts w:ascii="Segoe UI" w:hAnsi="Segoe UI" w:cs="Segoe UI"/>
      <w:sz w:val="18"/>
      <w:szCs w:val="18"/>
    </w:rPr>
  </w:style>
  <w:style w:type="table" w:styleId="Tabladecuadrcula2-nfasis3">
    <w:name w:val="Grid Table 2 Accent 3"/>
    <w:basedOn w:val="Tablanormal"/>
    <w:uiPriority w:val="47"/>
    <w:rsid w:val="00EA696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uadrculadetablaclara">
    <w:name w:val="Grid Table Light"/>
    <w:basedOn w:val="Tablanormal"/>
    <w:uiPriority w:val="40"/>
    <w:rsid w:val="00A45B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45B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45B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-nfasis1">
    <w:name w:val="Grid Table 1 Light Accent 1"/>
    <w:basedOn w:val="Tablanormal"/>
    <w:uiPriority w:val="46"/>
    <w:rsid w:val="00A45B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AD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3931-0E9E-43C0-A342-633797B9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Fatima Abigail Rivera Pineda</cp:lastModifiedBy>
  <cp:revision>37</cp:revision>
  <cp:lastPrinted>2023-01-23T19:49:00Z</cp:lastPrinted>
  <dcterms:created xsi:type="dcterms:W3CDTF">2024-04-18T16:18:00Z</dcterms:created>
  <dcterms:modified xsi:type="dcterms:W3CDTF">2024-04-23T18:05:00Z</dcterms:modified>
</cp:coreProperties>
</file>