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220B1" w14:textId="6A8BF1F8" w:rsidR="00C5790F" w:rsidRPr="00351CB7" w:rsidRDefault="006B279E" w:rsidP="00E60939">
      <w:pPr>
        <w:spacing w:line="360" w:lineRule="auto"/>
        <w:ind w:left="0"/>
        <w:jc w:val="right"/>
        <w:rPr>
          <w:rFonts w:ascii="Museo Sans 300" w:eastAsiaTheme="minorEastAsia" w:hAnsi="Museo Sans 300" w:cstheme="majorHAnsi"/>
          <w:b/>
          <w:lang w:val="es-ES_tradnl" w:eastAsia="es-ES"/>
        </w:rPr>
      </w:pPr>
      <w:r>
        <w:rPr>
          <w:rFonts w:ascii="Museo Sans 300" w:eastAsiaTheme="minorEastAsia" w:hAnsi="Museo Sans 300" w:cstheme="majorHAnsi"/>
          <w:b/>
          <w:lang w:val="es-ES_tradnl" w:eastAsia="es-ES"/>
        </w:rPr>
        <w:t>Res_UAIP_039/2021.</w:t>
      </w:r>
    </w:p>
    <w:p w14:paraId="3B43A954" w14:textId="77777777" w:rsidR="001134DD" w:rsidRDefault="001134DD" w:rsidP="00E60939">
      <w:pPr>
        <w:spacing w:line="360" w:lineRule="auto"/>
        <w:ind w:left="0"/>
        <w:rPr>
          <w:rFonts w:ascii="Museo Sans 300" w:eastAsia="Calibri" w:hAnsi="Museo Sans 300" w:cstheme="majorHAnsi"/>
          <w:b/>
          <w:lang w:val="es-ES_tradnl" w:eastAsia="es-ES"/>
        </w:rPr>
      </w:pPr>
    </w:p>
    <w:p w14:paraId="392D81BB" w14:textId="347A2035" w:rsidR="00C5790F" w:rsidRDefault="00C5790F" w:rsidP="00E60939">
      <w:pPr>
        <w:spacing w:line="360" w:lineRule="auto"/>
        <w:ind w:left="0"/>
        <w:rPr>
          <w:rFonts w:ascii="Museo Sans 300" w:eastAsiaTheme="minorEastAsia" w:hAnsi="Museo Sans 300" w:cstheme="majorHAnsi"/>
          <w:lang w:val="es-ES_tradnl" w:eastAsia="es-ES"/>
        </w:rPr>
      </w:pPr>
      <w:r w:rsidRPr="00351CB7">
        <w:rPr>
          <w:rFonts w:ascii="Museo Sans 300" w:eastAsia="Calibri" w:hAnsi="Museo Sans 300" w:cstheme="majorHAnsi"/>
          <w:b/>
          <w:lang w:val="es-ES_tradnl" w:eastAsia="es-ES"/>
        </w:rPr>
        <w:t xml:space="preserve">UNIDAD DE ACCESO A LA INFORMACIÓN PUBLICA </w:t>
      </w:r>
      <w:r w:rsidRPr="00351CB7">
        <w:rPr>
          <w:rFonts w:ascii="Museo Sans 300" w:eastAsia="Calibri" w:hAnsi="Museo Sans 300" w:cstheme="majorHAnsi"/>
          <w:lang w:val="es-ES_tradnl" w:eastAsia="es-ES"/>
        </w:rPr>
        <w:t>de la</w:t>
      </w:r>
      <w:r w:rsidRPr="00351CB7">
        <w:rPr>
          <w:rFonts w:ascii="Museo Sans 300" w:eastAsia="Calibri" w:hAnsi="Museo Sans 300" w:cstheme="majorHAnsi"/>
          <w:b/>
          <w:lang w:val="es-ES_tradnl" w:eastAsia="es-ES"/>
        </w:rPr>
        <w:t xml:space="preserve"> COMISIÓN EJECUTIVA PORTUARIA AUTÓNOMA -CEPA-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; San Salvador, a las </w:t>
      </w:r>
      <w:r w:rsidR="0042285E">
        <w:rPr>
          <w:rFonts w:ascii="Museo Sans 300" w:eastAsia="Calibri" w:hAnsi="Museo Sans 300" w:cstheme="majorHAnsi"/>
          <w:lang w:val="es-ES_tradnl" w:eastAsia="es-ES"/>
        </w:rPr>
        <w:t>quince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horas con </w:t>
      </w:r>
      <w:r w:rsidR="0042285E">
        <w:rPr>
          <w:rFonts w:ascii="Museo Sans 300" w:eastAsia="Calibri" w:hAnsi="Museo Sans 300" w:cstheme="majorHAnsi"/>
          <w:lang w:val="es-ES_tradnl" w:eastAsia="es-ES"/>
        </w:rPr>
        <w:t>veintisiete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minutos del día </w:t>
      </w:r>
      <w:r w:rsidR="003A038B">
        <w:rPr>
          <w:rFonts w:ascii="Museo Sans 300" w:eastAsia="Calibri" w:hAnsi="Museo Sans 300" w:cstheme="majorHAnsi"/>
          <w:lang w:val="es-ES_tradnl" w:eastAsia="es-ES"/>
        </w:rPr>
        <w:t>veintidós de abril de dos mil veintiuno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, después de admitir y gestionar la solicitud de información asignada bajo la referencia </w:t>
      </w:r>
      <w:r w:rsidR="003A038B">
        <w:rPr>
          <w:rFonts w:ascii="Museo Sans 300" w:eastAsia="Calibri" w:hAnsi="Museo Sans 300" w:cstheme="majorHAnsi"/>
          <w:b/>
          <w:lang w:val="es-ES_tradnl" w:eastAsia="es-ES"/>
        </w:rPr>
        <w:t>Sol_UAIP_015/2021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solicitando lo siguiente</w:t>
      </w:r>
      <w:r w:rsidRPr="00351CB7">
        <w:rPr>
          <w:rFonts w:ascii="Museo Sans 300" w:eastAsiaTheme="minorEastAsia" w:hAnsi="Museo Sans 300" w:cstheme="majorHAnsi"/>
          <w:lang w:val="es-ES_tradnl" w:eastAsia="es-ES"/>
        </w:rPr>
        <w:t>:</w:t>
      </w:r>
    </w:p>
    <w:p w14:paraId="68B3F1C6" w14:textId="28DD26BA" w:rsidR="003A038B" w:rsidRPr="003A038B" w:rsidRDefault="003A038B" w:rsidP="003A038B">
      <w:pPr>
        <w:pStyle w:val="Prrafodelista"/>
        <w:numPr>
          <w:ilvl w:val="0"/>
          <w:numId w:val="4"/>
        </w:numPr>
        <w:spacing w:line="300" w:lineRule="auto"/>
        <w:rPr>
          <w:rFonts w:ascii="Museo Sans 300" w:eastAsiaTheme="minorEastAsia" w:hAnsi="Museo Sans 300" w:cstheme="majorHAnsi"/>
          <w:i/>
          <w:lang w:val="es-ES_tradnl" w:eastAsia="es-ES"/>
        </w:rPr>
      </w:pPr>
      <w:r w:rsidRPr="003A038B">
        <w:rPr>
          <w:rFonts w:ascii="Museo Sans 300" w:eastAsiaTheme="minorEastAsia" w:hAnsi="Museo Sans 300" w:cstheme="majorHAnsi"/>
          <w:i/>
          <w:lang w:val="es-ES_tradnl" w:eastAsia="es-ES"/>
        </w:rPr>
        <w:t xml:space="preserve">Versión pública del Plan Operativo Anual 2021, </w:t>
      </w:r>
    </w:p>
    <w:p w14:paraId="2BFB8E0A" w14:textId="77777777" w:rsidR="003A038B" w:rsidRPr="003A038B" w:rsidRDefault="003A038B" w:rsidP="003A038B">
      <w:pPr>
        <w:pStyle w:val="Prrafodelista"/>
        <w:spacing w:line="300" w:lineRule="auto"/>
        <w:rPr>
          <w:rFonts w:ascii="Museo Sans 300" w:eastAsiaTheme="minorEastAsia" w:hAnsi="Museo Sans 300" w:cstheme="majorHAnsi"/>
          <w:i/>
          <w:lang w:val="es-ES_tradnl" w:eastAsia="es-ES"/>
        </w:rPr>
      </w:pPr>
    </w:p>
    <w:p w14:paraId="5A4F2221" w14:textId="47238623" w:rsidR="003A038B" w:rsidRPr="003A038B" w:rsidRDefault="003A038B" w:rsidP="003A038B">
      <w:pPr>
        <w:pStyle w:val="Prrafodelista"/>
        <w:numPr>
          <w:ilvl w:val="0"/>
          <w:numId w:val="4"/>
        </w:numPr>
        <w:spacing w:line="300" w:lineRule="auto"/>
        <w:rPr>
          <w:rFonts w:ascii="Museo Sans 300" w:eastAsiaTheme="minorEastAsia" w:hAnsi="Museo Sans 300" w:cstheme="majorHAnsi"/>
          <w:i/>
          <w:lang w:val="es-ES_tradnl" w:eastAsia="es-ES"/>
        </w:rPr>
      </w:pPr>
      <w:r w:rsidRPr="003A038B">
        <w:rPr>
          <w:rFonts w:ascii="Museo Sans 300" w:eastAsiaTheme="minorEastAsia" w:hAnsi="Museo Sans 300" w:cstheme="majorHAnsi"/>
          <w:i/>
          <w:lang w:val="es-ES_tradnl" w:eastAsia="es-ES"/>
        </w:rPr>
        <w:t>Presupuesto anual 2021 dividido por partida, incluyendo modificaciones presupuestarias ejecutados durante el primer trimestre en el caso que se hayan hecho, y también el presupuesto asignado por unidad institucional</w:t>
      </w:r>
    </w:p>
    <w:p w14:paraId="4A36AF69" w14:textId="77777777" w:rsidR="00C5790F" w:rsidRPr="003A038B" w:rsidRDefault="00C5790F" w:rsidP="003A038B">
      <w:pPr>
        <w:autoSpaceDE w:val="0"/>
        <w:autoSpaceDN w:val="0"/>
        <w:adjustRightInd w:val="0"/>
        <w:spacing w:before="0" w:after="240" w:line="360" w:lineRule="auto"/>
        <w:ind w:left="0" w:right="0"/>
        <w:contextualSpacing/>
        <w:jc w:val="left"/>
        <w:rPr>
          <w:rFonts w:ascii="Museo Sans 300" w:hAnsi="Museo Sans 300" w:cstheme="minorHAnsi"/>
          <w:lang w:val="es-ES_tradnl"/>
        </w:rPr>
      </w:pPr>
    </w:p>
    <w:p w14:paraId="2EF4387F" w14:textId="5E148534" w:rsidR="00C5790F" w:rsidRDefault="00C5790F" w:rsidP="003A038B">
      <w:pPr>
        <w:autoSpaceDE w:val="0"/>
        <w:autoSpaceDN w:val="0"/>
        <w:adjustRightInd w:val="0"/>
        <w:spacing w:before="0" w:after="240" w:line="360" w:lineRule="auto"/>
        <w:ind w:left="0" w:right="0" w:firstLine="709"/>
        <w:contextualSpacing/>
        <w:rPr>
          <w:rFonts w:ascii="Museo Sans 300" w:eastAsia="Calibri" w:hAnsi="Museo Sans 300" w:cstheme="majorHAnsi"/>
          <w:lang w:val="es-ES_tradnl" w:eastAsia="es-ES"/>
        </w:rPr>
      </w:pPr>
      <w:r>
        <w:rPr>
          <w:rFonts w:ascii="Museo Sans 300" w:hAnsi="Museo Sans 300" w:cstheme="minorHAnsi"/>
        </w:rPr>
        <w:t>Previo a resolver es importante aclarar que</w:t>
      </w:r>
      <w:r w:rsidR="0042285E">
        <w:rPr>
          <w:rFonts w:ascii="Museo Sans 300" w:hAnsi="Museo Sans 300" w:cstheme="minorHAnsi"/>
        </w:rPr>
        <w:t xml:space="preserve">, toda la información requerida en la solicitud de información con referencia </w:t>
      </w:r>
      <w:r w:rsidR="003A038B" w:rsidRPr="006B279E">
        <w:rPr>
          <w:rFonts w:ascii="Museo Sans 300" w:eastAsia="Calibri" w:hAnsi="Museo Sans 300" w:cstheme="majorHAnsi"/>
          <w:b/>
          <w:bCs/>
          <w:lang w:val="es-ES_tradnl" w:eastAsia="es-ES"/>
        </w:rPr>
        <w:t>Sol_UAIP_015/2021</w:t>
      </w:r>
      <w:r w:rsidR="0042285E" w:rsidRPr="006B279E">
        <w:rPr>
          <w:rFonts w:ascii="Museo Sans 300" w:eastAsia="Calibri" w:hAnsi="Museo Sans 300" w:cstheme="majorHAnsi"/>
          <w:b/>
          <w:lang w:val="es-ES_tradnl" w:eastAsia="es-ES"/>
        </w:rPr>
        <w:t>,</w:t>
      </w:r>
      <w:r w:rsidR="0042285E">
        <w:rPr>
          <w:rFonts w:ascii="Museo Sans 300" w:eastAsia="Calibri" w:hAnsi="Museo Sans 300" w:cstheme="majorHAnsi"/>
          <w:lang w:val="es-ES_tradnl" w:eastAsia="es-ES"/>
        </w:rPr>
        <w:t xml:space="preserve"> entra dentro de la clasificación de información pública oficiosa conforme a los artículos 6 literales c. y d. de la Ley de Acceso a la Información Pública (LAIP)</w:t>
      </w:r>
    </w:p>
    <w:p w14:paraId="5F614CF6" w14:textId="32D25AA0" w:rsidR="0042285E" w:rsidRDefault="0042285E" w:rsidP="00C5790F">
      <w:pPr>
        <w:autoSpaceDE w:val="0"/>
        <w:autoSpaceDN w:val="0"/>
        <w:adjustRightInd w:val="0"/>
        <w:spacing w:before="0" w:after="240"/>
        <w:ind w:left="0" w:right="0" w:firstLine="709"/>
        <w:contextualSpacing/>
        <w:rPr>
          <w:rFonts w:ascii="Museo Sans 300" w:eastAsia="Calibri" w:hAnsi="Museo Sans 300" w:cstheme="majorHAnsi"/>
          <w:lang w:val="es-ES_tradnl" w:eastAsia="es-ES"/>
        </w:rPr>
      </w:pPr>
    </w:p>
    <w:p w14:paraId="4AEB7D1F" w14:textId="331ED587" w:rsidR="0042285E" w:rsidRPr="007D6B7F" w:rsidRDefault="0042285E" w:rsidP="003A038B">
      <w:pPr>
        <w:autoSpaceDE w:val="0"/>
        <w:autoSpaceDN w:val="0"/>
        <w:adjustRightInd w:val="0"/>
        <w:spacing w:before="0" w:after="240" w:line="360" w:lineRule="auto"/>
        <w:ind w:left="0" w:right="0" w:firstLine="709"/>
        <w:contextualSpacing/>
        <w:rPr>
          <w:rFonts w:ascii="Museo Sans 300" w:hAnsi="Museo Sans 300" w:cstheme="minorHAnsi"/>
          <w:color w:val="000000"/>
        </w:rPr>
      </w:pPr>
      <w:r>
        <w:rPr>
          <w:rFonts w:ascii="Museo Sans 300" w:eastAsia="Calibri" w:hAnsi="Museo Sans 300" w:cstheme="majorHAnsi"/>
          <w:lang w:val="es-ES_tradnl" w:eastAsia="es-ES"/>
        </w:rPr>
        <w:t xml:space="preserve">El artículo 74 de la LAIP determina las excepciones a la obligación de dar trámite </w:t>
      </w:r>
      <w:r w:rsidR="008F4984">
        <w:rPr>
          <w:rFonts w:ascii="Museo Sans 300" w:eastAsia="Calibri" w:hAnsi="Museo Sans 300" w:cstheme="majorHAnsi"/>
          <w:lang w:val="es-ES_tradnl" w:eastAsia="es-ES"/>
        </w:rPr>
        <w:t>a solicitudes de información, particularmente en el literal b. se expone el caso de cuando la información se encuentre disponible públicamente, sin embargo, con el objeto de contribuir a la transparencia y el compromiso de CEPA con la misma, se dio trámite a la solicitud de manera excepcional, ya que en cuanto a la solicitud de “</w:t>
      </w:r>
      <w:r w:rsidR="006B279E">
        <w:rPr>
          <w:rFonts w:ascii="Museo Sans 300" w:eastAsia="Calibri" w:hAnsi="Museo Sans 300" w:cstheme="majorHAnsi"/>
          <w:lang w:val="es-ES_tradnl" w:eastAsia="es-ES"/>
        </w:rPr>
        <w:t>Versión</w:t>
      </w:r>
      <w:r w:rsidR="003A038B">
        <w:rPr>
          <w:rFonts w:ascii="Museo Sans 300" w:eastAsia="Calibri" w:hAnsi="Museo Sans 300" w:cstheme="majorHAnsi"/>
          <w:lang w:val="es-ES_tradnl" w:eastAsia="es-ES"/>
        </w:rPr>
        <w:t xml:space="preserve"> Publica del Plan Operativo Anual 2021</w:t>
      </w:r>
      <w:r w:rsidR="008F4984">
        <w:rPr>
          <w:rFonts w:ascii="Museo Sans 300" w:eastAsia="Calibri" w:hAnsi="Museo Sans 300" w:cstheme="majorHAnsi"/>
          <w:lang w:val="es-ES_tradnl" w:eastAsia="es-ES"/>
        </w:rPr>
        <w:t xml:space="preserve">” </w:t>
      </w:r>
      <w:r w:rsidR="003A038B">
        <w:rPr>
          <w:rFonts w:ascii="Museo Sans 300" w:eastAsia="Calibri" w:hAnsi="Museo Sans 300" w:cstheme="majorHAnsi"/>
          <w:lang w:val="es-ES_tradnl" w:eastAsia="es-ES"/>
        </w:rPr>
        <w:t>este documento están publicado</w:t>
      </w:r>
      <w:r w:rsidR="008F4984">
        <w:rPr>
          <w:rFonts w:ascii="Museo Sans 300" w:eastAsia="Calibri" w:hAnsi="Museo Sans 300" w:cstheme="majorHAnsi"/>
          <w:lang w:val="es-ES_tradnl" w:eastAsia="es-ES"/>
        </w:rPr>
        <w:t xml:space="preserve"> en el portal de transparencia de CEPA, se le indicará al solicitante el lugar donde se encuentra la información</w:t>
      </w:r>
      <w:r w:rsidR="00412302">
        <w:rPr>
          <w:rFonts w:ascii="Museo Sans 300" w:eastAsia="Calibri" w:hAnsi="Museo Sans 300" w:cstheme="majorHAnsi"/>
          <w:lang w:val="es-ES_tradnl" w:eastAsia="es-ES"/>
        </w:rPr>
        <w:t>, conforme al artículo 62 inciso segundo</w:t>
      </w:r>
      <w:r w:rsidR="008F4984">
        <w:rPr>
          <w:rFonts w:ascii="Museo Sans 300" w:eastAsia="Calibri" w:hAnsi="Museo Sans 300" w:cstheme="majorHAnsi"/>
          <w:lang w:val="es-ES_tradnl" w:eastAsia="es-ES"/>
        </w:rPr>
        <w:t xml:space="preserve">. </w:t>
      </w:r>
    </w:p>
    <w:p w14:paraId="20BE661A" w14:textId="77777777" w:rsidR="00C5790F" w:rsidRPr="00351CB7" w:rsidRDefault="00C5790F" w:rsidP="00C5790F">
      <w:pPr>
        <w:spacing w:before="0" w:line="300" w:lineRule="auto"/>
        <w:ind w:left="0" w:right="0"/>
        <w:rPr>
          <w:rFonts w:ascii="Museo Sans 300" w:eastAsia="Times New Roman" w:hAnsi="Museo Sans 300" w:cs="Calibri Light"/>
          <w:i/>
          <w:lang w:eastAsia="es-ES"/>
        </w:rPr>
      </w:pPr>
    </w:p>
    <w:p w14:paraId="435FC27F" w14:textId="5EAD030F" w:rsidR="00C5790F" w:rsidRPr="00351CB7" w:rsidRDefault="00C5790F" w:rsidP="003A038B">
      <w:pPr>
        <w:tabs>
          <w:tab w:val="left" w:pos="4080"/>
        </w:tabs>
        <w:spacing w:before="0" w:line="360" w:lineRule="auto"/>
        <w:ind w:left="0" w:right="0" w:firstLine="709"/>
        <w:rPr>
          <w:rFonts w:ascii="Museo Sans 300" w:eastAsia="Times New Roman" w:hAnsi="Museo Sans 300" w:cs="Calibri Light"/>
          <w:b/>
          <w:lang w:eastAsia="es-ES"/>
        </w:rPr>
      </w:pPr>
      <w:r w:rsidRPr="00351CB7">
        <w:rPr>
          <w:rFonts w:ascii="Museo Sans 300" w:eastAsia="Times New Roman" w:hAnsi="Museo Sans 300" w:cs="Calibri Light"/>
          <w:lang w:eastAsia="es-ES"/>
        </w:rPr>
        <w:lastRenderedPageBreak/>
        <w:t xml:space="preserve">Con base a lo solicitado y a los artículos 3 </w:t>
      </w:r>
      <w:r w:rsidR="006B279E" w:rsidRPr="00351CB7">
        <w:rPr>
          <w:rFonts w:ascii="Museo Sans 300" w:eastAsia="Times New Roman" w:hAnsi="Museo Sans 300" w:cs="Calibri Light"/>
          <w:lang w:eastAsia="es-ES"/>
        </w:rPr>
        <w:t>letra</w:t>
      </w:r>
      <w:r w:rsidR="006B279E">
        <w:rPr>
          <w:rFonts w:ascii="Museo Sans 300" w:eastAsia="Times New Roman" w:hAnsi="Museo Sans 300" w:cs="Calibri Light"/>
          <w:lang w:eastAsia="es-ES"/>
        </w:rPr>
        <w:t xml:space="preserve"> a</w:t>
      </w:r>
      <w:r w:rsidR="006B279E" w:rsidRPr="00351CB7">
        <w:rPr>
          <w:rFonts w:ascii="Museo Sans 300" w:eastAsia="Times New Roman" w:hAnsi="Museo Sans 300" w:cs="Calibri Light"/>
          <w:lang w:eastAsia="es-ES"/>
        </w:rPr>
        <w:t>), 6 letras</w:t>
      </w:r>
      <w:r w:rsidR="006B279E">
        <w:rPr>
          <w:rFonts w:ascii="Museo Sans 300" w:eastAsia="Times New Roman" w:hAnsi="Museo Sans 300" w:cs="Calibri Light"/>
          <w:lang w:eastAsia="es-ES"/>
        </w:rPr>
        <w:t xml:space="preserve"> c) y d), 10 número 8</w:t>
      </w:r>
      <w:r w:rsidR="008F4984">
        <w:rPr>
          <w:rFonts w:ascii="Museo Sans 300" w:eastAsia="Times New Roman" w:hAnsi="Museo Sans 300" w:cs="Calibri Light"/>
          <w:lang w:eastAsia="es-ES"/>
        </w:rPr>
        <w:t xml:space="preserve">, </w:t>
      </w:r>
      <w:r w:rsidR="006B279E">
        <w:rPr>
          <w:rFonts w:ascii="Museo Sans 300" w:eastAsia="Times New Roman" w:hAnsi="Museo Sans 300" w:cs="Calibri Light"/>
          <w:lang w:eastAsia="es-ES"/>
        </w:rPr>
        <w:t xml:space="preserve"> artículo </w:t>
      </w:r>
      <w:r w:rsidRPr="00351CB7">
        <w:rPr>
          <w:rFonts w:ascii="Museo Sans 300" w:eastAsia="Times New Roman" w:hAnsi="Museo Sans 300" w:cs="Calibri Light"/>
          <w:lang w:eastAsia="es-ES"/>
        </w:rPr>
        <w:t>62</w:t>
      </w:r>
      <w:r w:rsidR="00412302">
        <w:rPr>
          <w:rFonts w:ascii="Museo Sans 300" w:eastAsia="Times New Roman" w:hAnsi="Museo Sans 300" w:cs="Calibri Light"/>
          <w:lang w:eastAsia="es-ES"/>
        </w:rPr>
        <w:t xml:space="preserve"> inciso segundo 65</w:t>
      </w:r>
      <w:r w:rsidRPr="00351CB7">
        <w:rPr>
          <w:rFonts w:ascii="Museo Sans 300" w:eastAsia="Times New Roman" w:hAnsi="Museo Sans 300" w:cs="Calibri Light"/>
          <w:lang w:eastAsia="es-ES"/>
        </w:rPr>
        <w:t xml:space="preserve"> y 72 letra c) de la Ley de Acceso a la Información Pública -LAIP-, se </w:t>
      </w:r>
      <w:r w:rsidRPr="00351CB7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351CB7">
        <w:rPr>
          <w:rFonts w:ascii="Museo Sans 300" w:eastAsia="Times New Roman" w:hAnsi="Museo Sans 300" w:cs="Calibri Light"/>
          <w:b/>
          <w:lang w:eastAsia="es-ES"/>
        </w:rPr>
        <w:tab/>
      </w:r>
    </w:p>
    <w:p w14:paraId="4BB54DD0" w14:textId="77777777" w:rsidR="00C5790F" w:rsidRPr="00351CB7" w:rsidRDefault="00C5790F" w:rsidP="00C5790F">
      <w:pPr>
        <w:spacing w:before="0" w:line="276" w:lineRule="auto"/>
        <w:ind w:left="0" w:right="0"/>
        <w:rPr>
          <w:rFonts w:ascii="Museo Sans 300" w:eastAsia="Times New Roman" w:hAnsi="Museo Sans 300" w:cs="Calibri Light"/>
          <w:lang w:eastAsia="es-ES"/>
        </w:rPr>
      </w:pPr>
    </w:p>
    <w:p w14:paraId="04CF9A90" w14:textId="216786A2" w:rsidR="006B279E" w:rsidRDefault="00C5790F" w:rsidP="006B279E">
      <w:pPr>
        <w:numPr>
          <w:ilvl w:val="0"/>
          <w:numId w:val="1"/>
        </w:numPr>
        <w:spacing w:before="0" w:after="160" w:line="360" w:lineRule="auto"/>
        <w:ind w:left="851" w:right="0"/>
        <w:rPr>
          <w:rFonts w:ascii="Museo Sans 300" w:eastAsia="Calibri" w:hAnsi="Museo Sans 300" w:cs="Calibri Light"/>
        </w:rPr>
      </w:pPr>
      <w:r w:rsidRPr="00351CB7">
        <w:rPr>
          <w:rFonts w:ascii="Museo Sans 300" w:eastAsia="Calibri" w:hAnsi="Museo Sans 300" w:cs="Calibri Light"/>
        </w:rPr>
        <w:t xml:space="preserve">Concédase </w:t>
      </w:r>
      <w:r>
        <w:rPr>
          <w:rFonts w:ascii="Museo Sans 300" w:eastAsia="Calibri" w:hAnsi="Museo Sans 300" w:cs="Calibri Light"/>
        </w:rPr>
        <w:t>la información</w:t>
      </w:r>
      <w:r w:rsidRPr="00351CB7">
        <w:rPr>
          <w:rFonts w:ascii="Museo Sans 300" w:eastAsia="Calibri" w:hAnsi="Museo Sans 300" w:cs="Calibri Light"/>
        </w:rPr>
        <w:t xml:space="preserve"> requerid</w:t>
      </w:r>
      <w:r>
        <w:rPr>
          <w:rFonts w:ascii="Museo Sans 300" w:eastAsia="Calibri" w:hAnsi="Museo Sans 300" w:cs="Calibri Light"/>
        </w:rPr>
        <w:t>a</w:t>
      </w:r>
      <w:r w:rsidRPr="00351CB7">
        <w:rPr>
          <w:rFonts w:ascii="Museo Sans 300" w:eastAsia="Calibri" w:hAnsi="Museo Sans 300" w:cs="Calibri Light"/>
        </w:rPr>
        <w:t xml:space="preserve"> por</w:t>
      </w:r>
      <w:bookmarkStart w:id="0" w:name="_GoBack"/>
      <w:bookmarkEnd w:id="0"/>
      <w:r w:rsidRPr="00351CB7">
        <w:rPr>
          <w:rFonts w:ascii="Museo Sans 300" w:eastAsia="Calibri" w:hAnsi="Museo Sans 300" w:cs="Calibri Light"/>
        </w:rPr>
        <w:t xml:space="preserve">, </w:t>
      </w:r>
      <w:r>
        <w:rPr>
          <w:rFonts w:ascii="Museo Sans 300" w:eastAsia="Calibri" w:hAnsi="Museo Sans 300" w:cs="Calibri Light"/>
        </w:rPr>
        <w:t>conforme</w:t>
      </w:r>
      <w:r w:rsidRPr="00351CB7">
        <w:rPr>
          <w:rFonts w:ascii="Museo Sans 300" w:eastAsia="Calibri" w:hAnsi="Museo Sans 300" w:cs="Calibri Light"/>
        </w:rPr>
        <w:t xml:space="preserve"> a lo solicitado</w:t>
      </w:r>
      <w:r w:rsidR="003A038B">
        <w:rPr>
          <w:rFonts w:ascii="Museo Sans 300" w:eastAsia="Calibri" w:hAnsi="Museo Sans 300" w:cs="Calibri Light"/>
        </w:rPr>
        <w:t xml:space="preserve"> en el romano segundo </w:t>
      </w:r>
      <w:r w:rsidR="00412302">
        <w:rPr>
          <w:rFonts w:ascii="Museo Sans 300" w:eastAsia="Calibri" w:hAnsi="Museo Sans 300" w:cs="Calibri Light"/>
        </w:rPr>
        <w:t>de su escrito de solicitud de información</w:t>
      </w:r>
      <w:r w:rsidRPr="00351CB7">
        <w:rPr>
          <w:rFonts w:ascii="Museo Sans 300" w:eastAsia="Calibri" w:hAnsi="Museo Sans 300" w:cs="Calibri Light"/>
        </w:rPr>
        <w:t>.</w:t>
      </w:r>
    </w:p>
    <w:p w14:paraId="43AB28D4" w14:textId="74C1E719" w:rsidR="00C5790F" w:rsidRPr="006B279E" w:rsidRDefault="00412302" w:rsidP="006B279E">
      <w:pPr>
        <w:numPr>
          <w:ilvl w:val="0"/>
          <w:numId w:val="1"/>
        </w:numPr>
        <w:spacing w:before="0" w:after="160" w:line="360" w:lineRule="auto"/>
        <w:ind w:left="851" w:right="0"/>
        <w:rPr>
          <w:rFonts w:ascii="Museo Sans 300" w:eastAsia="Calibri" w:hAnsi="Museo Sans 300" w:cs="Calibri Light"/>
        </w:rPr>
      </w:pPr>
      <w:r w:rsidRPr="006B279E">
        <w:rPr>
          <w:rFonts w:ascii="Museo Sans 300" w:eastAsia="Calibri" w:hAnsi="Museo Sans 300" w:cs="Calibri Light"/>
        </w:rPr>
        <w:t>Indíquesele</w:t>
      </w:r>
      <w:r w:rsidR="00F36BF9">
        <w:rPr>
          <w:rFonts w:ascii="Museo Sans 300" w:eastAsia="Calibri" w:hAnsi="Museo Sans 300" w:cs="Calibri Light"/>
        </w:rPr>
        <w:t xml:space="preserve"> a la</w:t>
      </w:r>
      <w:r w:rsidRPr="006B279E">
        <w:rPr>
          <w:rFonts w:ascii="Museo Sans 300" w:eastAsia="Calibri" w:hAnsi="Museo Sans 300" w:cs="Calibri Light"/>
        </w:rPr>
        <w:t xml:space="preserve"> solicitante que, la infor</w:t>
      </w:r>
      <w:r w:rsidR="006B279E" w:rsidRPr="006B279E">
        <w:rPr>
          <w:rFonts w:ascii="Museo Sans 300" w:eastAsia="Calibri" w:hAnsi="Museo Sans 300" w:cs="Calibri Light"/>
        </w:rPr>
        <w:t>mación requerida en el romano primero</w:t>
      </w:r>
      <w:r w:rsidRPr="006B279E">
        <w:rPr>
          <w:rFonts w:ascii="Museo Sans 300" w:eastAsia="Calibri" w:hAnsi="Museo Sans 300" w:cs="Calibri Light"/>
        </w:rPr>
        <w:t xml:space="preserve"> de su escrito de solicitud de información puede ser consultado en el portal de transparencia de CEPA, accediendo al mismo</w:t>
      </w:r>
      <w:r w:rsidR="001134DD" w:rsidRPr="006B279E">
        <w:rPr>
          <w:rFonts w:ascii="Museo Sans 300" w:eastAsia="Calibri" w:hAnsi="Museo Sans 300" w:cs="Calibri Light"/>
        </w:rPr>
        <w:t>,</w:t>
      </w:r>
      <w:r w:rsidRPr="006B279E">
        <w:rPr>
          <w:rFonts w:ascii="Museo Sans 300" w:eastAsia="Calibri" w:hAnsi="Museo Sans 300" w:cs="Calibri Light"/>
        </w:rPr>
        <w:t xml:space="preserve"> a través de la dirección electrónica </w:t>
      </w:r>
      <w:r w:rsidR="006B279E" w:rsidRPr="006B279E">
        <w:rPr>
          <w:rStyle w:val="Hipervnculo"/>
          <w:rFonts w:ascii="Museo Sans 300" w:hAnsi="Museo Sans 300"/>
        </w:rPr>
        <w:t>https://www.transparencia.gob.sv/institutions/cepa/documents/plan-operativo-anual</w:t>
      </w:r>
      <w:r w:rsidRPr="006B279E">
        <w:rPr>
          <w:rFonts w:ascii="Museo Sans 300" w:hAnsi="Museo Sans 300"/>
        </w:rPr>
        <w:t xml:space="preserve"> en el índice del lado izquierdo en la pantalla en “</w:t>
      </w:r>
      <w:r w:rsidR="006B279E" w:rsidRPr="006B279E">
        <w:rPr>
          <w:rFonts w:ascii="Museo Sans 300" w:hAnsi="Museo Sans 300"/>
        </w:rPr>
        <w:t>MARCO DE GESTION ESTRATEGICA</w:t>
      </w:r>
      <w:r w:rsidRPr="006B279E">
        <w:rPr>
          <w:rFonts w:ascii="Museo Sans 300" w:hAnsi="Museo Sans 300"/>
        </w:rPr>
        <w:t xml:space="preserve">” se encuentra el botón de </w:t>
      </w:r>
      <w:r w:rsidR="001134DD" w:rsidRPr="006B279E">
        <w:rPr>
          <w:rFonts w:ascii="Museo Sans 300" w:hAnsi="Museo Sans 300"/>
        </w:rPr>
        <w:t>“</w:t>
      </w:r>
      <w:r w:rsidR="006B279E" w:rsidRPr="006B279E">
        <w:rPr>
          <w:rFonts w:ascii="Museo Sans 300" w:hAnsi="Museo Sans 300"/>
        </w:rPr>
        <w:t>Plan Operativo Anual</w:t>
      </w:r>
      <w:r w:rsidR="001134DD" w:rsidRPr="006B279E">
        <w:rPr>
          <w:rFonts w:ascii="Museo Sans 300" w:hAnsi="Museo Sans 300"/>
        </w:rPr>
        <w:t>”. Pos</w:t>
      </w:r>
      <w:r w:rsidR="006B279E" w:rsidRPr="006B279E">
        <w:rPr>
          <w:rFonts w:ascii="Museo Sans 300" w:hAnsi="Museo Sans 300"/>
        </w:rPr>
        <w:t>teriormente aparecerán todos los documentos relacionados a los Planes Operativos Anuales de diferentes años.</w:t>
      </w:r>
      <w:r w:rsidR="00C5790F" w:rsidRPr="006B279E">
        <w:rPr>
          <w:rFonts w:ascii="Museo Sans 300" w:eastAsiaTheme="minorEastAsia" w:hAnsi="Museo Sans 300" w:cstheme="majorHAnsi"/>
          <w:lang w:eastAsia="es-ES"/>
        </w:rPr>
        <w:tab/>
      </w:r>
    </w:p>
    <w:p w14:paraId="2E3A4E22" w14:textId="4592E524" w:rsidR="00C5790F" w:rsidRPr="001134DD" w:rsidRDefault="00C5790F" w:rsidP="00C5790F">
      <w:pPr>
        <w:spacing w:line="276" w:lineRule="auto"/>
        <w:ind w:left="0"/>
        <w:rPr>
          <w:rFonts w:ascii="Museo Sans 300" w:eastAsiaTheme="minorEastAsia" w:hAnsi="Museo Sans 300" w:cstheme="majorHAnsi"/>
          <w:b/>
          <w:i/>
          <w:lang w:eastAsia="es-ES"/>
        </w:rPr>
      </w:pPr>
      <w:r w:rsidRPr="00351CB7">
        <w:rPr>
          <w:rFonts w:ascii="Museo Sans 300" w:eastAsiaTheme="minorEastAsia" w:hAnsi="Museo Sans 300" w:cstheme="majorHAnsi"/>
          <w:b/>
          <w:i/>
          <w:lang w:eastAsia="es-ES"/>
        </w:rPr>
        <w:t>Notifíquese. -</w:t>
      </w:r>
    </w:p>
    <w:p w14:paraId="0DD4468C" w14:textId="77777777" w:rsidR="00C5790F" w:rsidRPr="004612FB" w:rsidRDefault="00C5790F" w:rsidP="00C5790F">
      <w:pPr>
        <w:spacing w:line="276" w:lineRule="auto"/>
        <w:ind w:left="0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4612FB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4612FB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4612FB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14:paraId="23A31452" w14:textId="77777777" w:rsidR="00C5790F" w:rsidRDefault="00C5790F" w:rsidP="00C5790F">
      <w:pPr>
        <w:tabs>
          <w:tab w:val="left" w:pos="5633"/>
        </w:tabs>
        <w:spacing w:line="276" w:lineRule="auto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424F4EC1" w14:textId="77777777" w:rsidR="00C5790F" w:rsidRDefault="00C5790F" w:rsidP="00C5790F">
      <w:pPr>
        <w:ind w:left="0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596B0680" w14:textId="77777777" w:rsidR="00C5790F" w:rsidRPr="004612FB" w:rsidRDefault="00C5790F" w:rsidP="00C5790F">
      <w:pPr>
        <w:ind w:left="0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79E54193" w14:textId="293F6207" w:rsidR="00C5790F" w:rsidRPr="002F2E2C" w:rsidRDefault="00F63369" w:rsidP="00F63369">
      <w:pPr>
        <w:spacing w:before="0"/>
        <w:ind w:left="2832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>Lic.</w:t>
      </w:r>
      <w:r w:rsidRPr="002F2E2C"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Ricardo</w:t>
      </w:r>
      <w:r w:rsidR="00C5790F" w:rsidRPr="002F2E2C"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Alfonso Alas Hernández</w:t>
      </w:r>
    </w:p>
    <w:p w14:paraId="0BC3D0E2" w14:textId="744B6885" w:rsidR="00A86EF4" w:rsidRPr="006B279E" w:rsidRDefault="00F63369" w:rsidP="001134DD">
      <w:pPr>
        <w:spacing w:before="0"/>
        <w:ind w:left="0"/>
        <w:jc w:val="center"/>
        <w:rPr>
          <w:b/>
        </w:rPr>
      </w:pPr>
      <w:r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         </w:t>
      </w:r>
      <w:r w:rsidR="00C5790F" w:rsidRPr="006B279E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>Oficial de Información.</w:t>
      </w:r>
    </w:p>
    <w:sectPr w:rsidR="00A86EF4" w:rsidRPr="006B279E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3ACC" w14:textId="77777777" w:rsidR="00FF4459" w:rsidRDefault="00E8758C">
      <w:pPr>
        <w:spacing w:before="0"/>
      </w:pPr>
      <w:r>
        <w:separator/>
      </w:r>
    </w:p>
  </w:endnote>
  <w:endnote w:type="continuationSeparator" w:id="0">
    <w:p w14:paraId="30201F82" w14:textId="77777777" w:rsidR="00FF4459" w:rsidRDefault="00E875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C567" w14:textId="77777777" w:rsidR="00A9785C" w:rsidRPr="00F71578" w:rsidRDefault="001134D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0448" w14:textId="77777777" w:rsidR="00FF4459" w:rsidRDefault="00E8758C">
      <w:pPr>
        <w:spacing w:before="0"/>
      </w:pPr>
      <w:r>
        <w:separator/>
      </w:r>
    </w:p>
  </w:footnote>
  <w:footnote w:type="continuationSeparator" w:id="0">
    <w:p w14:paraId="4A655104" w14:textId="77777777" w:rsidR="00FF4459" w:rsidRDefault="00E875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741CB" w14:textId="77777777" w:rsidR="00A9785C" w:rsidRPr="00847FBB" w:rsidRDefault="001134D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1D2A561" wp14:editId="791F41B8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96D37"/>
    <w:multiLevelType w:val="hybridMultilevel"/>
    <w:tmpl w:val="D9088000"/>
    <w:lvl w:ilvl="0" w:tplc="052E19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34CB9"/>
    <w:multiLevelType w:val="hybridMultilevel"/>
    <w:tmpl w:val="1B6448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0F"/>
    <w:rsid w:val="001134DD"/>
    <w:rsid w:val="003A038B"/>
    <w:rsid w:val="00412302"/>
    <w:rsid w:val="0042285E"/>
    <w:rsid w:val="006B279E"/>
    <w:rsid w:val="008D2824"/>
    <w:rsid w:val="008F4984"/>
    <w:rsid w:val="00A86EF4"/>
    <w:rsid w:val="00BA25B9"/>
    <w:rsid w:val="00C5790F"/>
    <w:rsid w:val="00E60939"/>
    <w:rsid w:val="00E8758C"/>
    <w:rsid w:val="00F36BF9"/>
    <w:rsid w:val="00F63369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E60"/>
  <w15:chartTrackingRefBased/>
  <w15:docId w15:val="{1181EBFD-A506-45F0-BB55-1893C13D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0F"/>
    <w:pPr>
      <w:spacing w:before="172" w:after="0" w:line="240" w:lineRule="auto"/>
      <w:ind w:left="720" w:right="108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90F"/>
  </w:style>
  <w:style w:type="paragraph" w:styleId="Piedepgina">
    <w:name w:val="footer"/>
    <w:basedOn w:val="Normal"/>
    <w:link w:val="PiedepginaCar"/>
    <w:uiPriority w:val="99"/>
    <w:unhideWhenUsed/>
    <w:rsid w:val="00C57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0F"/>
  </w:style>
  <w:style w:type="character" w:styleId="Hipervnculo">
    <w:name w:val="Hyperlink"/>
    <w:basedOn w:val="Fuentedeprrafopredeter"/>
    <w:uiPriority w:val="99"/>
    <w:semiHidden/>
    <w:unhideWhenUsed/>
    <w:rsid w:val="0041230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038B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4</cp:revision>
  <dcterms:created xsi:type="dcterms:W3CDTF">2021-04-22T20:42:00Z</dcterms:created>
  <dcterms:modified xsi:type="dcterms:W3CDTF">2021-04-28T21:42:00Z</dcterms:modified>
</cp:coreProperties>
</file>