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26D7F" w14:textId="77777777" w:rsidR="007418B1" w:rsidRPr="00B3225B" w:rsidRDefault="007418B1" w:rsidP="007418B1">
      <w:pPr>
        <w:spacing w:after="0" w:line="276" w:lineRule="auto"/>
        <w:rPr>
          <w:rFonts w:ascii="Museo 300" w:eastAsiaTheme="minorEastAsia" w:hAnsi="Museo 300" w:cstheme="majorHAnsi"/>
          <w:b/>
          <w:sz w:val="24"/>
          <w:szCs w:val="24"/>
          <w:lang w:val="es-ES_tradnl" w:eastAsia="es-ES"/>
        </w:rPr>
      </w:pPr>
    </w:p>
    <w:p w14:paraId="5B1F858A" w14:textId="4BC2616E" w:rsidR="007418B1" w:rsidRPr="00AB1111" w:rsidRDefault="00EF6C80" w:rsidP="007418B1">
      <w:pPr>
        <w:spacing w:after="0" w:line="276" w:lineRule="auto"/>
        <w:jc w:val="right"/>
        <w:rPr>
          <w:rFonts w:ascii="Museo Sans 300" w:eastAsiaTheme="minorEastAsia" w:hAnsi="Museo Sans 300" w:cstheme="majorHAnsi"/>
          <w:b/>
          <w:lang w:val="es-ES_tradnl" w:eastAsia="es-ES"/>
        </w:rPr>
      </w:pPr>
      <w:r>
        <w:rPr>
          <w:rFonts w:ascii="Museo Sans 300" w:eastAsiaTheme="minorEastAsia" w:hAnsi="Museo Sans 300" w:cstheme="majorHAnsi"/>
          <w:b/>
          <w:lang w:val="es-ES_tradnl" w:eastAsia="es-ES"/>
        </w:rPr>
        <w:t>Res_UAIP_13</w:t>
      </w:r>
      <w:r w:rsidR="007418B1" w:rsidRPr="00AB1111">
        <w:rPr>
          <w:rFonts w:ascii="Museo Sans 300" w:eastAsiaTheme="minorEastAsia" w:hAnsi="Museo Sans 300" w:cstheme="majorHAnsi"/>
          <w:b/>
          <w:lang w:val="es-ES_tradnl" w:eastAsia="es-ES"/>
        </w:rPr>
        <w:t>5/2020</w:t>
      </w:r>
    </w:p>
    <w:p w14:paraId="6352E841" w14:textId="77777777" w:rsidR="007418B1" w:rsidRPr="00AB1111" w:rsidRDefault="007418B1" w:rsidP="007418B1">
      <w:pPr>
        <w:spacing w:after="0" w:line="276" w:lineRule="auto"/>
        <w:jc w:val="both"/>
        <w:rPr>
          <w:rFonts w:ascii="Museo Sans 300" w:eastAsiaTheme="minorEastAsia" w:hAnsi="Museo Sans 300" w:cstheme="majorHAnsi"/>
          <w:b/>
          <w:lang w:val="es-ES_tradnl" w:eastAsia="es-ES"/>
        </w:rPr>
      </w:pPr>
    </w:p>
    <w:p w14:paraId="7EA4FFBE" w14:textId="77777777" w:rsidR="007418B1" w:rsidRPr="00AB1111" w:rsidRDefault="007418B1" w:rsidP="007418B1">
      <w:pPr>
        <w:spacing w:after="0" w:line="300" w:lineRule="auto"/>
        <w:jc w:val="both"/>
        <w:rPr>
          <w:rFonts w:ascii="Museo Sans 300" w:eastAsia="Calibri" w:hAnsi="Museo Sans 300" w:cstheme="majorHAnsi"/>
          <w:b/>
          <w:lang w:val="es-ES_tradnl" w:eastAsia="es-ES"/>
        </w:rPr>
      </w:pPr>
    </w:p>
    <w:p w14:paraId="1AF41F13" w14:textId="0FE2BF8F" w:rsidR="007418B1" w:rsidRDefault="007418B1" w:rsidP="00BF0FE8">
      <w:pPr>
        <w:spacing w:after="0" w:line="360" w:lineRule="auto"/>
        <w:jc w:val="both"/>
        <w:rPr>
          <w:rFonts w:ascii="Museo Sans 300" w:eastAsiaTheme="minorEastAsia" w:hAnsi="Museo Sans 300" w:cstheme="majorHAnsi"/>
          <w:lang w:val="es-ES_tradnl" w:eastAsia="es-ES"/>
        </w:rPr>
      </w:pPr>
      <w:r w:rsidRPr="00AB1111">
        <w:rPr>
          <w:rFonts w:ascii="Museo Sans 300" w:eastAsia="Calibri" w:hAnsi="Museo Sans 300" w:cstheme="majorHAnsi"/>
          <w:b/>
          <w:lang w:val="es-ES_tradnl" w:eastAsia="es-ES"/>
        </w:rPr>
        <w:t xml:space="preserve">UNIDAD DE ACCESO A LA INFORMACIÓN PUBLICA </w:t>
      </w:r>
      <w:r w:rsidRPr="00AB1111">
        <w:rPr>
          <w:rFonts w:ascii="Museo Sans 300" w:eastAsia="Calibri" w:hAnsi="Museo Sans 300" w:cstheme="majorHAnsi"/>
          <w:lang w:val="es-ES_tradnl" w:eastAsia="es-ES"/>
        </w:rPr>
        <w:t>de la</w:t>
      </w:r>
      <w:r w:rsidRPr="00AB1111">
        <w:rPr>
          <w:rFonts w:ascii="Museo Sans 300" w:eastAsia="Calibri" w:hAnsi="Museo Sans 300" w:cstheme="majorHAnsi"/>
          <w:b/>
          <w:lang w:val="es-ES_tradnl" w:eastAsia="es-ES"/>
        </w:rPr>
        <w:t xml:space="preserve"> COMISIÓN EJECUTIVA PORTUARIA AUTÓNOMA -CEPA-</w:t>
      </w:r>
      <w:r w:rsidR="001937CC">
        <w:rPr>
          <w:rFonts w:ascii="Museo Sans 300" w:eastAsia="Calibri" w:hAnsi="Museo Sans 300" w:cstheme="majorHAnsi"/>
          <w:lang w:val="es-ES_tradnl" w:eastAsia="es-ES"/>
        </w:rPr>
        <w:t>; San Salvador, a las dieciséis</w:t>
      </w:r>
      <w:bookmarkStart w:id="0" w:name="_GoBack"/>
      <w:bookmarkEnd w:id="0"/>
      <w:r w:rsidRPr="00AB1111">
        <w:rPr>
          <w:rFonts w:ascii="Museo Sans 300" w:eastAsia="Calibri" w:hAnsi="Museo Sans 300" w:cstheme="majorHAnsi"/>
          <w:lang w:val="es-ES_tradnl" w:eastAsia="es-ES"/>
        </w:rPr>
        <w:t xml:space="preserve"> horas con cuarenta y ocho minutos del día </w:t>
      </w:r>
      <w:r w:rsidR="00EF6C80">
        <w:rPr>
          <w:rFonts w:ascii="Museo Sans 300" w:eastAsia="Calibri" w:hAnsi="Museo Sans 300" w:cstheme="majorHAnsi"/>
          <w:lang w:val="es-ES_tradnl" w:eastAsia="es-ES"/>
        </w:rPr>
        <w:t>quince de octubre</w:t>
      </w:r>
      <w:r w:rsidRPr="00AB1111">
        <w:rPr>
          <w:rFonts w:ascii="Museo Sans 300" w:eastAsia="Calibri" w:hAnsi="Museo Sans 300" w:cstheme="majorHAnsi"/>
          <w:lang w:val="es-ES_tradnl" w:eastAsia="es-ES"/>
        </w:rPr>
        <w:t xml:space="preserve"> de dos mil veinte</w:t>
      </w:r>
      <w:r w:rsidRPr="00AB1111">
        <w:rPr>
          <w:rFonts w:ascii="Museo Sans 300" w:eastAsiaTheme="minorEastAsia" w:hAnsi="Museo Sans 300" w:cstheme="majorHAnsi"/>
          <w:lang w:val="es-ES_tradnl" w:eastAsia="es-ES"/>
        </w:rPr>
        <w:t>, después de gestionar la solicitud de información asignad</w:t>
      </w:r>
      <w:r w:rsidR="00EF6C80">
        <w:rPr>
          <w:rFonts w:ascii="Museo Sans 300" w:eastAsiaTheme="minorEastAsia" w:hAnsi="Museo Sans 300" w:cstheme="majorHAnsi"/>
          <w:lang w:val="es-ES_tradnl" w:eastAsia="es-ES"/>
        </w:rPr>
        <w:t>a bajo la referencia Sol_UAIP_05</w:t>
      </w:r>
      <w:r w:rsidRPr="00AB1111">
        <w:rPr>
          <w:rFonts w:ascii="Museo Sans 300" w:eastAsiaTheme="minorEastAsia" w:hAnsi="Museo Sans 300" w:cstheme="majorHAnsi"/>
          <w:lang w:val="es-ES_tradnl" w:eastAsia="es-ES"/>
        </w:rPr>
        <w:t>5/2020, requiriendo lo siguiente:</w:t>
      </w:r>
    </w:p>
    <w:p w14:paraId="1E05CBDE" w14:textId="77777777" w:rsidR="0002305A" w:rsidRDefault="0002305A" w:rsidP="007418B1">
      <w:pPr>
        <w:spacing w:after="0" w:line="300" w:lineRule="auto"/>
        <w:jc w:val="both"/>
        <w:rPr>
          <w:rFonts w:ascii="Museo Sans 300" w:eastAsiaTheme="minorEastAsia" w:hAnsi="Museo Sans 300" w:cstheme="majorHAnsi"/>
          <w:lang w:val="es-ES_tradnl" w:eastAsia="es-ES"/>
        </w:rPr>
      </w:pPr>
    </w:p>
    <w:p w14:paraId="5F6ABA7F" w14:textId="47F46270" w:rsidR="0002305A" w:rsidRPr="00EF6C80" w:rsidRDefault="0002305A" w:rsidP="00EF6C80">
      <w:pPr>
        <w:pStyle w:val="Prrafodelista"/>
        <w:numPr>
          <w:ilvl w:val="0"/>
          <w:numId w:val="5"/>
        </w:numPr>
        <w:spacing w:after="0" w:line="300" w:lineRule="auto"/>
        <w:jc w:val="both"/>
        <w:rPr>
          <w:rFonts w:ascii="Museo Sans 300" w:eastAsiaTheme="minorEastAsia" w:hAnsi="Museo Sans 300" w:cstheme="majorHAnsi"/>
          <w:lang w:val="es-ES_tradnl" w:eastAsia="es-ES"/>
        </w:rPr>
      </w:pPr>
      <w:r w:rsidRPr="00EF6C80">
        <w:rPr>
          <w:rFonts w:ascii="Museo Sans 300" w:eastAsiaTheme="minorEastAsia" w:hAnsi="Museo Sans 300" w:cstheme="majorHAnsi"/>
          <w:lang w:val="es-ES_tradnl" w:eastAsia="es-ES"/>
        </w:rPr>
        <w:t xml:space="preserve">Versión publica de los listados de permisos de aterrizaje y despegue otorgados a aeronaves pequeñas, grandes o medianas, privadas o estatales, o cualquier tipo de aeronave que aterrizo en el Aeropuerto Internacional de El Salvador “San Oscar Arnulfo Romero y Galdámez”, así como en el Aeropuerto Internacional de Ilopango en el periodo comprendido entre el 18 de marzo y el 19 de septiembre de 2020. Sobre esta información detallar lo siguiente: </w:t>
      </w:r>
    </w:p>
    <w:p w14:paraId="26345D39" w14:textId="035CA644" w:rsidR="007418B1" w:rsidRPr="00AB1111" w:rsidRDefault="00BF0FE8" w:rsidP="00BF0FE8">
      <w:pPr>
        <w:tabs>
          <w:tab w:val="left" w:pos="6675"/>
        </w:tabs>
        <w:spacing w:after="0" w:line="300" w:lineRule="auto"/>
        <w:jc w:val="both"/>
        <w:rPr>
          <w:rFonts w:ascii="Museo Sans 300" w:eastAsiaTheme="minorEastAsia" w:hAnsi="Museo Sans 300" w:cstheme="majorHAnsi"/>
          <w:lang w:val="es-ES_tradnl" w:eastAsia="es-ES"/>
        </w:rPr>
      </w:pPr>
      <w:r>
        <w:rPr>
          <w:rFonts w:ascii="Museo Sans 300" w:eastAsiaTheme="minorEastAsia" w:hAnsi="Museo Sans 300" w:cstheme="majorHAnsi"/>
          <w:lang w:val="es-ES_tradnl" w:eastAsia="es-ES"/>
        </w:rPr>
        <w:tab/>
      </w:r>
    </w:p>
    <w:p w14:paraId="04555793" w14:textId="77777777" w:rsidR="006E6D53" w:rsidRDefault="006E6D53" w:rsidP="006E6D53">
      <w:pPr>
        <w:pStyle w:val="Prrafodelista"/>
        <w:numPr>
          <w:ilvl w:val="0"/>
          <w:numId w:val="4"/>
        </w:numPr>
        <w:spacing w:before="172" w:after="0" w:line="360" w:lineRule="auto"/>
        <w:ind w:right="108"/>
        <w:jc w:val="both"/>
        <w:rPr>
          <w:rFonts w:ascii="Museo Sans 300" w:eastAsia="Times New Roman" w:hAnsi="Museo Sans 300" w:cs="Calibri Light"/>
          <w:lang w:val="es-ES_tradnl" w:eastAsia="es-ES"/>
        </w:rPr>
      </w:pPr>
      <w:r>
        <w:rPr>
          <w:rFonts w:ascii="Museo Sans 300" w:eastAsia="Times New Roman" w:hAnsi="Museo Sans 300" w:cs="Calibri Light"/>
          <w:lang w:val="es-ES_tradnl" w:eastAsia="es-ES"/>
        </w:rPr>
        <w:t>Fecha y hora exacta del aterrizaje o despegue de la aeronave.</w:t>
      </w:r>
    </w:p>
    <w:p w14:paraId="590D4FCF" w14:textId="77777777" w:rsidR="006E6D53" w:rsidRDefault="006E6D53" w:rsidP="006E6D53">
      <w:pPr>
        <w:pStyle w:val="Prrafodelista"/>
        <w:numPr>
          <w:ilvl w:val="0"/>
          <w:numId w:val="4"/>
        </w:numPr>
        <w:spacing w:before="172" w:after="0" w:line="360" w:lineRule="auto"/>
        <w:ind w:right="108"/>
        <w:jc w:val="both"/>
        <w:rPr>
          <w:rFonts w:ascii="Museo Sans 300" w:eastAsia="Times New Roman" w:hAnsi="Museo Sans 300" w:cs="Calibri Light"/>
          <w:lang w:val="es-ES_tradnl" w:eastAsia="es-ES"/>
        </w:rPr>
      </w:pPr>
      <w:r>
        <w:rPr>
          <w:rFonts w:ascii="Museo Sans 300" w:eastAsia="Times New Roman" w:hAnsi="Museo Sans 300" w:cs="Calibri Light"/>
          <w:lang w:val="es-ES_tradnl" w:eastAsia="es-ES"/>
        </w:rPr>
        <w:t>Matricula y nombre del propietario (persona natural o jurídica) de la aeronave.</w:t>
      </w:r>
    </w:p>
    <w:p w14:paraId="6EBB94E2" w14:textId="77777777" w:rsidR="006E6D53" w:rsidRDefault="006E6D53" w:rsidP="006E6D53">
      <w:pPr>
        <w:pStyle w:val="Prrafodelista"/>
        <w:numPr>
          <w:ilvl w:val="0"/>
          <w:numId w:val="4"/>
        </w:numPr>
        <w:spacing w:before="172" w:after="0" w:line="360" w:lineRule="auto"/>
        <w:ind w:right="108"/>
        <w:jc w:val="both"/>
        <w:rPr>
          <w:rFonts w:ascii="Museo Sans 300" w:eastAsia="Times New Roman" w:hAnsi="Museo Sans 300" w:cs="Calibri Light"/>
          <w:lang w:val="es-ES_tradnl" w:eastAsia="es-ES"/>
        </w:rPr>
      </w:pPr>
      <w:r>
        <w:rPr>
          <w:rFonts w:ascii="Museo Sans 300" w:eastAsia="Times New Roman" w:hAnsi="Museo Sans 300" w:cs="Calibri Light"/>
          <w:lang w:val="es-ES_tradnl" w:eastAsia="es-ES"/>
        </w:rPr>
        <w:t>País de origen y país destino de la aeronave.</w:t>
      </w:r>
    </w:p>
    <w:p w14:paraId="2D4B9664" w14:textId="77777777" w:rsidR="006E6D53" w:rsidRDefault="006E6D53" w:rsidP="006E6D53">
      <w:pPr>
        <w:pStyle w:val="Prrafodelista"/>
        <w:numPr>
          <w:ilvl w:val="0"/>
          <w:numId w:val="4"/>
        </w:numPr>
        <w:spacing w:before="172" w:after="0" w:line="360" w:lineRule="auto"/>
        <w:ind w:right="108"/>
        <w:jc w:val="both"/>
        <w:rPr>
          <w:rFonts w:ascii="Museo Sans 300" w:eastAsia="Times New Roman" w:hAnsi="Museo Sans 300" w:cs="Calibri Light"/>
          <w:lang w:val="es-ES_tradnl" w:eastAsia="es-ES"/>
        </w:rPr>
      </w:pPr>
      <w:r>
        <w:rPr>
          <w:rFonts w:ascii="Museo Sans 300" w:eastAsia="Times New Roman" w:hAnsi="Museo Sans 300" w:cs="Calibri Light"/>
          <w:lang w:val="es-ES_tradnl" w:eastAsia="es-ES"/>
        </w:rPr>
        <w:t>Tipo de vuelo: comercial, privado, de carga, deportados o cualquier clase permitida por nuestra legislación.</w:t>
      </w:r>
    </w:p>
    <w:p w14:paraId="47D55092" w14:textId="77777777" w:rsidR="006E6D53" w:rsidRDefault="006E6D53" w:rsidP="006E6D53">
      <w:pPr>
        <w:pStyle w:val="Prrafodelista"/>
        <w:numPr>
          <w:ilvl w:val="0"/>
          <w:numId w:val="4"/>
        </w:numPr>
        <w:spacing w:before="172" w:after="0" w:line="360" w:lineRule="auto"/>
        <w:ind w:right="108"/>
        <w:jc w:val="both"/>
        <w:rPr>
          <w:rFonts w:ascii="Museo Sans 300" w:eastAsia="Times New Roman" w:hAnsi="Museo Sans 300" w:cs="Calibri Light"/>
          <w:lang w:val="es-ES_tradnl" w:eastAsia="es-ES"/>
        </w:rPr>
      </w:pPr>
      <w:r>
        <w:rPr>
          <w:rFonts w:ascii="Museo Sans 300" w:eastAsia="Times New Roman" w:hAnsi="Museo Sans 300" w:cs="Calibri Light"/>
          <w:lang w:val="es-ES_tradnl" w:eastAsia="es-ES"/>
        </w:rPr>
        <w:t>Cantidad de tripulantes de cada vuelo.</w:t>
      </w:r>
    </w:p>
    <w:p w14:paraId="5D80CD80" w14:textId="77777777" w:rsidR="006E6D53" w:rsidRDefault="006E6D53" w:rsidP="006E6D53">
      <w:pPr>
        <w:pStyle w:val="Prrafodelista"/>
        <w:numPr>
          <w:ilvl w:val="0"/>
          <w:numId w:val="4"/>
        </w:numPr>
        <w:spacing w:before="172" w:after="0" w:line="360" w:lineRule="auto"/>
        <w:ind w:right="108"/>
        <w:jc w:val="both"/>
        <w:rPr>
          <w:rFonts w:ascii="Museo Sans 300" w:eastAsia="Times New Roman" w:hAnsi="Museo Sans 300" w:cs="Calibri Light"/>
          <w:lang w:val="es-ES_tradnl" w:eastAsia="es-ES"/>
        </w:rPr>
      </w:pPr>
      <w:r>
        <w:rPr>
          <w:rFonts w:ascii="Museo Sans 300" w:eastAsia="Times New Roman" w:hAnsi="Museo Sans 300" w:cs="Calibri Light"/>
          <w:lang w:val="es-ES_tradnl" w:eastAsia="es-ES"/>
        </w:rPr>
        <w:t>Nombre del piloto de la aeronave</w:t>
      </w:r>
    </w:p>
    <w:p w14:paraId="315886E3" w14:textId="77777777" w:rsidR="006E6D53" w:rsidRDefault="006E6D53" w:rsidP="006E6D53">
      <w:pPr>
        <w:pStyle w:val="Prrafodelista"/>
        <w:numPr>
          <w:ilvl w:val="0"/>
          <w:numId w:val="4"/>
        </w:numPr>
        <w:spacing w:before="172" w:after="0" w:line="360" w:lineRule="auto"/>
        <w:ind w:right="108"/>
        <w:jc w:val="both"/>
        <w:rPr>
          <w:rFonts w:ascii="Museo Sans 300" w:eastAsia="Times New Roman" w:hAnsi="Museo Sans 300" w:cs="Calibri Light"/>
          <w:lang w:val="es-ES_tradnl" w:eastAsia="es-ES"/>
        </w:rPr>
      </w:pPr>
      <w:r>
        <w:rPr>
          <w:rFonts w:ascii="Museo Sans 300" w:eastAsia="Times New Roman" w:hAnsi="Museo Sans 300" w:cs="Calibri Light"/>
          <w:lang w:val="es-ES_tradnl" w:eastAsia="es-ES"/>
        </w:rPr>
        <w:t>Manifiestos de vuelo de todos los vuelos, de todas las clases que han despegado y aterrizado en ambos aeropuertos en las fechas establecidas.</w:t>
      </w:r>
    </w:p>
    <w:p w14:paraId="0A4D23A0" w14:textId="77777777" w:rsidR="006E6D53" w:rsidRPr="006E6D53" w:rsidRDefault="006E6D53" w:rsidP="00AB1111">
      <w:pPr>
        <w:tabs>
          <w:tab w:val="left" w:pos="4080"/>
        </w:tabs>
        <w:spacing w:after="0" w:line="360" w:lineRule="auto"/>
        <w:ind w:firstLine="709"/>
        <w:jc w:val="both"/>
        <w:rPr>
          <w:rFonts w:ascii="Museo Sans 300" w:eastAsia="Calibri" w:hAnsi="Museo Sans 300" w:cs="Calibri Light"/>
          <w:lang w:val="es-ES_tradnl" w:eastAsia="es-ES"/>
        </w:rPr>
      </w:pPr>
    </w:p>
    <w:p w14:paraId="2C124403" w14:textId="0A8ABF43" w:rsidR="007418B1" w:rsidRPr="00AB1111" w:rsidRDefault="007418B1" w:rsidP="006E6D53">
      <w:pPr>
        <w:tabs>
          <w:tab w:val="left" w:pos="4080"/>
        </w:tabs>
        <w:spacing w:after="0" w:line="360" w:lineRule="auto"/>
        <w:jc w:val="both"/>
        <w:rPr>
          <w:rFonts w:ascii="Museo Sans 300" w:eastAsiaTheme="minorEastAsia" w:hAnsi="Museo Sans 300" w:cstheme="majorHAnsi"/>
          <w:lang w:eastAsia="es-ES"/>
        </w:rPr>
      </w:pPr>
      <w:r w:rsidRPr="00AB1111">
        <w:rPr>
          <w:rFonts w:ascii="Museo Sans 300" w:eastAsiaTheme="minorEastAsia" w:hAnsi="Museo Sans 300" w:cstheme="majorHAnsi"/>
          <w:lang w:eastAsia="es-ES"/>
        </w:rPr>
        <w:t xml:space="preserve">Para pronunciarse sobre la admisibilidad del escrito presentado, se analizará el escrito de la siguiente manera: (I) Breve referencia al Derecho de Acceso a la Información Pública; (II) </w:t>
      </w:r>
      <w:r w:rsidR="008F2700" w:rsidRPr="00AB1111">
        <w:rPr>
          <w:rFonts w:ascii="Museo Sans 300" w:eastAsiaTheme="minorEastAsia" w:hAnsi="Museo Sans 300" w:cstheme="majorHAnsi"/>
          <w:lang w:eastAsia="es-ES"/>
        </w:rPr>
        <w:t>Sobre las competencias que están determinadas en la Constitución y en el ordenamiento jurídico a cada institución de Gobierno</w:t>
      </w:r>
      <w:r w:rsidR="001937CC">
        <w:rPr>
          <w:rFonts w:ascii="Museo Sans 300" w:eastAsiaTheme="minorEastAsia" w:hAnsi="Museo Sans 300" w:cstheme="majorHAnsi"/>
          <w:lang w:eastAsia="es-ES"/>
        </w:rPr>
        <w:t xml:space="preserve">;(III) </w:t>
      </w:r>
    </w:p>
    <w:p w14:paraId="53C7FBAF" w14:textId="77777777" w:rsidR="007418B1" w:rsidRPr="00AB1111" w:rsidRDefault="007418B1" w:rsidP="007418B1">
      <w:pPr>
        <w:tabs>
          <w:tab w:val="left" w:pos="4080"/>
        </w:tabs>
        <w:spacing w:after="0" w:line="360" w:lineRule="auto"/>
        <w:jc w:val="both"/>
        <w:rPr>
          <w:rFonts w:ascii="Museo Sans 300" w:eastAsiaTheme="minorEastAsia" w:hAnsi="Museo Sans 300" w:cstheme="majorHAnsi"/>
          <w:lang w:eastAsia="es-ES"/>
        </w:rPr>
      </w:pPr>
    </w:p>
    <w:p w14:paraId="3A0F4530" w14:textId="77777777" w:rsidR="007418B1" w:rsidRPr="00AB1111" w:rsidRDefault="007418B1" w:rsidP="007418B1">
      <w:pPr>
        <w:spacing w:after="0" w:line="360" w:lineRule="auto"/>
        <w:jc w:val="both"/>
        <w:rPr>
          <w:rFonts w:ascii="Museo Sans 300" w:eastAsiaTheme="minorEastAsia" w:hAnsi="Museo Sans 300" w:cstheme="majorHAnsi"/>
          <w:lang w:eastAsia="es-ES"/>
        </w:rPr>
      </w:pPr>
      <w:r w:rsidRPr="00AB1111">
        <w:rPr>
          <w:rFonts w:ascii="Museo Sans 300" w:eastAsiaTheme="minorEastAsia" w:hAnsi="Museo Sans 300" w:cstheme="majorHAnsi"/>
          <w:lang w:eastAsia="es-ES"/>
        </w:rPr>
        <w:lastRenderedPageBreak/>
        <w:tab/>
      </w:r>
      <w:r w:rsidRPr="00AB1111">
        <w:rPr>
          <w:rFonts w:ascii="Museo Sans 300" w:eastAsiaTheme="minorEastAsia" w:hAnsi="Museo Sans 300" w:cstheme="majorHAnsi"/>
          <w:b/>
          <w:lang w:eastAsia="es-ES"/>
        </w:rPr>
        <w:t>I.</w:t>
      </w:r>
      <w:r w:rsidRPr="00AB1111">
        <w:rPr>
          <w:rFonts w:ascii="Museo Sans 300" w:eastAsiaTheme="minorEastAsia" w:hAnsi="Museo Sans 300" w:cstheme="majorHAnsi"/>
          <w:lang w:eastAsia="es-ES"/>
        </w:rPr>
        <w:t xml:space="preserve"> El Derecho de Acceso a la Información Pública (DAIP) es un derecho constitucional “implícito”; es decir, no regulado expresamente por la Constitución (Cn), pero que tiene una condición indiscutible de derecho fundamental surgida del derecho a la libertad de expresión regulado en el artículo 6 de la Cn.</w:t>
      </w:r>
    </w:p>
    <w:p w14:paraId="76DE0964" w14:textId="77777777" w:rsidR="007418B1" w:rsidRPr="00AB1111" w:rsidRDefault="007418B1" w:rsidP="007418B1">
      <w:pPr>
        <w:spacing w:after="0" w:line="360" w:lineRule="auto"/>
        <w:jc w:val="both"/>
        <w:rPr>
          <w:rFonts w:ascii="Museo Sans 300" w:eastAsiaTheme="minorEastAsia" w:hAnsi="Museo Sans 300" w:cstheme="majorHAnsi"/>
          <w:lang w:eastAsia="es-ES"/>
        </w:rPr>
      </w:pPr>
    </w:p>
    <w:p w14:paraId="3F1B420E" w14:textId="77777777" w:rsidR="007418B1" w:rsidRPr="00AB1111" w:rsidRDefault="007418B1" w:rsidP="007418B1">
      <w:pPr>
        <w:spacing w:after="0" w:line="360" w:lineRule="auto"/>
        <w:jc w:val="both"/>
        <w:rPr>
          <w:rFonts w:ascii="Museo Sans 300" w:eastAsiaTheme="minorEastAsia" w:hAnsi="Museo Sans 300" w:cstheme="majorHAnsi"/>
          <w:lang w:eastAsia="es-ES"/>
        </w:rPr>
      </w:pPr>
      <w:r w:rsidRPr="00AB1111">
        <w:rPr>
          <w:rFonts w:ascii="Museo Sans 300" w:eastAsiaTheme="minorEastAsia" w:hAnsi="Museo Sans 300" w:cstheme="majorHAnsi"/>
          <w:lang w:eastAsia="es-ES"/>
        </w:rPr>
        <w:tab/>
        <w:t>El DAIP comprende la facultad de buscar, recibir y difundir datos, ideas o información de toda índole, pública o privada, que tengan “interés público”. Este “derecho a saber” se enmarca en el ámbito de las libertades individuales, aunque también tiene un carácter colectivo que adquiere relevancia para el fortalecimiento del Estado democrático de derecho, porque su ejercicio garantiza la transparencia y permite a las personas acceder libremente a la información en poder de las instituciones del Estado, como mecanismo de control social a la gestión pública.</w:t>
      </w:r>
    </w:p>
    <w:p w14:paraId="13C1EF53" w14:textId="77777777" w:rsidR="007418B1" w:rsidRPr="00AB1111" w:rsidRDefault="007418B1" w:rsidP="007418B1">
      <w:pPr>
        <w:spacing w:after="0" w:line="360" w:lineRule="auto"/>
        <w:jc w:val="both"/>
        <w:rPr>
          <w:rFonts w:ascii="Museo Sans 300" w:eastAsiaTheme="minorEastAsia" w:hAnsi="Museo Sans 300" w:cstheme="majorHAnsi"/>
          <w:lang w:eastAsia="es-ES"/>
        </w:rPr>
      </w:pPr>
    </w:p>
    <w:p w14:paraId="12070DA2" w14:textId="77777777" w:rsidR="007418B1" w:rsidRPr="00AB1111" w:rsidRDefault="007418B1" w:rsidP="007418B1">
      <w:pPr>
        <w:spacing w:after="0" w:line="360" w:lineRule="auto"/>
        <w:jc w:val="both"/>
        <w:rPr>
          <w:rFonts w:ascii="Museo Sans 300" w:eastAsiaTheme="minorEastAsia" w:hAnsi="Museo Sans 300" w:cstheme="majorHAnsi"/>
          <w:lang w:eastAsia="es-ES"/>
        </w:rPr>
      </w:pPr>
      <w:r w:rsidRPr="00AB1111">
        <w:rPr>
          <w:rFonts w:ascii="Museo Sans 300" w:eastAsiaTheme="minorEastAsia" w:hAnsi="Museo Sans 300" w:cstheme="majorHAnsi"/>
          <w:lang w:eastAsia="es-ES"/>
        </w:rPr>
        <w:tab/>
        <w:t xml:space="preserve">La Ley de Acceso a la Información Pública, en adelante -LAIP-, brinda una definición de lo que deberá entenderse por “Información Pública”, estableciendo, que es aquella en poder de los entes obligados contenida en </w:t>
      </w:r>
      <w:r w:rsidRPr="00AB1111">
        <w:rPr>
          <w:rFonts w:ascii="Museo Sans 300" w:eastAsiaTheme="minorEastAsia" w:hAnsi="Museo Sans 300" w:cstheme="majorHAnsi"/>
          <w:b/>
          <w:i/>
          <w:lang w:eastAsia="es-ES"/>
        </w:rPr>
        <w:t>documentos, archivos, datos, bases de datos, comunicaciones y todo tipo de registros que documenten el ejercicio de sus facultades o actividades</w:t>
      </w:r>
      <w:r w:rsidRPr="00AB1111">
        <w:rPr>
          <w:rFonts w:ascii="Museo Sans 300" w:eastAsiaTheme="minorEastAsia" w:hAnsi="Museo Sans 300" w:cstheme="majorHAnsi"/>
          <w:lang w:eastAsia="es-ES"/>
        </w:rPr>
        <w:t>, que consten en cualquier medio, ya sea impreso, óptico o electrónico, independientemente de su fuente, fecha de elaboración, y que no sea confidencial. Dicha información podrá haber sido generada, obtenida, transformada o conservada por éstos a cualquier título.</w:t>
      </w:r>
    </w:p>
    <w:p w14:paraId="06F10AB9" w14:textId="77777777" w:rsidR="007418B1" w:rsidRPr="00AB1111" w:rsidRDefault="007418B1" w:rsidP="007418B1">
      <w:pPr>
        <w:spacing w:after="0" w:line="360" w:lineRule="auto"/>
        <w:jc w:val="both"/>
        <w:rPr>
          <w:rFonts w:ascii="Museo Sans 300" w:eastAsiaTheme="minorEastAsia" w:hAnsi="Museo Sans 300" w:cstheme="majorHAnsi"/>
          <w:lang w:eastAsia="es-ES"/>
        </w:rPr>
      </w:pPr>
    </w:p>
    <w:p w14:paraId="683502FE" w14:textId="2060FE53" w:rsidR="007418B1" w:rsidRDefault="007418B1" w:rsidP="007418B1">
      <w:pPr>
        <w:spacing w:after="0" w:line="360" w:lineRule="auto"/>
        <w:jc w:val="both"/>
        <w:rPr>
          <w:rFonts w:ascii="Museo Sans 300" w:eastAsiaTheme="minorEastAsia" w:hAnsi="Museo Sans 300" w:cstheme="majorHAnsi"/>
          <w:lang w:eastAsia="es-ES"/>
        </w:rPr>
      </w:pPr>
      <w:r w:rsidRPr="00AB1111">
        <w:rPr>
          <w:rFonts w:ascii="Museo Sans 300" w:eastAsiaTheme="minorEastAsia" w:hAnsi="Museo Sans 300" w:cstheme="majorHAnsi"/>
          <w:lang w:eastAsia="es-ES"/>
        </w:rPr>
        <w:tab/>
      </w:r>
      <w:r w:rsidRPr="00AB1111">
        <w:rPr>
          <w:rFonts w:ascii="Museo Sans 300" w:eastAsiaTheme="minorEastAsia" w:hAnsi="Museo Sans 300" w:cstheme="majorHAnsi"/>
          <w:b/>
          <w:lang w:eastAsia="es-ES"/>
        </w:rPr>
        <w:t>II.</w:t>
      </w:r>
      <w:r w:rsidRPr="00AB1111">
        <w:rPr>
          <w:rFonts w:ascii="Museo Sans 300" w:eastAsiaTheme="minorEastAsia" w:hAnsi="Museo Sans 300" w:cstheme="majorHAnsi"/>
          <w:lang w:eastAsia="es-ES"/>
        </w:rPr>
        <w:t xml:space="preserve"> </w:t>
      </w:r>
      <w:bookmarkStart w:id="1" w:name="_Hlk45810432"/>
      <w:r w:rsidR="008F2700" w:rsidRPr="00AB1111">
        <w:rPr>
          <w:rFonts w:ascii="Museo Sans 300" w:eastAsiaTheme="minorEastAsia" w:hAnsi="Museo Sans 300" w:cstheme="majorHAnsi"/>
          <w:lang w:eastAsia="es-ES"/>
        </w:rPr>
        <w:t xml:space="preserve">En la obra “Tratado de Derecho Administrativo” de Agustín Gordillo, octava edición, se define a la competencia como “el conjunto de funciones que un agente puede legítimamente ejercer, el concepto de competencia da así la medida de actividades que de acuerdo al ordenamiento jurídico corresponden a cada órgano administrativo: </w:t>
      </w:r>
      <w:r w:rsidR="00BD516E" w:rsidRPr="00AB1111">
        <w:rPr>
          <w:rFonts w:ascii="Museo Sans 300" w:eastAsiaTheme="minorEastAsia" w:hAnsi="Museo Sans 300" w:cstheme="majorHAnsi"/>
          <w:lang w:eastAsia="es-ES"/>
        </w:rPr>
        <w:t xml:space="preserve">es su aptitud legal de obrar y por ello se ha podido decir que incluso formaría parte esencial e integrante del propio concepto de órgano”.  En la misma obra se señala que: </w:t>
      </w:r>
      <w:r w:rsidR="00A42599" w:rsidRPr="00AB1111">
        <w:rPr>
          <w:rFonts w:ascii="Museo Sans 300" w:eastAsiaTheme="minorEastAsia" w:hAnsi="Museo Sans 300" w:cstheme="majorHAnsi"/>
          <w:lang w:eastAsia="es-ES"/>
        </w:rPr>
        <w:t>…” mientras</w:t>
      </w:r>
      <w:r w:rsidR="00BD516E" w:rsidRPr="00AB1111">
        <w:rPr>
          <w:rFonts w:ascii="Museo Sans 300" w:eastAsiaTheme="minorEastAsia" w:hAnsi="Museo Sans 300" w:cstheme="majorHAnsi"/>
          <w:lang w:eastAsia="es-ES"/>
        </w:rPr>
        <w:t xml:space="preserve"> que en el derecho privado la capacidad es la regla </w:t>
      </w:r>
      <w:r w:rsidR="00A42599" w:rsidRPr="00AB1111">
        <w:rPr>
          <w:rFonts w:ascii="Museo Sans 300" w:eastAsiaTheme="minorEastAsia" w:hAnsi="Museo Sans 300" w:cstheme="majorHAnsi"/>
          <w:lang w:eastAsia="es-ES"/>
        </w:rPr>
        <w:t xml:space="preserve">y por lo tanto se presume en la medida que una norma expresa no venga a negarla, en derecho público la competencia de los órganos no se presume y debe estar otorgada de forma expresa o razonablemente implícita por una norma jurídica para que pueda reputársele legalmente existente”, </w:t>
      </w:r>
      <w:bookmarkEnd w:id="1"/>
      <w:r w:rsidR="00A42599" w:rsidRPr="00AB1111">
        <w:rPr>
          <w:rFonts w:ascii="Museo Sans 300" w:eastAsiaTheme="minorEastAsia" w:hAnsi="Museo Sans 300" w:cstheme="majorHAnsi"/>
          <w:lang w:eastAsia="es-ES"/>
        </w:rPr>
        <w:t>lo cual está contemplado en la Constitución de la República de El Salvador en su artículo 86.</w:t>
      </w:r>
    </w:p>
    <w:p w14:paraId="7054DFC0" w14:textId="77777777" w:rsidR="00EF6C80" w:rsidRPr="00AB1111" w:rsidRDefault="00EF6C80" w:rsidP="007418B1">
      <w:pPr>
        <w:spacing w:after="0" w:line="360" w:lineRule="auto"/>
        <w:jc w:val="both"/>
        <w:rPr>
          <w:rFonts w:ascii="Museo Sans 300" w:eastAsiaTheme="minorEastAsia" w:hAnsi="Museo Sans 300" w:cstheme="majorHAnsi"/>
          <w:lang w:eastAsia="es-ES"/>
        </w:rPr>
      </w:pPr>
    </w:p>
    <w:p w14:paraId="1D1E9B38" w14:textId="5D4D7EC9" w:rsidR="00A42599" w:rsidRDefault="00A42599" w:rsidP="007418B1">
      <w:pPr>
        <w:spacing w:after="0" w:line="360" w:lineRule="auto"/>
        <w:jc w:val="both"/>
        <w:rPr>
          <w:rFonts w:ascii="Museo Sans 300" w:eastAsiaTheme="minorEastAsia" w:hAnsi="Museo Sans 300" w:cstheme="majorHAnsi"/>
          <w:lang w:eastAsia="es-ES"/>
        </w:rPr>
      </w:pPr>
      <w:r w:rsidRPr="00AB1111">
        <w:rPr>
          <w:rFonts w:ascii="Museo Sans 300" w:eastAsiaTheme="minorEastAsia" w:hAnsi="Museo Sans 300" w:cstheme="majorHAnsi"/>
          <w:lang w:eastAsia="es-ES"/>
        </w:rPr>
        <w:t>Para la plena configuración del acto administrativo se requiere de una seri</w:t>
      </w:r>
      <w:r w:rsidR="00007847">
        <w:rPr>
          <w:rFonts w:ascii="Museo Sans 300" w:eastAsiaTheme="minorEastAsia" w:hAnsi="Museo Sans 300" w:cstheme="majorHAnsi"/>
          <w:lang w:eastAsia="es-ES"/>
        </w:rPr>
        <w:t>e</w:t>
      </w:r>
      <w:r w:rsidRPr="00AB1111">
        <w:rPr>
          <w:rFonts w:ascii="Museo Sans 300" w:eastAsiaTheme="minorEastAsia" w:hAnsi="Museo Sans 300" w:cstheme="majorHAnsi"/>
          <w:lang w:eastAsia="es-ES"/>
        </w:rPr>
        <w:t xml:space="preserve"> de elementos para dar cumplimiento a la obligación establecida en el artículo 2 de la LAIP, entre ellos la existencia de </w:t>
      </w:r>
      <w:r w:rsidR="00B235C7" w:rsidRPr="00AB1111">
        <w:rPr>
          <w:rFonts w:ascii="Museo Sans 300" w:eastAsiaTheme="minorEastAsia" w:hAnsi="Museo Sans 300" w:cstheme="majorHAnsi"/>
          <w:lang w:eastAsia="es-ES"/>
        </w:rPr>
        <w:t>competencias atribuidas a cada una de las instituciones obligadas al cumplimiento de la LAIP. El artículo 42 de la Ley de Procedimientos Administrativos (LPA) establece que la competencia es irrenunciable y se ejercerá por los órganos administrativos que la tengan atribuida como propia, salvo los casos de delegación, avocación, o sustitución, cuando tenga lugar de acuerdo con los términos previstos en esta u otras leyes.</w:t>
      </w:r>
    </w:p>
    <w:p w14:paraId="0318AF55" w14:textId="77777777" w:rsidR="00EF6C80" w:rsidRPr="00AB1111" w:rsidRDefault="00EF6C80" w:rsidP="007418B1">
      <w:pPr>
        <w:spacing w:after="0" w:line="360" w:lineRule="auto"/>
        <w:jc w:val="both"/>
        <w:rPr>
          <w:rFonts w:ascii="Museo Sans 300" w:eastAsiaTheme="minorEastAsia" w:hAnsi="Museo Sans 300" w:cstheme="majorHAnsi"/>
          <w:lang w:eastAsia="es-ES"/>
        </w:rPr>
      </w:pPr>
    </w:p>
    <w:p w14:paraId="3B97C022" w14:textId="67D1287E" w:rsidR="0008773B" w:rsidRPr="00AB1111" w:rsidRDefault="00B235C7" w:rsidP="007418B1">
      <w:pPr>
        <w:spacing w:after="0" w:line="360" w:lineRule="auto"/>
        <w:jc w:val="both"/>
        <w:rPr>
          <w:rFonts w:ascii="Museo Sans 300" w:eastAsiaTheme="minorEastAsia" w:hAnsi="Museo Sans 300" w:cstheme="majorHAnsi"/>
          <w:lang w:eastAsia="es-ES"/>
        </w:rPr>
      </w:pPr>
      <w:r w:rsidRPr="00AB1111">
        <w:rPr>
          <w:rFonts w:ascii="Museo Sans 300" w:eastAsiaTheme="minorEastAsia" w:hAnsi="Museo Sans 300" w:cstheme="majorHAnsi"/>
          <w:lang w:eastAsia="es-ES"/>
        </w:rPr>
        <w:t xml:space="preserve">En el artículo 4 de la Ley Orgánica de la Comisión Ejecutiva Portuaria Autónoma se señalan </w:t>
      </w:r>
      <w:r w:rsidR="0008773B" w:rsidRPr="00AB1111">
        <w:rPr>
          <w:rFonts w:ascii="Museo Sans 300" w:eastAsiaTheme="minorEastAsia" w:hAnsi="Museo Sans 300" w:cstheme="majorHAnsi"/>
          <w:lang w:eastAsia="es-ES"/>
        </w:rPr>
        <w:t xml:space="preserve">las funciones y atribuciones de la CEPA, dentro de </w:t>
      </w:r>
      <w:r w:rsidR="006E6D53">
        <w:rPr>
          <w:rFonts w:ascii="Museo Sans 300" w:eastAsiaTheme="minorEastAsia" w:hAnsi="Museo Sans 300" w:cstheme="majorHAnsi"/>
          <w:lang w:eastAsia="es-ES"/>
        </w:rPr>
        <w:t xml:space="preserve">sus facultades no se encuentra </w:t>
      </w:r>
      <w:r w:rsidR="001937CC">
        <w:rPr>
          <w:rFonts w:ascii="Museo Sans 300" w:eastAsiaTheme="minorEastAsia" w:hAnsi="Museo Sans 300" w:cstheme="majorHAnsi"/>
          <w:lang w:eastAsia="es-ES"/>
        </w:rPr>
        <w:t xml:space="preserve">autorizar aterrizajes y/o </w:t>
      </w:r>
      <w:r w:rsidR="0002305A">
        <w:rPr>
          <w:rFonts w:ascii="Museo Sans 300" w:eastAsiaTheme="minorEastAsia" w:hAnsi="Museo Sans 300" w:cstheme="majorHAnsi"/>
          <w:lang w:eastAsia="es-ES"/>
        </w:rPr>
        <w:t xml:space="preserve">despegues de las aeronaves </w:t>
      </w:r>
      <w:r w:rsidR="001937CC">
        <w:rPr>
          <w:rFonts w:ascii="Museo Sans 300" w:eastAsiaTheme="minorEastAsia" w:hAnsi="Museo Sans 300" w:cstheme="majorHAnsi"/>
          <w:lang w:eastAsia="es-ES"/>
        </w:rPr>
        <w:t xml:space="preserve">en ninguno en los </w:t>
      </w:r>
      <w:r w:rsidR="0002305A">
        <w:rPr>
          <w:rFonts w:ascii="Museo Sans 300" w:eastAsiaTheme="minorEastAsia" w:hAnsi="Museo Sans 300" w:cstheme="majorHAnsi"/>
          <w:lang w:eastAsia="es-ES"/>
        </w:rPr>
        <w:t xml:space="preserve">aeropuertos. </w:t>
      </w:r>
      <w:r w:rsidR="0008773B" w:rsidRPr="00AB1111">
        <w:rPr>
          <w:rFonts w:ascii="Museo Sans 300" w:eastAsiaTheme="minorEastAsia" w:hAnsi="Museo Sans 300" w:cstheme="majorHAnsi"/>
          <w:lang w:eastAsia="es-ES"/>
        </w:rPr>
        <w:t>Por todo lo comprendido en este romano, podemos afirmar que CEPA es incompetente para proveer la información re</w:t>
      </w:r>
      <w:r w:rsidR="000E25D5">
        <w:rPr>
          <w:rFonts w:ascii="Museo Sans 300" w:eastAsiaTheme="minorEastAsia" w:hAnsi="Museo Sans 300" w:cstheme="majorHAnsi"/>
          <w:lang w:eastAsia="es-ES"/>
        </w:rPr>
        <w:t>querida en el inciso primero</w:t>
      </w:r>
      <w:r w:rsidR="0008773B" w:rsidRPr="00AB1111">
        <w:rPr>
          <w:rFonts w:ascii="Museo Sans 300" w:eastAsiaTheme="minorEastAsia" w:hAnsi="Museo Sans 300" w:cstheme="majorHAnsi"/>
          <w:lang w:eastAsia="es-ES"/>
        </w:rPr>
        <w:t xml:space="preserve"> de la solicitud de información.</w:t>
      </w:r>
    </w:p>
    <w:p w14:paraId="17EA7702" w14:textId="77777777" w:rsidR="007418B1" w:rsidRPr="00AB1111" w:rsidRDefault="007418B1" w:rsidP="007418B1">
      <w:pPr>
        <w:spacing w:after="0" w:line="360" w:lineRule="auto"/>
        <w:jc w:val="both"/>
        <w:rPr>
          <w:rFonts w:ascii="Museo Sans 300" w:eastAsiaTheme="minorEastAsia" w:hAnsi="Museo Sans 300" w:cstheme="majorHAnsi"/>
          <w:lang w:eastAsia="es-ES"/>
        </w:rPr>
      </w:pPr>
    </w:p>
    <w:p w14:paraId="18E44B9D" w14:textId="306F1F1B" w:rsidR="007418B1" w:rsidRPr="001937CC" w:rsidRDefault="007418B1" w:rsidP="001937CC">
      <w:pPr>
        <w:spacing w:after="0" w:line="360" w:lineRule="auto"/>
        <w:ind w:firstLine="709"/>
        <w:jc w:val="both"/>
        <w:rPr>
          <w:rFonts w:ascii="Museo Sans 300" w:eastAsia="Times New Roman" w:hAnsi="Museo Sans 300" w:cs="Calibri Light"/>
          <w:i/>
          <w:lang w:eastAsia="es-ES"/>
        </w:rPr>
      </w:pPr>
      <w:r w:rsidRPr="00AB1111">
        <w:rPr>
          <w:rFonts w:ascii="Museo Sans 300" w:eastAsiaTheme="minorEastAsia" w:hAnsi="Museo Sans 300" w:cstheme="majorHAnsi"/>
          <w:b/>
          <w:lang w:eastAsia="es-ES"/>
        </w:rPr>
        <w:t>III.</w:t>
      </w:r>
      <w:r w:rsidRPr="00AB1111">
        <w:rPr>
          <w:rFonts w:ascii="Museo Sans 300" w:eastAsiaTheme="minorEastAsia" w:hAnsi="Museo Sans 300" w:cstheme="majorHAnsi"/>
          <w:lang w:eastAsia="es-ES"/>
        </w:rPr>
        <w:t xml:space="preserve"> Por tanto, con base a los argumentos expuestos, y a los artículos 3 letra a),</w:t>
      </w:r>
      <w:r w:rsidR="00035221" w:rsidRPr="00AB1111">
        <w:rPr>
          <w:rFonts w:ascii="Museo Sans 300" w:eastAsiaTheme="minorEastAsia" w:hAnsi="Museo Sans 300" w:cstheme="majorHAnsi"/>
          <w:lang w:eastAsia="es-ES"/>
        </w:rPr>
        <w:t xml:space="preserve"> 7 inciso segundo, relacionado con el artículo 42 de la LPA, </w:t>
      </w:r>
      <w:r w:rsidRPr="00AB1111">
        <w:rPr>
          <w:rFonts w:ascii="Museo Sans 300" w:eastAsiaTheme="minorEastAsia" w:hAnsi="Museo Sans 300" w:cstheme="majorHAnsi"/>
          <w:lang w:eastAsia="es-ES"/>
        </w:rPr>
        <w:t xml:space="preserve">65, y </w:t>
      </w:r>
      <w:r w:rsidR="00035221" w:rsidRPr="00AB1111">
        <w:rPr>
          <w:rFonts w:ascii="Museo Sans 300" w:eastAsiaTheme="minorEastAsia" w:hAnsi="Museo Sans 300" w:cstheme="majorHAnsi"/>
          <w:lang w:eastAsia="es-ES"/>
        </w:rPr>
        <w:t>73</w:t>
      </w:r>
      <w:r w:rsidRPr="00AB1111">
        <w:rPr>
          <w:rFonts w:ascii="Museo Sans 300" w:eastAsiaTheme="minorEastAsia" w:hAnsi="Museo Sans 300" w:cstheme="majorHAnsi"/>
          <w:lang w:eastAsia="es-ES"/>
        </w:rPr>
        <w:t xml:space="preserve"> de la Ley de Acceso a la Información Pública -LAIP-, se </w:t>
      </w:r>
      <w:r w:rsidRPr="00AB1111">
        <w:rPr>
          <w:rFonts w:ascii="Museo Sans 300" w:eastAsiaTheme="minorEastAsia" w:hAnsi="Museo Sans 300" w:cstheme="majorHAnsi"/>
          <w:b/>
          <w:lang w:eastAsia="es-ES"/>
        </w:rPr>
        <w:t>RESUELVE:</w:t>
      </w:r>
      <w:r w:rsidRPr="00AB1111">
        <w:rPr>
          <w:rFonts w:ascii="Museo Sans 300" w:eastAsiaTheme="minorEastAsia" w:hAnsi="Museo Sans 300" w:cstheme="majorHAnsi"/>
          <w:b/>
          <w:lang w:eastAsia="es-ES"/>
        </w:rPr>
        <w:tab/>
      </w:r>
    </w:p>
    <w:p w14:paraId="32A2402B" w14:textId="77777777" w:rsidR="00035221" w:rsidRPr="00AB1111" w:rsidRDefault="00035221" w:rsidP="007418B1">
      <w:pPr>
        <w:spacing w:after="0" w:line="360" w:lineRule="auto"/>
        <w:ind w:firstLine="709"/>
        <w:jc w:val="both"/>
        <w:rPr>
          <w:rFonts w:ascii="Museo Sans 300" w:eastAsiaTheme="minorEastAsia" w:hAnsi="Museo Sans 300" w:cstheme="majorHAnsi"/>
          <w:lang w:eastAsia="es-ES"/>
        </w:rPr>
      </w:pPr>
    </w:p>
    <w:p w14:paraId="33A1A12F" w14:textId="22547C5A" w:rsidR="001937CC" w:rsidRPr="001937CC" w:rsidRDefault="007418B1" w:rsidP="001937CC">
      <w:pPr>
        <w:numPr>
          <w:ilvl w:val="0"/>
          <w:numId w:val="1"/>
        </w:numPr>
        <w:spacing w:after="0" w:line="360" w:lineRule="auto"/>
        <w:ind w:left="851"/>
        <w:jc w:val="both"/>
        <w:rPr>
          <w:rFonts w:ascii="Museo Sans 300" w:eastAsia="Calibri" w:hAnsi="Museo Sans 300" w:cstheme="majorHAnsi"/>
        </w:rPr>
      </w:pPr>
      <w:r w:rsidRPr="00AB1111">
        <w:rPr>
          <w:rFonts w:ascii="Museo Sans 300" w:eastAsia="Calibri" w:hAnsi="Museo Sans 300" w:cstheme="majorHAnsi"/>
        </w:rPr>
        <w:t>Declárese In</w:t>
      </w:r>
      <w:r w:rsidR="00AB1111" w:rsidRPr="00AB1111">
        <w:rPr>
          <w:rFonts w:ascii="Museo Sans 300" w:eastAsia="Calibri" w:hAnsi="Museo Sans 300" w:cstheme="majorHAnsi"/>
        </w:rPr>
        <w:t>competente CEPA para acc</w:t>
      </w:r>
      <w:r w:rsidR="00D470A4">
        <w:rPr>
          <w:rFonts w:ascii="Museo Sans 300" w:eastAsia="Calibri" w:hAnsi="Museo Sans 300" w:cstheme="majorHAnsi"/>
        </w:rPr>
        <w:t>eder</w:t>
      </w:r>
      <w:r w:rsidR="00AB1111" w:rsidRPr="00AB1111">
        <w:rPr>
          <w:rFonts w:ascii="Museo Sans 300" w:eastAsia="Calibri" w:hAnsi="Museo Sans 300" w:cstheme="majorHAnsi"/>
        </w:rPr>
        <w:t xml:space="preserve"> </w:t>
      </w:r>
      <w:r w:rsidR="00D470A4">
        <w:rPr>
          <w:rFonts w:ascii="Museo Sans 300" w:eastAsia="Calibri" w:hAnsi="Museo Sans 300" w:cstheme="majorHAnsi"/>
        </w:rPr>
        <w:t>a</w:t>
      </w:r>
      <w:r w:rsidR="00AB1111" w:rsidRPr="00AB1111">
        <w:rPr>
          <w:rFonts w:ascii="Museo Sans 300" w:eastAsia="Calibri" w:hAnsi="Museo Sans 300" w:cstheme="majorHAnsi"/>
        </w:rPr>
        <w:t xml:space="preserve"> la informa</w:t>
      </w:r>
      <w:r w:rsidR="000E25D5">
        <w:rPr>
          <w:rFonts w:ascii="Museo Sans 300" w:eastAsia="Calibri" w:hAnsi="Museo Sans 300" w:cstheme="majorHAnsi"/>
        </w:rPr>
        <w:t>ción</w:t>
      </w:r>
      <w:r w:rsidR="001937CC">
        <w:rPr>
          <w:rFonts w:ascii="Museo Sans 300" w:eastAsia="Calibri" w:hAnsi="Museo Sans 300" w:cstheme="majorHAnsi"/>
        </w:rPr>
        <w:t xml:space="preserve"> requerida en </w:t>
      </w:r>
      <w:r w:rsidR="00AB1111" w:rsidRPr="00AB1111">
        <w:rPr>
          <w:rFonts w:ascii="Museo Sans 300" w:eastAsia="Calibri" w:hAnsi="Museo Sans 300" w:cstheme="majorHAnsi"/>
        </w:rPr>
        <w:t>la solicitud de información</w:t>
      </w:r>
      <w:r w:rsidR="000E25D5">
        <w:rPr>
          <w:rFonts w:ascii="Museo Sans 300" w:eastAsia="Calibri" w:hAnsi="Museo Sans 300" w:cstheme="majorHAnsi"/>
        </w:rPr>
        <w:t>.</w:t>
      </w:r>
    </w:p>
    <w:p w14:paraId="07D82098" w14:textId="77777777" w:rsidR="001937CC" w:rsidRPr="00AB1111" w:rsidRDefault="001937CC" w:rsidP="001937CC">
      <w:pPr>
        <w:spacing w:after="0" w:line="360" w:lineRule="auto"/>
        <w:ind w:left="851"/>
        <w:jc w:val="both"/>
        <w:rPr>
          <w:rFonts w:ascii="Museo Sans 300" w:eastAsia="Calibri" w:hAnsi="Museo Sans 300" w:cstheme="majorHAnsi"/>
        </w:rPr>
      </w:pPr>
    </w:p>
    <w:p w14:paraId="2F07A006" w14:textId="77777777" w:rsidR="007418B1" w:rsidRPr="00B167D7" w:rsidRDefault="007418B1" w:rsidP="007418B1">
      <w:pPr>
        <w:spacing w:after="0" w:line="360" w:lineRule="auto"/>
        <w:jc w:val="both"/>
        <w:rPr>
          <w:rFonts w:ascii="Museo Sans 300" w:eastAsia="Calibri" w:hAnsi="Museo Sans 300" w:cstheme="majorHAnsi"/>
          <w:i/>
        </w:rPr>
      </w:pPr>
    </w:p>
    <w:p w14:paraId="5292CDF6" w14:textId="77777777" w:rsidR="007418B1" w:rsidRPr="00B167D7" w:rsidRDefault="007418B1" w:rsidP="007418B1">
      <w:pPr>
        <w:spacing w:after="0" w:line="360" w:lineRule="auto"/>
        <w:jc w:val="both"/>
        <w:rPr>
          <w:rFonts w:ascii="Museo Sans 300" w:eastAsiaTheme="minorEastAsia" w:hAnsi="Museo Sans 300" w:cstheme="majorHAnsi"/>
          <w:b/>
          <w:i/>
          <w:sz w:val="24"/>
          <w:szCs w:val="24"/>
          <w:lang w:eastAsia="es-ES"/>
        </w:rPr>
      </w:pPr>
      <w:r w:rsidRPr="00B167D7">
        <w:rPr>
          <w:rFonts w:ascii="Museo Sans 300" w:eastAsiaTheme="minorEastAsia" w:hAnsi="Museo Sans 300" w:cstheme="majorHAnsi"/>
          <w:b/>
          <w:i/>
          <w:lang w:eastAsia="es-ES"/>
        </w:rPr>
        <w:t>Notifíquese. -</w:t>
      </w:r>
    </w:p>
    <w:p w14:paraId="64F430A7" w14:textId="77777777" w:rsidR="007418B1" w:rsidRDefault="007418B1" w:rsidP="007418B1">
      <w:pPr>
        <w:spacing w:after="0" w:line="276" w:lineRule="auto"/>
        <w:jc w:val="both"/>
        <w:rPr>
          <w:rFonts w:ascii="Museo 300" w:eastAsia="Times New Roman" w:hAnsi="Museo 300" w:cs="Calibri Light"/>
          <w:sz w:val="18"/>
          <w:szCs w:val="18"/>
          <w:lang w:eastAsia="es-ES"/>
        </w:rPr>
      </w:pPr>
    </w:p>
    <w:p w14:paraId="06FB7227" w14:textId="77777777" w:rsidR="007418B1" w:rsidRDefault="007418B1" w:rsidP="007418B1">
      <w:pPr>
        <w:spacing w:after="0" w:line="276" w:lineRule="auto"/>
        <w:jc w:val="both"/>
        <w:rPr>
          <w:rFonts w:ascii="Museo 300" w:eastAsia="Times New Roman" w:hAnsi="Museo 300" w:cs="Calibri Light"/>
          <w:sz w:val="18"/>
          <w:szCs w:val="18"/>
          <w:lang w:eastAsia="es-ES"/>
        </w:rPr>
      </w:pPr>
    </w:p>
    <w:p w14:paraId="775702D4" w14:textId="77777777" w:rsidR="007418B1" w:rsidRPr="00B3225B" w:rsidRDefault="007418B1" w:rsidP="007418B1">
      <w:pPr>
        <w:spacing w:after="0" w:line="276" w:lineRule="auto"/>
        <w:jc w:val="both"/>
        <w:rPr>
          <w:rFonts w:ascii="Museo 300" w:eastAsia="Times New Roman" w:hAnsi="Museo 300" w:cs="Calibri Light"/>
          <w:sz w:val="18"/>
          <w:szCs w:val="18"/>
          <w:lang w:eastAsia="es-ES"/>
        </w:rPr>
      </w:pPr>
      <w:r w:rsidRPr="00B3225B">
        <w:rPr>
          <w:rFonts w:ascii="Museo 300" w:eastAsia="Times New Roman" w:hAnsi="Museo 300" w:cs="Calibri Light"/>
          <w:sz w:val="18"/>
          <w:szCs w:val="18"/>
          <w:lang w:eastAsia="es-ES"/>
        </w:rPr>
        <w:t xml:space="preserve">Se informa que podrá consultar información pública en el Portal de Transparencia, accediendo a la página Web </w:t>
      </w:r>
      <w:r w:rsidRPr="00B3225B">
        <w:rPr>
          <w:rFonts w:ascii="Museo 300" w:eastAsia="Times New Roman" w:hAnsi="Museo 300" w:cs="Calibri Light"/>
          <w:color w:val="0563C1"/>
          <w:sz w:val="18"/>
          <w:szCs w:val="18"/>
          <w:u w:val="single"/>
          <w:lang w:eastAsia="es-ES"/>
        </w:rPr>
        <w:t>http://www.transparencia.gob.sv,</w:t>
      </w:r>
      <w:r w:rsidRPr="00B3225B">
        <w:rPr>
          <w:rFonts w:ascii="Museo 300" w:eastAsia="Times New Roman" w:hAnsi="Museo 300" w:cs="Calibri Light"/>
          <w:sz w:val="18"/>
          <w:szCs w:val="18"/>
          <w:lang w:eastAsia="es-ES"/>
        </w:rPr>
        <w:t xml:space="preserve"> mediante “Comisión Ejecutiva Portuaria Autónoma”.</w:t>
      </w:r>
    </w:p>
    <w:p w14:paraId="601475DA" w14:textId="77777777" w:rsidR="007418B1" w:rsidRDefault="007418B1" w:rsidP="007418B1">
      <w:pPr>
        <w:spacing w:after="0" w:line="240" w:lineRule="auto"/>
        <w:rPr>
          <w:rFonts w:ascii="Museo 300" w:eastAsia="Times New Roman" w:hAnsi="Museo 300" w:cs="Calibri Light"/>
          <w:sz w:val="24"/>
          <w:szCs w:val="24"/>
          <w:lang w:eastAsia="es-ES"/>
        </w:rPr>
      </w:pPr>
    </w:p>
    <w:p w14:paraId="0BFA0956" w14:textId="77777777" w:rsidR="007418B1" w:rsidRDefault="007418B1" w:rsidP="007418B1">
      <w:pPr>
        <w:spacing w:after="0" w:line="240" w:lineRule="auto"/>
        <w:rPr>
          <w:rFonts w:ascii="Museo 300" w:eastAsia="Times New Roman" w:hAnsi="Museo 300" w:cs="Calibri Light"/>
          <w:sz w:val="24"/>
          <w:szCs w:val="24"/>
          <w:lang w:eastAsia="es-ES"/>
        </w:rPr>
      </w:pPr>
    </w:p>
    <w:p w14:paraId="1244D341" w14:textId="77777777" w:rsidR="007418B1" w:rsidRDefault="007418B1" w:rsidP="007418B1">
      <w:pPr>
        <w:spacing w:after="0" w:line="240" w:lineRule="auto"/>
        <w:rPr>
          <w:rFonts w:ascii="Museo 300" w:eastAsia="Times New Roman" w:hAnsi="Museo 300" w:cs="Calibri Light"/>
          <w:sz w:val="24"/>
          <w:szCs w:val="24"/>
          <w:lang w:eastAsia="es-ES"/>
        </w:rPr>
      </w:pPr>
    </w:p>
    <w:p w14:paraId="75692220" w14:textId="77777777" w:rsidR="007418B1" w:rsidRDefault="007418B1" w:rsidP="007418B1">
      <w:pPr>
        <w:spacing w:after="0" w:line="240" w:lineRule="auto"/>
        <w:rPr>
          <w:rFonts w:ascii="Museo 300" w:eastAsia="Times New Roman" w:hAnsi="Museo 300" w:cs="Calibri Light"/>
          <w:sz w:val="24"/>
          <w:szCs w:val="24"/>
          <w:lang w:eastAsia="es-ES"/>
        </w:rPr>
      </w:pPr>
    </w:p>
    <w:p w14:paraId="5D4F2AB2" w14:textId="77777777" w:rsidR="007418B1" w:rsidRDefault="007418B1" w:rsidP="007418B1">
      <w:pPr>
        <w:spacing w:after="0" w:line="240" w:lineRule="auto"/>
        <w:rPr>
          <w:rFonts w:ascii="Museo 300" w:eastAsia="Times New Roman" w:hAnsi="Museo 300" w:cs="Calibri Light"/>
          <w:sz w:val="24"/>
          <w:szCs w:val="24"/>
          <w:lang w:eastAsia="es-ES"/>
        </w:rPr>
      </w:pPr>
    </w:p>
    <w:p w14:paraId="4125DF48" w14:textId="77777777" w:rsidR="007418B1" w:rsidRDefault="007418B1" w:rsidP="007418B1">
      <w:pPr>
        <w:spacing w:after="0" w:line="240" w:lineRule="auto"/>
        <w:rPr>
          <w:rFonts w:ascii="Museo 300" w:eastAsia="Times New Roman" w:hAnsi="Museo 300" w:cs="Calibri Light"/>
          <w:sz w:val="24"/>
          <w:szCs w:val="24"/>
          <w:lang w:eastAsia="es-ES"/>
        </w:rPr>
      </w:pPr>
    </w:p>
    <w:p w14:paraId="64F3A738" w14:textId="77777777" w:rsidR="007418B1" w:rsidRDefault="007418B1" w:rsidP="007418B1">
      <w:pPr>
        <w:spacing w:after="0" w:line="240" w:lineRule="auto"/>
        <w:rPr>
          <w:rFonts w:ascii="Museo 300" w:eastAsia="Times New Roman" w:hAnsi="Museo 300" w:cs="Calibri Light"/>
          <w:sz w:val="24"/>
          <w:szCs w:val="24"/>
          <w:lang w:eastAsia="es-ES"/>
        </w:rPr>
      </w:pPr>
    </w:p>
    <w:p w14:paraId="59812BC2" w14:textId="77777777" w:rsidR="007418B1" w:rsidRPr="00B3225B" w:rsidRDefault="007418B1" w:rsidP="007418B1">
      <w:pPr>
        <w:spacing w:after="0" w:line="240" w:lineRule="auto"/>
        <w:rPr>
          <w:rFonts w:ascii="Museo 300" w:eastAsia="Times New Roman" w:hAnsi="Museo 300" w:cs="Calibri Light"/>
          <w:sz w:val="24"/>
          <w:szCs w:val="24"/>
          <w:lang w:eastAsia="es-ES"/>
        </w:rPr>
      </w:pPr>
    </w:p>
    <w:p w14:paraId="4B78A730" w14:textId="77777777" w:rsidR="007418B1" w:rsidRPr="00B3225B" w:rsidRDefault="007418B1" w:rsidP="007418B1">
      <w:pPr>
        <w:spacing w:after="0" w:line="240" w:lineRule="auto"/>
        <w:ind w:left="2832"/>
        <w:rPr>
          <w:rFonts w:ascii="Museo 300" w:eastAsia="Times New Roman" w:hAnsi="Museo 300" w:cs="Calibri Light"/>
          <w:sz w:val="24"/>
          <w:szCs w:val="24"/>
          <w:lang w:eastAsia="es-ES"/>
        </w:rPr>
      </w:pPr>
      <w:r w:rsidRPr="00B3225B">
        <w:rPr>
          <w:rFonts w:ascii="Museo 300" w:eastAsia="Times New Roman" w:hAnsi="Museo 300" w:cs="Calibri Light"/>
          <w:sz w:val="24"/>
          <w:szCs w:val="24"/>
          <w:lang w:eastAsia="es-ES"/>
        </w:rPr>
        <w:t>Ricardo Alfonso Alas Hernández</w:t>
      </w:r>
    </w:p>
    <w:p w14:paraId="362C5E54" w14:textId="27D87717" w:rsidR="00A86EF4" w:rsidRDefault="007418B1" w:rsidP="00AB1111">
      <w:pPr>
        <w:spacing w:after="0" w:line="240" w:lineRule="auto"/>
        <w:jc w:val="center"/>
      </w:pPr>
      <w:r w:rsidRPr="00B3225B">
        <w:rPr>
          <w:rFonts w:ascii="Museo 300" w:eastAsia="Times New Roman" w:hAnsi="Museo 300" w:cs="Calibri Light"/>
          <w:sz w:val="24"/>
          <w:szCs w:val="24"/>
          <w:lang w:eastAsia="es-ES"/>
        </w:rPr>
        <w:t>Oficial de Información.</w:t>
      </w:r>
      <w:r w:rsidRPr="00B3225B">
        <w:rPr>
          <w:rFonts w:ascii="Museo 300" w:eastAsiaTheme="minorEastAsia" w:hAnsi="Museo 300"/>
          <w:sz w:val="24"/>
          <w:szCs w:val="24"/>
          <w:lang w:eastAsia="es-ES"/>
        </w:rPr>
        <w:tab/>
      </w:r>
    </w:p>
    <w:sectPr w:rsidR="00A86EF4" w:rsidSect="008B7517">
      <w:headerReference w:type="default" r:id="rId7"/>
      <w:footerReference w:type="default" r:id="rId8"/>
      <w:pgSz w:w="12240" w:h="1584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A8442" w14:textId="77777777" w:rsidR="000311DF" w:rsidRDefault="000311DF">
      <w:pPr>
        <w:spacing w:after="0" w:line="240" w:lineRule="auto"/>
      </w:pPr>
      <w:r>
        <w:separator/>
      </w:r>
    </w:p>
  </w:endnote>
  <w:endnote w:type="continuationSeparator" w:id="0">
    <w:p w14:paraId="036D01BB" w14:textId="77777777" w:rsidR="000311DF" w:rsidRDefault="00031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useo 300">
    <w:altName w:val="Times New Roman"/>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Museo Sans 300">
    <w:altName w:val="Calibri"/>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9B8D0" w14:textId="77777777" w:rsidR="00A9785C" w:rsidRPr="00F71578" w:rsidRDefault="00D470A4" w:rsidP="00842737">
    <w:pPr>
      <w:pStyle w:val="Piedepgina"/>
      <w:tabs>
        <w:tab w:val="left" w:pos="611"/>
        <w:tab w:val="center" w:pos="4986"/>
      </w:tabs>
      <w:rPr>
        <w:sz w:val="14"/>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EC725" w14:textId="77777777" w:rsidR="000311DF" w:rsidRDefault="000311DF">
      <w:pPr>
        <w:spacing w:after="0" w:line="240" w:lineRule="auto"/>
      </w:pPr>
      <w:r>
        <w:separator/>
      </w:r>
    </w:p>
  </w:footnote>
  <w:footnote w:type="continuationSeparator" w:id="0">
    <w:p w14:paraId="2FFEC4CA" w14:textId="77777777" w:rsidR="000311DF" w:rsidRDefault="00031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0E15" w14:textId="77777777" w:rsidR="00A9785C" w:rsidRPr="00847FBB" w:rsidRDefault="00D470A4" w:rsidP="00847FBB">
    <w:pPr>
      <w:pStyle w:val="Encabezado"/>
    </w:pPr>
    <w:r w:rsidRPr="00847FBB">
      <w:rPr>
        <w:noProof/>
        <w:lang w:eastAsia="es-SV"/>
      </w:rPr>
      <w:drawing>
        <wp:anchor distT="0" distB="0" distL="114300" distR="114300" simplePos="0" relativeHeight="251659264" behindDoc="1" locked="0" layoutInCell="1" allowOverlap="1" wp14:anchorId="3367543C" wp14:editId="1E175545">
          <wp:simplePos x="0" y="0"/>
          <wp:positionH relativeFrom="column">
            <wp:posOffset>-789940</wp:posOffset>
          </wp:positionH>
          <wp:positionV relativeFrom="paragraph">
            <wp:posOffset>-234315</wp:posOffset>
          </wp:positionV>
          <wp:extent cx="7940675" cy="9944100"/>
          <wp:effectExtent l="1905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rcRect t="3063"/>
                  <a:stretch>
                    <a:fillRect/>
                  </a:stretch>
                </pic:blipFill>
                <pic:spPr>
                  <a:xfrm>
                    <a:off x="0" y="0"/>
                    <a:ext cx="7934325" cy="9944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163DA"/>
    <w:multiLevelType w:val="hybridMultilevel"/>
    <w:tmpl w:val="89DAD560"/>
    <w:lvl w:ilvl="0" w:tplc="C7D01E6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4951328"/>
    <w:multiLevelType w:val="hybridMultilevel"/>
    <w:tmpl w:val="429228A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6D076156"/>
    <w:multiLevelType w:val="hybridMultilevel"/>
    <w:tmpl w:val="FC90E0F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71801E70"/>
    <w:multiLevelType w:val="hybridMultilevel"/>
    <w:tmpl w:val="A65491D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7F03788D"/>
    <w:multiLevelType w:val="hybridMultilevel"/>
    <w:tmpl w:val="93C0C11E"/>
    <w:lvl w:ilvl="0" w:tplc="27707CBE">
      <w:start w:val="1"/>
      <w:numFmt w:val="upperRoman"/>
      <w:lvlText w:val="%1."/>
      <w:lvlJc w:val="right"/>
      <w:pPr>
        <w:ind w:left="1996" w:hanging="360"/>
      </w:pPr>
      <w:rPr>
        <w:rFonts w:hint="default"/>
        <w:b/>
        <w:i w:val="0"/>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num w:numId="1">
    <w:abstractNumId w:val="4"/>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B1"/>
    <w:rsid w:val="00007847"/>
    <w:rsid w:val="0002305A"/>
    <w:rsid w:val="000311DF"/>
    <w:rsid w:val="00035221"/>
    <w:rsid w:val="0008773B"/>
    <w:rsid w:val="000E25D5"/>
    <w:rsid w:val="001937CC"/>
    <w:rsid w:val="00331055"/>
    <w:rsid w:val="006E6D53"/>
    <w:rsid w:val="007418B1"/>
    <w:rsid w:val="007E017F"/>
    <w:rsid w:val="008D2824"/>
    <w:rsid w:val="008F2700"/>
    <w:rsid w:val="00A42599"/>
    <w:rsid w:val="00A86EF4"/>
    <w:rsid w:val="00AB1111"/>
    <w:rsid w:val="00B235C7"/>
    <w:rsid w:val="00BD516E"/>
    <w:rsid w:val="00BF0FE8"/>
    <w:rsid w:val="00D470A4"/>
    <w:rsid w:val="00EF6C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99784"/>
  <w15:chartTrackingRefBased/>
  <w15:docId w15:val="{5CD81D44-F30A-4138-B3BD-F3A3D204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8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18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18B1"/>
  </w:style>
  <w:style w:type="paragraph" w:styleId="Piedepgina">
    <w:name w:val="footer"/>
    <w:basedOn w:val="Normal"/>
    <w:link w:val="PiedepginaCar"/>
    <w:uiPriority w:val="99"/>
    <w:unhideWhenUsed/>
    <w:rsid w:val="007418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18B1"/>
  </w:style>
  <w:style w:type="paragraph" w:styleId="Prrafodelista">
    <w:name w:val="List Paragraph"/>
    <w:basedOn w:val="Normal"/>
    <w:uiPriority w:val="34"/>
    <w:qFormat/>
    <w:rsid w:val="007418B1"/>
    <w:pPr>
      <w:ind w:left="720"/>
      <w:contextualSpacing/>
    </w:pPr>
  </w:style>
  <w:style w:type="paragraph" w:styleId="Textodeglobo">
    <w:name w:val="Balloon Text"/>
    <w:basedOn w:val="Normal"/>
    <w:link w:val="TextodegloboCar"/>
    <w:uiPriority w:val="99"/>
    <w:semiHidden/>
    <w:unhideWhenUsed/>
    <w:rsid w:val="00BF0F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0F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66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880</Words>
  <Characters>4842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dc:creator>
  <cp:keywords/>
  <dc:description/>
  <cp:lastModifiedBy>Sonia Gabriela Hernandez Sermeño</cp:lastModifiedBy>
  <cp:revision>3</cp:revision>
  <cp:lastPrinted>2020-10-15T23:50:00Z</cp:lastPrinted>
  <dcterms:created xsi:type="dcterms:W3CDTF">2020-10-15T22:14:00Z</dcterms:created>
  <dcterms:modified xsi:type="dcterms:W3CDTF">2020-10-15T23:52:00Z</dcterms:modified>
</cp:coreProperties>
</file>