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DFF" w:rsidRPr="00717362" w:rsidRDefault="00661AA1" w:rsidP="009E2DFF">
      <w:pPr>
        <w:spacing w:before="172" w:after="0" w:line="276" w:lineRule="auto"/>
        <w:ind w:right="108"/>
        <w:jc w:val="right"/>
        <w:rPr>
          <w:rFonts w:ascii="Museo Sans 300" w:eastAsia="Times New Roman" w:hAnsi="Museo Sans 300" w:cs="Calibri Light"/>
          <w:b/>
          <w:lang w:val="es-ES_tradnl" w:eastAsia="es-ES"/>
        </w:rPr>
      </w:pPr>
      <w:r>
        <w:rPr>
          <w:rFonts w:ascii="Museo Sans 300" w:eastAsia="Times New Roman" w:hAnsi="Museo Sans 300" w:cs="Calibri Light"/>
          <w:b/>
          <w:lang w:val="es-ES_tradnl" w:eastAsia="es-ES"/>
        </w:rPr>
        <w:t>Res_UAIP_117</w:t>
      </w:r>
      <w:r w:rsidR="009E2DFF" w:rsidRPr="00717362">
        <w:rPr>
          <w:rFonts w:ascii="Museo Sans 300" w:eastAsia="Times New Roman" w:hAnsi="Museo Sans 300" w:cs="Calibri Light"/>
          <w:b/>
          <w:lang w:val="es-ES_tradnl" w:eastAsia="es-ES"/>
        </w:rPr>
        <w:t>/2020</w:t>
      </w:r>
    </w:p>
    <w:p w:rsidR="009E2DFF" w:rsidRPr="00717362" w:rsidRDefault="009E2DFF" w:rsidP="009E2DFF">
      <w:pPr>
        <w:spacing w:before="172" w:after="0" w:line="300" w:lineRule="auto"/>
        <w:ind w:right="108"/>
        <w:jc w:val="both"/>
        <w:rPr>
          <w:rFonts w:ascii="Museo Sans 300" w:eastAsia="Calibri" w:hAnsi="Museo Sans 300" w:cs="Calibri Light"/>
          <w:b/>
          <w:lang w:val="es-ES_tradnl" w:eastAsia="es-ES"/>
        </w:rPr>
      </w:pPr>
    </w:p>
    <w:p w:rsidR="009E2DFF" w:rsidRPr="00BF0A2B" w:rsidRDefault="009E2DFF" w:rsidP="00BF0A2B">
      <w:pPr>
        <w:spacing w:before="172" w:after="0" w:line="360" w:lineRule="auto"/>
        <w:ind w:right="108"/>
        <w:jc w:val="both"/>
        <w:rPr>
          <w:rFonts w:ascii="Museo Sans 300" w:eastAsia="Times New Roman" w:hAnsi="Museo Sans 300" w:cs="Calibri Light"/>
          <w:lang w:val="es-ES_tradnl" w:eastAsia="es-ES"/>
        </w:rPr>
      </w:pPr>
      <w:r w:rsidRPr="00717362">
        <w:rPr>
          <w:rFonts w:ascii="Museo Sans 300" w:eastAsia="Calibri" w:hAnsi="Museo Sans 300" w:cs="Calibri Light"/>
          <w:b/>
          <w:lang w:val="es-ES_tradnl" w:eastAsia="es-ES"/>
        </w:rPr>
        <w:t xml:space="preserve">UNIDAD DE ACCESO A LA INFORMACIÓN PUBLICA </w:t>
      </w:r>
      <w:r w:rsidRPr="00717362">
        <w:rPr>
          <w:rFonts w:ascii="Museo Sans 300" w:eastAsia="Calibri" w:hAnsi="Museo Sans 300" w:cs="Calibri Light"/>
          <w:lang w:val="es-ES_tradnl" w:eastAsia="es-ES"/>
        </w:rPr>
        <w:t>de la</w:t>
      </w:r>
      <w:r w:rsidRPr="00717362">
        <w:rPr>
          <w:rFonts w:ascii="Museo Sans 300" w:eastAsia="Calibri" w:hAnsi="Museo Sans 300" w:cs="Calibri Light"/>
          <w:b/>
          <w:lang w:val="es-ES_tradnl" w:eastAsia="es-ES"/>
        </w:rPr>
        <w:t xml:space="preserve"> COMISIÓN EJECUTIVA PORTUARIA AUTÓNOMA -CEPA-</w:t>
      </w:r>
      <w:r w:rsidRPr="00717362">
        <w:rPr>
          <w:rFonts w:ascii="Museo Sans 300" w:eastAsia="Calibri" w:hAnsi="Museo Sans 300" w:cs="Calibri Light"/>
          <w:lang w:val="es-ES_tradnl" w:eastAsia="es-ES"/>
        </w:rPr>
        <w:t>; San Salvador, a las</w:t>
      </w:r>
      <w:r w:rsidR="00661AA1">
        <w:rPr>
          <w:rFonts w:ascii="Museo Sans 300" w:eastAsia="Calibri" w:hAnsi="Museo Sans 300" w:cs="Calibri Light"/>
          <w:lang w:val="es-ES_tradnl" w:eastAsia="es-ES"/>
        </w:rPr>
        <w:t xml:space="preserve"> quince horas con treinta y cinco</w:t>
      </w:r>
      <w:r>
        <w:rPr>
          <w:rFonts w:ascii="Museo Sans 300" w:eastAsia="Calibri" w:hAnsi="Museo Sans 300" w:cs="Calibri Light"/>
          <w:lang w:val="es-ES_tradnl" w:eastAsia="es-ES"/>
        </w:rPr>
        <w:t xml:space="preserve"> minutos del</w:t>
      </w:r>
      <w:r w:rsidRPr="00717362">
        <w:rPr>
          <w:rFonts w:ascii="Museo Sans 300" w:eastAsia="Calibri" w:hAnsi="Museo Sans 300" w:cs="Calibri Light"/>
          <w:lang w:val="es-ES_tradnl" w:eastAsia="es-ES"/>
        </w:rPr>
        <w:t xml:space="preserve"> día</w:t>
      </w:r>
      <w:r w:rsidR="00661AA1">
        <w:rPr>
          <w:rFonts w:ascii="Museo Sans 300" w:eastAsia="Calibri" w:hAnsi="Museo Sans 300" w:cs="Calibri Light"/>
          <w:lang w:val="es-ES_tradnl" w:eastAsia="es-ES"/>
        </w:rPr>
        <w:t xml:space="preserve"> once de septiembre</w:t>
      </w:r>
      <w:r w:rsidRPr="00717362">
        <w:rPr>
          <w:rFonts w:ascii="Museo Sans 300" w:eastAsia="Calibri" w:hAnsi="Museo Sans 300" w:cs="Calibri Light"/>
          <w:lang w:val="es-ES_tradnl" w:eastAsia="es-ES"/>
        </w:rPr>
        <w:t xml:space="preserve"> de dos mil veinte, después de admitir y gestionar la solicitud de información asignada bajo la referencia </w:t>
      </w:r>
      <w:r w:rsidRPr="00717362">
        <w:rPr>
          <w:rFonts w:ascii="Museo Sans 300" w:eastAsia="Calibri" w:hAnsi="Museo Sans 300" w:cs="Calibri Light"/>
          <w:b/>
          <w:lang w:val="es-ES_tradnl" w:eastAsia="es-ES"/>
        </w:rPr>
        <w:t>Sol_UAIP_0</w:t>
      </w:r>
      <w:r w:rsidR="00661AA1">
        <w:rPr>
          <w:rFonts w:ascii="Museo Sans 300" w:eastAsia="Calibri" w:hAnsi="Museo Sans 300" w:cs="Calibri Light"/>
          <w:b/>
          <w:lang w:val="es-ES_tradnl" w:eastAsia="es-ES"/>
        </w:rPr>
        <w:t>44</w:t>
      </w:r>
      <w:r w:rsidRPr="00717362">
        <w:rPr>
          <w:rFonts w:ascii="Museo Sans 300" w:eastAsia="Calibri" w:hAnsi="Museo Sans 300" w:cs="Calibri Light"/>
          <w:b/>
          <w:lang w:val="es-ES_tradnl" w:eastAsia="es-ES"/>
        </w:rPr>
        <w:t>/2020</w:t>
      </w:r>
      <w:r w:rsidRPr="00717362">
        <w:rPr>
          <w:rFonts w:ascii="Museo Sans 300" w:eastAsia="Calibri" w:hAnsi="Museo Sans 300" w:cs="Calibri Light"/>
          <w:lang w:val="es-ES_tradnl" w:eastAsia="es-ES"/>
        </w:rPr>
        <w:t xml:space="preserve"> solicitando lo siguiente</w:t>
      </w:r>
      <w:r w:rsidRPr="00717362">
        <w:rPr>
          <w:rFonts w:ascii="Museo Sans 300" w:eastAsia="Times New Roman" w:hAnsi="Museo Sans 300" w:cs="Calibri Light"/>
          <w:lang w:val="es-ES_tradnl" w:eastAsia="es-ES"/>
        </w:rPr>
        <w:t>:</w:t>
      </w:r>
    </w:p>
    <w:p w:rsidR="00661AA1" w:rsidRDefault="00661AA1" w:rsidP="00661AA1">
      <w:pPr>
        <w:pStyle w:val="Prrafodelista"/>
        <w:numPr>
          <w:ilvl w:val="0"/>
          <w:numId w:val="3"/>
        </w:numPr>
        <w:kinsoku w:val="0"/>
        <w:overflowPunct w:val="0"/>
        <w:autoSpaceDE w:val="0"/>
        <w:autoSpaceDN w:val="0"/>
        <w:adjustRightInd w:val="0"/>
        <w:spacing w:before="172" w:after="0" w:line="360" w:lineRule="auto"/>
        <w:ind w:right="110"/>
        <w:jc w:val="both"/>
        <w:rPr>
          <w:rFonts w:ascii="Museo Sans 300" w:eastAsia="MS Mincho" w:hAnsi="Museo Sans 300" w:cs="Times New Roman"/>
          <w:iCs/>
          <w:w w:val="105"/>
          <w:lang w:eastAsia="es-ES"/>
        </w:rPr>
      </w:pPr>
      <w:r w:rsidRPr="0071548C">
        <w:rPr>
          <w:rFonts w:ascii="Museo Sans 300" w:eastAsia="MS Mincho" w:hAnsi="Museo Sans 300" w:cs="Times New Roman"/>
          <w:iCs/>
          <w:w w:val="105"/>
          <w:lang w:eastAsia="es-ES"/>
        </w:rPr>
        <w:t xml:space="preserve">Información </w:t>
      </w:r>
      <w:r>
        <w:rPr>
          <w:rFonts w:ascii="Museo Sans 300" w:eastAsia="MS Mincho" w:hAnsi="Museo Sans 300" w:cs="Times New Roman"/>
          <w:iCs/>
          <w:w w:val="105"/>
          <w:lang w:eastAsia="es-ES"/>
        </w:rPr>
        <w:t>del sector aéreo</w:t>
      </w:r>
    </w:p>
    <w:p w:rsidR="00661AA1" w:rsidRPr="0071548C" w:rsidRDefault="00661AA1" w:rsidP="00661AA1">
      <w:pPr>
        <w:pStyle w:val="Prrafodelista"/>
        <w:kinsoku w:val="0"/>
        <w:overflowPunct w:val="0"/>
        <w:autoSpaceDE w:val="0"/>
        <w:autoSpaceDN w:val="0"/>
        <w:adjustRightInd w:val="0"/>
        <w:spacing w:before="172" w:after="0" w:line="360" w:lineRule="auto"/>
        <w:ind w:right="110"/>
        <w:jc w:val="both"/>
        <w:rPr>
          <w:rFonts w:ascii="Museo Sans 300" w:eastAsia="MS Mincho" w:hAnsi="Museo Sans 300" w:cs="Times New Roman"/>
          <w:iCs/>
          <w:w w:val="105"/>
          <w:lang w:eastAsia="es-ES"/>
        </w:rPr>
      </w:pPr>
    </w:p>
    <w:p w:rsidR="00661AA1" w:rsidRDefault="00661AA1" w:rsidP="00661AA1">
      <w:pPr>
        <w:pStyle w:val="Prrafodelista"/>
        <w:numPr>
          <w:ilvl w:val="0"/>
          <w:numId w:val="5"/>
        </w:numPr>
        <w:kinsoku w:val="0"/>
        <w:overflowPunct w:val="0"/>
        <w:autoSpaceDE w:val="0"/>
        <w:autoSpaceDN w:val="0"/>
        <w:adjustRightInd w:val="0"/>
        <w:spacing w:before="172" w:after="0" w:line="360" w:lineRule="auto"/>
        <w:ind w:right="110"/>
        <w:jc w:val="both"/>
        <w:rPr>
          <w:rFonts w:ascii="Museo Sans 300" w:eastAsia="MS Mincho" w:hAnsi="Museo Sans 300" w:cs="Times New Roman"/>
          <w:iCs/>
          <w:w w:val="105"/>
          <w:lang w:eastAsia="es-ES"/>
        </w:rPr>
      </w:pPr>
      <w:r>
        <w:rPr>
          <w:rFonts w:ascii="Museo Sans 300" w:eastAsia="MS Mincho" w:hAnsi="Museo Sans 300" w:cs="Times New Roman"/>
          <w:iCs/>
          <w:w w:val="105"/>
          <w:lang w:eastAsia="es-ES"/>
        </w:rPr>
        <w:t>Informe anual del sector aéreo</w:t>
      </w:r>
    </w:p>
    <w:p w:rsidR="00661AA1" w:rsidRPr="0071548C" w:rsidRDefault="00661AA1" w:rsidP="00661AA1">
      <w:pPr>
        <w:pStyle w:val="Prrafodelista"/>
        <w:kinsoku w:val="0"/>
        <w:overflowPunct w:val="0"/>
        <w:autoSpaceDE w:val="0"/>
        <w:autoSpaceDN w:val="0"/>
        <w:adjustRightInd w:val="0"/>
        <w:spacing w:before="172" w:after="0" w:line="360" w:lineRule="auto"/>
        <w:ind w:left="1428" w:right="110"/>
        <w:jc w:val="both"/>
        <w:rPr>
          <w:rFonts w:ascii="Museo Sans 300" w:eastAsia="MS Mincho" w:hAnsi="Museo Sans 300" w:cs="Times New Roman"/>
          <w:iCs/>
          <w:w w:val="105"/>
          <w:lang w:eastAsia="es-ES"/>
        </w:rPr>
      </w:pPr>
    </w:p>
    <w:p w:rsidR="00661AA1" w:rsidRPr="0071548C" w:rsidRDefault="00661AA1" w:rsidP="00661AA1">
      <w:pPr>
        <w:pStyle w:val="Prrafodelista"/>
        <w:numPr>
          <w:ilvl w:val="0"/>
          <w:numId w:val="4"/>
        </w:numPr>
        <w:kinsoku w:val="0"/>
        <w:overflowPunct w:val="0"/>
        <w:autoSpaceDE w:val="0"/>
        <w:autoSpaceDN w:val="0"/>
        <w:adjustRightInd w:val="0"/>
        <w:spacing w:before="172" w:after="0" w:line="360" w:lineRule="auto"/>
        <w:ind w:right="110"/>
        <w:jc w:val="both"/>
        <w:rPr>
          <w:rFonts w:ascii="Museo Sans 300" w:eastAsia="MS Mincho" w:hAnsi="Museo Sans 300" w:cs="Times New Roman"/>
          <w:iCs/>
          <w:w w:val="105"/>
          <w:lang w:eastAsia="es-ES"/>
        </w:rPr>
      </w:pPr>
      <w:r>
        <w:rPr>
          <w:rFonts w:ascii="Museo Sans 300" w:eastAsia="MS Mincho" w:hAnsi="Museo Sans 300" w:cs="Times New Roman"/>
          <w:iCs/>
          <w:w w:val="105"/>
          <w:lang w:eastAsia="es-ES"/>
        </w:rPr>
        <w:t>Por origen-destino versus transfer versus tránsito (preferiblemente series temporales de más de diez años de datos de pasajeros de origen/destino)</w:t>
      </w:r>
    </w:p>
    <w:p w:rsidR="00661AA1" w:rsidRDefault="00661AA1" w:rsidP="00661AA1">
      <w:pPr>
        <w:pStyle w:val="Prrafodelista"/>
        <w:numPr>
          <w:ilvl w:val="0"/>
          <w:numId w:val="4"/>
        </w:numPr>
        <w:kinsoku w:val="0"/>
        <w:overflowPunct w:val="0"/>
        <w:autoSpaceDE w:val="0"/>
        <w:autoSpaceDN w:val="0"/>
        <w:adjustRightInd w:val="0"/>
        <w:spacing w:before="172" w:after="0" w:line="360" w:lineRule="auto"/>
        <w:ind w:right="110"/>
        <w:jc w:val="both"/>
        <w:rPr>
          <w:rFonts w:ascii="Museo Sans 300" w:eastAsia="MS Mincho" w:hAnsi="Museo Sans 300" w:cs="Times New Roman"/>
          <w:iCs/>
          <w:w w:val="105"/>
          <w:lang w:eastAsia="es-ES"/>
        </w:rPr>
      </w:pPr>
      <w:r>
        <w:rPr>
          <w:rFonts w:ascii="Museo Sans 300" w:eastAsia="MS Mincho" w:hAnsi="Museo Sans 300" w:cs="Times New Roman"/>
          <w:iCs/>
          <w:w w:val="105"/>
          <w:lang w:eastAsia="es-ES"/>
        </w:rPr>
        <w:t>Por nacional e internacional (preferiblemente series temporales de más de 10 años de datos de pasajeros de origen/destino)</w:t>
      </w:r>
    </w:p>
    <w:p w:rsidR="00661AA1" w:rsidRDefault="00661AA1" w:rsidP="00661AA1">
      <w:pPr>
        <w:pStyle w:val="Prrafodelista"/>
        <w:numPr>
          <w:ilvl w:val="0"/>
          <w:numId w:val="4"/>
        </w:numPr>
        <w:kinsoku w:val="0"/>
        <w:overflowPunct w:val="0"/>
        <w:autoSpaceDE w:val="0"/>
        <w:autoSpaceDN w:val="0"/>
        <w:adjustRightInd w:val="0"/>
        <w:spacing w:before="172" w:after="0" w:line="360" w:lineRule="auto"/>
        <w:ind w:right="110"/>
        <w:jc w:val="both"/>
        <w:rPr>
          <w:rFonts w:ascii="Museo Sans 300" w:eastAsia="MS Mincho" w:hAnsi="Museo Sans 300" w:cs="Times New Roman"/>
          <w:iCs/>
          <w:w w:val="105"/>
          <w:lang w:eastAsia="es-ES"/>
        </w:rPr>
      </w:pPr>
      <w:r>
        <w:rPr>
          <w:rFonts w:ascii="Museo Sans 300" w:eastAsia="MS Mincho" w:hAnsi="Museo Sans 300" w:cs="Times New Roman"/>
          <w:iCs/>
          <w:w w:val="105"/>
          <w:lang w:eastAsia="es-ES"/>
        </w:rPr>
        <w:t>Por mercado geográfico principal (preferiblemente series temporales de más de 10 años de datos pasajeros de origen/destino)</w:t>
      </w:r>
    </w:p>
    <w:p w:rsidR="00661AA1" w:rsidRDefault="00661AA1" w:rsidP="00661AA1">
      <w:pPr>
        <w:pStyle w:val="Prrafodelista"/>
        <w:numPr>
          <w:ilvl w:val="0"/>
          <w:numId w:val="4"/>
        </w:numPr>
        <w:kinsoku w:val="0"/>
        <w:overflowPunct w:val="0"/>
        <w:autoSpaceDE w:val="0"/>
        <w:autoSpaceDN w:val="0"/>
        <w:adjustRightInd w:val="0"/>
        <w:spacing w:before="172" w:after="0" w:line="360" w:lineRule="auto"/>
        <w:ind w:right="110"/>
        <w:jc w:val="both"/>
        <w:rPr>
          <w:rFonts w:ascii="Museo Sans 300" w:eastAsia="MS Mincho" w:hAnsi="Museo Sans 300" w:cs="Times New Roman"/>
          <w:iCs/>
          <w:w w:val="105"/>
          <w:lang w:eastAsia="es-ES"/>
        </w:rPr>
      </w:pPr>
      <w:r w:rsidRPr="00A31323">
        <w:rPr>
          <w:rFonts w:ascii="Museo Sans 300" w:eastAsia="MS Mincho" w:hAnsi="Museo Sans 300" w:cs="Times New Roman"/>
          <w:iCs/>
          <w:w w:val="105"/>
          <w:lang w:eastAsia="es-ES"/>
        </w:rPr>
        <w:t>Por aerolínea (preferiblemente se</w:t>
      </w:r>
      <w:r>
        <w:rPr>
          <w:rFonts w:ascii="Museo Sans 300" w:eastAsia="MS Mincho" w:hAnsi="Museo Sans 300" w:cs="Times New Roman"/>
          <w:iCs/>
          <w:w w:val="105"/>
          <w:lang w:eastAsia="es-ES"/>
        </w:rPr>
        <w:t>ries temporales de más de 10 años)</w:t>
      </w:r>
    </w:p>
    <w:p w:rsidR="00661AA1" w:rsidRDefault="00661AA1" w:rsidP="00661AA1">
      <w:pPr>
        <w:pStyle w:val="Prrafodelista"/>
        <w:numPr>
          <w:ilvl w:val="0"/>
          <w:numId w:val="4"/>
        </w:numPr>
        <w:kinsoku w:val="0"/>
        <w:overflowPunct w:val="0"/>
        <w:autoSpaceDE w:val="0"/>
        <w:autoSpaceDN w:val="0"/>
        <w:adjustRightInd w:val="0"/>
        <w:spacing w:before="172" w:after="0" w:line="360" w:lineRule="auto"/>
        <w:ind w:right="110"/>
        <w:jc w:val="both"/>
        <w:rPr>
          <w:rFonts w:ascii="Museo Sans 300" w:eastAsia="MS Mincho" w:hAnsi="Museo Sans 300" w:cs="Times New Roman"/>
          <w:iCs/>
          <w:w w:val="105"/>
          <w:lang w:eastAsia="es-ES"/>
        </w:rPr>
      </w:pPr>
      <w:r>
        <w:rPr>
          <w:rFonts w:ascii="Museo Sans 300" w:eastAsia="MS Mincho" w:hAnsi="Museo Sans 300" w:cs="Times New Roman"/>
          <w:iCs/>
          <w:w w:val="105"/>
          <w:lang w:eastAsia="es-ES"/>
        </w:rPr>
        <w:t>Por mes (en intervalos de 5 años 2005, 2010, 2018, donde esté disponible)</w:t>
      </w:r>
    </w:p>
    <w:p w:rsidR="00661AA1" w:rsidRPr="00A31323" w:rsidRDefault="00661AA1" w:rsidP="00661AA1">
      <w:pPr>
        <w:pStyle w:val="Prrafodelista"/>
        <w:numPr>
          <w:ilvl w:val="0"/>
          <w:numId w:val="4"/>
        </w:numPr>
        <w:kinsoku w:val="0"/>
        <w:overflowPunct w:val="0"/>
        <w:autoSpaceDE w:val="0"/>
        <w:autoSpaceDN w:val="0"/>
        <w:adjustRightInd w:val="0"/>
        <w:spacing w:before="172" w:after="0" w:line="360" w:lineRule="auto"/>
        <w:ind w:right="110"/>
        <w:jc w:val="both"/>
        <w:rPr>
          <w:rFonts w:ascii="Museo Sans 300" w:eastAsia="MS Mincho" w:hAnsi="Museo Sans 300" w:cs="Times New Roman"/>
          <w:iCs/>
          <w:w w:val="105"/>
          <w:lang w:eastAsia="es-ES"/>
        </w:rPr>
      </w:pPr>
      <w:r>
        <w:rPr>
          <w:rFonts w:ascii="Museo Sans 300" w:eastAsia="MS Mincho" w:hAnsi="Museo Sans 300" w:cs="Times New Roman"/>
          <w:iCs/>
          <w:w w:val="105"/>
          <w:lang w:eastAsia="es-ES"/>
        </w:rPr>
        <w:t>Niveles de actividad del periodo pico (pasajeros en horas pico en desgloses relevantes (nacional versus internacional, O D versus transfer)</w:t>
      </w:r>
    </w:p>
    <w:p w:rsidR="00661AA1" w:rsidRDefault="00661AA1" w:rsidP="00661AA1">
      <w:pPr>
        <w:pStyle w:val="Prrafodelista"/>
        <w:kinsoku w:val="0"/>
        <w:overflowPunct w:val="0"/>
        <w:autoSpaceDE w:val="0"/>
        <w:autoSpaceDN w:val="0"/>
        <w:adjustRightInd w:val="0"/>
        <w:spacing w:before="172" w:after="0" w:line="360" w:lineRule="auto"/>
        <w:ind w:left="2136" w:right="110"/>
        <w:jc w:val="both"/>
        <w:rPr>
          <w:rFonts w:ascii="Museo Sans 300" w:eastAsia="MS Mincho" w:hAnsi="Museo Sans 300" w:cs="Times New Roman"/>
          <w:iCs/>
          <w:w w:val="105"/>
          <w:lang w:eastAsia="es-ES"/>
        </w:rPr>
      </w:pPr>
    </w:p>
    <w:p w:rsidR="00BF0A2B" w:rsidRDefault="00BF0A2B" w:rsidP="00661AA1">
      <w:pPr>
        <w:pStyle w:val="Prrafodelista"/>
        <w:kinsoku w:val="0"/>
        <w:overflowPunct w:val="0"/>
        <w:autoSpaceDE w:val="0"/>
        <w:autoSpaceDN w:val="0"/>
        <w:adjustRightInd w:val="0"/>
        <w:spacing w:before="172" w:after="0" w:line="360" w:lineRule="auto"/>
        <w:ind w:left="2136" w:right="110"/>
        <w:jc w:val="both"/>
        <w:rPr>
          <w:rFonts w:ascii="Museo Sans 300" w:eastAsia="MS Mincho" w:hAnsi="Museo Sans 300" w:cs="Times New Roman"/>
          <w:iCs/>
          <w:w w:val="105"/>
          <w:lang w:eastAsia="es-ES"/>
        </w:rPr>
      </w:pPr>
    </w:p>
    <w:p w:rsidR="00661AA1" w:rsidRDefault="00661AA1" w:rsidP="00661AA1">
      <w:pPr>
        <w:pStyle w:val="Prrafodelista"/>
        <w:numPr>
          <w:ilvl w:val="0"/>
          <w:numId w:val="5"/>
        </w:numPr>
        <w:kinsoku w:val="0"/>
        <w:overflowPunct w:val="0"/>
        <w:autoSpaceDE w:val="0"/>
        <w:autoSpaceDN w:val="0"/>
        <w:adjustRightInd w:val="0"/>
        <w:spacing w:before="172" w:after="0" w:line="360" w:lineRule="auto"/>
        <w:ind w:right="110"/>
        <w:jc w:val="both"/>
        <w:rPr>
          <w:rFonts w:ascii="Museo Sans 300" w:eastAsia="MS Mincho" w:hAnsi="Museo Sans 300" w:cs="Times New Roman"/>
          <w:iCs/>
          <w:w w:val="105"/>
          <w:lang w:eastAsia="es-ES"/>
        </w:rPr>
      </w:pPr>
      <w:r w:rsidRPr="008B479F">
        <w:rPr>
          <w:rFonts w:ascii="Museo Sans 300" w:eastAsia="MS Mincho" w:hAnsi="Museo Sans 300" w:cs="Times New Roman"/>
          <w:iCs/>
          <w:w w:val="105"/>
          <w:lang w:eastAsia="es-ES"/>
        </w:rPr>
        <w:lastRenderedPageBreak/>
        <w:t>Series temporales anuales de tráfico histórico de aeronaves.</w:t>
      </w:r>
    </w:p>
    <w:p w:rsidR="00661AA1" w:rsidRDefault="00661AA1" w:rsidP="00661AA1">
      <w:pPr>
        <w:pStyle w:val="Prrafodelista"/>
        <w:kinsoku w:val="0"/>
        <w:overflowPunct w:val="0"/>
        <w:autoSpaceDE w:val="0"/>
        <w:autoSpaceDN w:val="0"/>
        <w:adjustRightInd w:val="0"/>
        <w:spacing w:before="172" w:after="0" w:line="360" w:lineRule="auto"/>
        <w:ind w:left="1428" w:right="110"/>
        <w:jc w:val="both"/>
        <w:rPr>
          <w:rFonts w:ascii="Museo Sans 300" w:eastAsia="MS Mincho" w:hAnsi="Museo Sans 300" w:cs="Times New Roman"/>
          <w:iCs/>
          <w:w w:val="105"/>
          <w:lang w:eastAsia="es-ES"/>
        </w:rPr>
      </w:pPr>
    </w:p>
    <w:p w:rsidR="00661AA1" w:rsidRDefault="00661AA1" w:rsidP="00661AA1">
      <w:pPr>
        <w:pStyle w:val="Prrafodelista"/>
        <w:numPr>
          <w:ilvl w:val="0"/>
          <w:numId w:val="6"/>
        </w:numPr>
        <w:kinsoku w:val="0"/>
        <w:overflowPunct w:val="0"/>
        <w:autoSpaceDE w:val="0"/>
        <w:autoSpaceDN w:val="0"/>
        <w:adjustRightInd w:val="0"/>
        <w:spacing w:before="172" w:after="0" w:line="360" w:lineRule="auto"/>
        <w:ind w:right="110"/>
        <w:jc w:val="both"/>
        <w:rPr>
          <w:rFonts w:ascii="Museo Sans 300" w:eastAsia="MS Mincho" w:hAnsi="Museo Sans 300" w:cs="Times New Roman"/>
          <w:iCs/>
          <w:w w:val="105"/>
          <w:lang w:eastAsia="es-ES"/>
        </w:rPr>
      </w:pPr>
      <w:r w:rsidRPr="008B479F">
        <w:rPr>
          <w:rFonts w:ascii="Museo Sans 300" w:eastAsia="MS Mincho" w:hAnsi="Museo Sans 300" w:cs="Times New Roman"/>
          <w:iCs/>
          <w:w w:val="105"/>
          <w:lang w:eastAsia="es-ES"/>
        </w:rPr>
        <w:t>Por tipo: comercial, aviación general, militar, carga y otros (preferiblemente series temporales de más de 10 años)</w:t>
      </w:r>
    </w:p>
    <w:p w:rsidR="00661AA1" w:rsidRDefault="00661AA1" w:rsidP="00661AA1">
      <w:pPr>
        <w:pStyle w:val="Prrafodelista"/>
        <w:numPr>
          <w:ilvl w:val="0"/>
          <w:numId w:val="6"/>
        </w:numPr>
        <w:kinsoku w:val="0"/>
        <w:overflowPunct w:val="0"/>
        <w:autoSpaceDE w:val="0"/>
        <w:autoSpaceDN w:val="0"/>
        <w:adjustRightInd w:val="0"/>
        <w:spacing w:before="172" w:after="0" w:line="360" w:lineRule="auto"/>
        <w:ind w:right="110"/>
        <w:jc w:val="both"/>
        <w:rPr>
          <w:rFonts w:ascii="Museo Sans 300" w:eastAsia="MS Mincho" w:hAnsi="Museo Sans 300" w:cs="Times New Roman"/>
          <w:iCs/>
          <w:w w:val="105"/>
          <w:lang w:eastAsia="es-ES"/>
        </w:rPr>
      </w:pPr>
      <w:r w:rsidRPr="008B479F">
        <w:rPr>
          <w:rFonts w:ascii="Museo Sans 300" w:eastAsia="MS Mincho" w:hAnsi="Museo Sans 300" w:cs="Times New Roman"/>
          <w:iCs/>
          <w:w w:val="105"/>
          <w:lang w:eastAsia="es-ES"/>
        </w:rPr>
        <w:t>Por aerolínea (preferiblemente series temporales de más de 10 años)</w:t>
      </w:r>
    </w:p>
    <w:p w:rsidR="00661AA1" w:rsidRDefault="00661AA1" w:rsidP="00661AA1">
      <w:pPr>
        <w:pStyle w:val="Prrafodelista"/>
        <w:numPr>
          <w:ilvl w:val="0"/>
          <w:numId w:val="6"/>
        </w:numPr>
        <w:kinsoku w:val="0"/>
        <w:overflowPunct w:val="0"/>
        <w:autoSpaceDE w:val="0"/>
        <w:autoSpaceDN w:val="0"/>
        <w:adjustRightInd w:val="0"/>
        <w:spacing w:before="172" w:after="0" w:line="360" w:lineRule="auto"/>
        <w:ind w:right="110"/>
        <w:jc w:val="both"/>
        <w:rPr>
          <w:rFonts w:ascii="Museo Sans 300" w:eastAsia="MS Mincho" w:hAnsi="Museo Sans 300" w:cs="Times New Roman"/>
          <w:iCs/>
          <w:w w:val="105"/>
          <w:lang w:eastAsia="es-ES"/>
        </w:rPr>
      </w:pPr>
      <w:r w:rsidRPr="008B479F">
        <w:rPr>
          <w:rFonts w:ascii="Museo Sans 300" w:eastAsia="MS Mincho" w:hAnsi="Museo Sans 300" w:cs="Times New Roman"/>
          <w:iCs/>
          <w:w w:val="105"/>
          <w:lang w:eastAsia="es-ES"/>
        </w:rPr>
        <w:t>Por mercado geográfico principal (preferiblemente series temporales de más de 10 años)</w:t>
      </w:r>
    </w:p>
    <w:p w:rsidR="00661AA1" w:rsidRDefault="00661AA1" w:rsidP="00661AA1">
      <w:pPr>
        <w:pStyle w:val="Prrafodelista"/>
        <w:numPr>
          <w:ilvl w:val="0"/>
          <w:numId w:val="6"/>
        </w:numPr>
        <w:kinsoku w:val="0"/>
        <w:overflowPunct w:val="0"/>
        <w:autoSpaceDE w:val="0"/>
        <w:autoSpaceDN w:val="0"/>
        <w:adjustRightInd w:val="0"/>
        <w:spacing w:before="172" w:after="0" w:line="360" w:lineRule="auto"/>
        <w:ind w:right="110"/>
        <w:jc w:val="both"/>
        <w:rPr>
          <w:rFonts w:ascii="Museo Sans 300" w:eastAsia="MS Mincho" w:hAnsi="Museo Sans 300" w:cs="Times New Roman"/>
          <w:iCs/>
          <w:w w:val="105"/>
          <w:lang w:eastAsia="es-ES"/>
        </w:rPr>
      </w:pPr>
      <w:r w:rsidRPr="008B479F">
        <w:rPr>
          <w:rFonts w:ascii="Museo Sans 300" w:eastAsia="MS Mincho" w:hAnsi="Museo Sans 300" w:cs="Times New Roman"/>
          <w:iCs/>
          <w:w w:val="105"/>
          <w:lang w:eastAsia="es-ES"/>
        </w:rPr>
        <w:t>Por tipo de aeronave (mezcla de flota en intervalos de 5 años: 2005, 2010, 2015, 2018, donde esté disponible)</w:t>
      </w:r>
    </w:p>
    <w:p w:rsidR="00661AA1" w:rsidRDefault="00661AA1" w:rsidP="00661AA1">
      <w:pPr>
        <w:pStyle w:val="Prrafodelista"/>
        <w:numPr>
          <w:ilvl w:val="0"/>
          <w:numId w:val="6"/>
        </w:numPr>
        <w:kinsoku w:val="0"/>
        <w:overflowPunct w:val="0"/>
        <w:autoSpaceDE w:val="0"/>
        <w:autoSpaceDN w:val="0"/>
        <w:adjustRightInd w:val="0"/>
        <w:spacing w:before="172" w:after="0" w:line="360" w:lineRule="auto"/>
        <w:ind w:right="110"/>
        <w:jc w:val="both"/>
        <w:rPr>
          <w:rFonts w:ascii="Museo Sans 300" w:eastAsia="MS Mincho" w:hAnsi="Museo Sans 300" w:cs="Times New Roman"/>
          <w:iCs/>
          <w:w w:val="105"/>
          <w:lang w:eastAsia="es-ES"/>
        </w:rPr>
      </w:pPr>
      <w:r w:rsidRPr="008B479F">
        <w:rPr>
          <w:rFonts w:ascii="Museo Sans 300" w:eastAsia="MS Mincho" w:hAnsi="Museo Sans 300" w:cs="Times New Roman"/>
          <w:iCs/>
          <w:w w:val="105"/>
          <w:lang w:eastAsia="es-ES"/>
        </w:rPr>
        <w:t>Niveles de actividad del período pico (</w:t>
      </w:r>
      <w:proofErr w:type="spellStart"/>
      <w:r w:rsidRPr="008B479F">
        <w:rPr>
          <w:rFonts w:ascii="Museo Sans 300" w:eastAsia="MS Mincho" w:hAnsi="Museo Sans 300" w:cs="Times New Roman"/>
          <w:iCs/>
          <w:w w:val="105"/>
          <w:lang w:eastAsia="es-ES"/>
        </w:rPr>
        <w:t>atms</w:t>
      </w:r>
      <w:proofErr w:type="spellEnd"/>
      <w:r w:rsidRPr="008B479F">
        <w:rPr>
          <w:rFonts w:ascii="Museo Sans 300" w:eastAsia="MS Mincho" w:hAnsi="Museo Sans 300" w:cs="Times New Roman"/>
          <w:iCs/>
          <w:w w:val="105"/>
          <w:lang w:eastAsia="es-ES"/>
        </w:rPr>
        <w:t xml:space="preserve"> en horas pico en desgloses relevantes (domésticos vs internacionales, origen-destino vs transfer)</w:t>
      </w:r>
    </w:p>
    <w:p w:rsidR="00661AA1" w:rsidRDefault="00661AA1" w:rsidP="00661AA1">
      <w:pPr>
        <w:pStyle w:val="Prrafodelista"/>
        <w:kinsoku w:val="0"/>
        <w:overflowPunct w:val="0"/>
        <w:autoSpaceDE w:val="0"/>
        <w:autoSpaceDN w:val="0"/>
        <w:adjustRightInd w:val="0"/>
        <w:spacing w:before="172" w:after="0" w:line="360" w:lineRule="auto"/>
        <w:ind w:left="2148" w:right="110"/>
        <w:jc w:val="both"/>
        <w:rPr>
          <w:rFonts w:ascii="Museo Sans 300" w:eastAsia="MS Mincho" w:hAnsi="Museo Sans 300" w:cs="Times New Roman"/>
          <w:iCs/>
          <w:w w:val="105"/>
          <w:lang w:eastAsia="es-ES"/>
        </w:rPr>
      </w:pPr>
    </w:p>
    <w:p w:rsidR="00661AA1" w:rsidRDefault="00661AA1" w:rsidP="00661AA1">
      <w:pPr>
        <w:pStyle w:val="Prrafodelista"/>
        <w:numPr>
          <w:ilvl w:val="0"/>
          <w:numId w:val="5"/>
        </w:numPr>
        <w:kinsoku w:val="0"/>
        <w:overflowPunct w:val="0"/>
        <w:autoSpaceDE w:val="0"/>
        <w:autoSpaceDN w:val="0"/>
        <w:adjustRightInd w:val="0"/>
        <w:spacing w:before="172" w:after="0" w:line="360" w:lineRule="auto"/>
        <w:ind w:right="110"/>
        <w:jc w:val="both"/>
        <w:rPr>
          <w:rFonts w:ascii="Museo Sans 300" w:eastAsia="MS Mincho" w:hAnsi="Museo Sans 300" w:cs="Times New Roman"/>
          <w:iCs/>
          <w:w w:val="105"/>
          <w:lang w:eastAsia="es-ES"/>
        </w:rPr>
      </w:pPr>
      <w:r w:rsidRPr="008B479F">
        <w:rPr>
          <w:rFonts w:ascii="Museo Sans 300" w:eastAsia="MS Mincho" w:hAnsi="Museo Sans 300" w:cs="Times New Roman"/>
          <w:iCs/>
          <w:w w:val="105"/>
          <w:lang w:eastAsia="es-ES"/>
        </w:rPr>
        <w:t>Series temporales anuales del volumen histórico de carga aérea</w:t>
      </w:r>
    </w:p>
    <w:p w:rsidR="00661AA1" w:rsidRDefault="00661AA1" w:rsidP="00661AA1">
      <w:pPr>
        <w:pStyle w:val="Prrafodelista"/>
        <w:kinsoku w:val="0"/>
        <w:overflowPunct w:val="0"/>
        <w:autoSpaceDE w:val="0"/>
        <w:autoSpaceDN w:val="0"/>
        <w:adjustRightInd w:val="0"/>
        <w:spacing w:before="172" w:after="0" w:line="360" w:lineRule="auto"/>
        <w:ind w:left="1428" w:right="110"/>
        <w:jc w:val="both"/>
        <w:rPr>
          <w:rFonts w:ascii="Museo Sans 300" w:eastAsia="MS Mincho" w:hAnsi="Museo Sans 300" w:cs="Times New Roman"/>
          <w:iCs/>
          <w:w w:val="105"/>
          <w:lang w:eastAsia="es-ES"/>
        </w:rPr>
      </w:pPr>
    </w:p>
    <w:p w:rsidR="00661AA1" w:rsidRDefault="00661AA1" w:rsidP="00661AA1">
      <w:pPr>
        <w:pStyle w:val="Prrafodelista"/>
        <w:numPr>
          <w:ilvl w:val="0"/>
          <w:numId w:val="7"/>
        </w:numPr>
        <w:kinsoku w:val="0"/>
        <w:overflowPunct w:val="0"/>
        <w:autoSpaceDE w:val="0"/>
        <w:autoSpaceDN w:val="0"/>
        <w:adjustRightInd w:val="0"/>
        <w:spacing w:before="172" w:after="0" w:line="360" w:lineRule="auto"/>
        <w:ind w:right="110"/>
        <w:jc w:val="both"/>
        <w:rPr>
          <w:rFonts w:ascii="Museo Sans 300" w:eastAsia="MS Mincho" w:hAnsi="Museo Sans 300" w:cs="Times New Roman"/>
          <w:iCs/>
          <w:w w:val="105"/>
          <w:lang w:eastAsia="es-ES"/>
        </w:rPr>
      </w:pPr>
      <w:r w:rsidRPr="008B479F">
        <w:rPr>
          <w:rFonts w:ascii="Museo Sans 300" w:eastAsia="MS Mincho" w:hAnsi="Museo Sans 300" w:cs="Times New Roman"/>
          <w:iCs/>
          <w:w w:val="105"/>
          <w:lang w:eastAsia="es-ES"/>
        </w:rPr>
        <w:t>Por carga nacional frente a internacional (preferiblemente series temporales de más de 10 años)</w:t>
      </w:r>
    </w:p>
    <w:p w:rsidR="00661AA1" w:rsidRDefault="00661AA1" w:rsidP="00661AA1">
      <w:pPr>
        <w:pStyle w:val="Prrafodelista"/>
        <w:numPr>
          <w:ilvl w:val="0"/>
          <w:numId w:val="7"/>
        </w:numPr>
        <w:kinsoku w:val="0"/>
        <w:overflowPunct w:val="0"/>
        <w:autoSpaceDE w:val="0"/>
        <w:autoSpaceDN w:val="0"/>
        <w:adjustRightInd w:val="0"/>
        <w:spacing w:before="172" w:after="0" w:line="360" w:lineRule="auto"/>
        <w:ind w:right="110"/>
        <w:jc w:val="both"/>
        <w:rPr>
          <w:rFonts w:ascii="Museo Sans 300" w:eastAsia="MS Mincho" w:hAnsi="Museo Sans 300" w:cs="Times New Roman"/>
          <w:iCs/>
          <w:w w:val="105"/>
          <w:lang w:eastAsia="es-ES"/>
        </w:rPr>
      </w:pPr>
      <w:r w:rsidRPr="008B479F">
        <w:rPr>
          <w:rFonts w:ascii="Museo Sans 300" w:eastAsia="MS Mincho" w:hAnsi="Museo Sans 300" w:cs="Times New Roman"/>
          <w:iCs/>
          <w:w w:val="105"/>
          <w:lang w:eastAsia="es-ES"/>
        </w:rPr>
        <w:t>Por tipo: transporte de carga en aviones de pasajeros frente a cargueros completos (preferiblemente series temporales de más de 10 años)</w:t>
      </w:r>
    </w:p>
    <w:p w:rsidR="00661AA1" w:rsidRDefault="00661AA1" w:rsidP="00661AA1">
      <w:pPr>
        <w:pStyle w:val="Prrafodelista"/>
        <w:numPr>
          <w:ilvl w:val="0"/>
          <w:numId w:val="7"/>
        </w:numPr>
        <w:kinsoku w:val="0"/>
        <w:overflowPunct w:val="0"/>
        <w:autoSpaceDE w:val="0"/>
        <w:autoSpaceDN w:val="0"/>
        <w:adjustRightInd w:val="0"/>
        <w:spacing w:before="172" w:after="0" w:line="360" w:lineRule="auto"/>
        <w:ind w:right="110"/>
        <w:jc w:val="both"/>
        <w:rPr>
          <w:rFonts w:ascii="Museo Sans 300" w:eastAsia="MS Mincho" w:hAnsi="Museo Sans 300" w:cs="Times New Roman"/>
          <w:iCs/>
          <w:w w:val="105"/>
          <w:lang w:eastAsia="es-ES"/>
        </w:rPr>
      </w:pPr>
      <w:r w:rsidRPr="008B479F">
        <w:rPr>
          <w:rFonts w:ascii="Museo Sans 300" w:eastAsia="MS Mincho" w:hAnsi="Museo Sans 300" w:cs="Times New Roman"/>
          <w:iCs/>
          <w:w w:val="105"/>
          <w:lang w:eastAsia="es-ES"/>
        </w:rPr>
        <w:t>Por carga de entrada frente a salida frente a tránsito (preferiblemente series temporales de más de 10 años)</w:t>
      </w:r>
    </w:p>
    <w:p w:rsidR="00661AA1" w:rsidRDefault="00661AA1" w:rsidP="00661AA1">
      <w:pPr>
        <w:pStyle w:val="Prrafodelista"/>
        <w:numPr>
          <w:ilvl w:val="0"/>
          <w:numId w:val="7"/>
        </w:numPr>
        <w:kinsoku w:val="0"/>
        <w:overflowPunct w:val="0"/>
        <w:autoSpaceDE w:val="0"/>
        <w:autoSpaceDN w:val="0"/>
        <w:adjustRightInd w:val="0"/>
        <w:spacing w:before="172" w:after="0" w:line="360" w:lineRule="auto"/>
        <w:ind w:right="110"/>
        <w:jc w:val="both"/>
        <w:rPr>
          <w:rFonts w:ascii="Museo Sans 300" w:eastAsia="MS Mincho" w:hAnsi="Museo Sans 300" w:cs="Times New Roman"/>
          <w:iCs/>
          <w:w w:val="105"/>
          <w:lang w:eastAsia="es-ES"/>
        </w:rPr>
      </w:pPr>
      <w:r w:rsidRPr="008B479F">
        <w:rPr>
          <w:rFonts w:ascii="Museo Sans 300" w:eastAsia="MS Mincho" w:hAnsi="Museo Sans 300" w:cs="Times New Roman"/>
          <w:iCs/>
          <w:w w:val="105"/>
          <w:lang w:eastAsia="es-ES"/>
        </w:rPr>
        <w:t>Por mercado geográfico principal (preferiblemente series temporales de más de 10 años)</w:t>
      </w:r>
    </w:p>
    <w:p w:rsidR="00661AA1" w:rsidRDefault="00661AA1" w:rsidP="00661AA1">
      <w:pPr>
        <w:pStyle w:val="Prrafodelista"/>
        <w:numPr>
          <w:ilvl w:val="0"/>
          <w:numId w:val="7"/>
        </w:numPr>
        <w:kinsoku w:val="0"/>
        <w:overflowPunct w:val="0"/>
        <w:autoSpaceDE w:val="0"/>
        <w:autoSpaceDN w:val="0"/>
        <w:adjustRightInd w:val="0"/>
        <w:spacing w:before="172" w:after="0" w:line="360" w:lineRule="auto"/>
        <w:ind w:right="110"/>
        <w:jc w:val="both"/>
        <w:rPr>
          <w:rFonts w:ascii="Museo Sans 300" w:eastAsia="MS Mincho" w:hAnsi="Museo Sans 300" w:cs="Times New Roman"/>
          <w:iCs/>
          <w:w w:val="105"/>
          <w:lang w:eastAsia="es-ES"/>
        </w:rPr>
      </w:pPr>
      <w:r w:rsidRPr="008B479F">
        <w:rPr>
          <w:rFonts w:ascii="Museo Sans 300" w:eastAsia="MS Mincho" w:hAnsi="Museo Sans 300" w:cs="Times New Roman"/>
          <w:iCs/>
          <w:w w:val="105"/>
          <w:lang w:eastAsia="es-ES"/>
        </w:rPr>
        <w:t>Por aerolínea (preferiblemente series temporales de más de 10 años)</w:t>
      </w:r>
    </w:p>
    <w:p w:rsidR="00661AA1" w:rsidRDefault="00661AA1" w:rsidP="00661AA1">
      <w:pPr>
        <w:pStyle w:val="Prrafodelista"/>
        <w:numPr>
          <w:ilvl w:val="0"/>
          <w:numId w:val="7"/>
        </w:numPr>
        <w:kinsoku w:val="0"/>
        <w:overflowPunct w:val="0"/>
        <w:autoSpaceDE w:val="0"/>
        <w:autoSpaceDN w:val="0"/>
        <w:adjustRightInd w:val="0"/>
        <w:spacing w:before="172" w:after="0" w:line="360" w:lineRule="auto"/>
        <w:ind w:right="110"/>
        <w:jc w:val="both"/>
        <w:rPr>
          <w:rFonts w:ascii="Museo Sans 300" w:eastAsia="MS Mincho" w:hAnsi="Museo Sans 300" w:cs="Times New Roman"/>
          <w:iCs/>
          <w:w w:val="105"/>
          <w:lang w:eastAsia="es-ES"/>
        </w:rPr>
      </w:pPr>
      <w:r w:rsidRPr="008B479F">
        <w:rPr>
          <w:rFonts w:ascii="Museo Sans 300" w:eastAsia="MS Mincho" w:hAnsi="Museo Sans 300" w:cs="Times New Roman"/>
          <w:iCs/>
          <w:w w:val="105"/>
          <w:lang w:eastAsia="es-ES"/>
        </w:rPr>
        <w:t>Por tipo de bienes (descripción del mercado de carga)</w:t>
      </w:r>
    </w:p>
    <w:p w:rsidR="00661AA1" w:rsidRDefault="00661AA1" w:rsidP="00661AA1">
      <w:pPr>
        <w:pStyle w:val="Prrafodelista"/>
        <w:numPr>
          <w:ilvl w:val="0"/>
          <w:numId w:val="7"/>
        </w:numPr>
        <w:kinsoku w:val="0"/>
        <w:overflowPunct w:val="0"/>
        <w:autoSpaceDE w:val="0"/>
        <w:autoSpaceDN w:val="0"/>
        <w:adjustRightInd w:val="0"/>
        <w:spacing w:before="172" w:after="0" w:line="360" w:lineRule="auto"/>
        <w:ind w:right="110"/>
        <w:jc w:val="both"/>
        <w:rPr>
          <w:rFonts w:ascii="Museo Sans 300" w:eastAsia="MS Mincho" w:hAnsi="Museo Sans 300" w:cs="Times New Roman"/>
          <w:iCs/>
          <w:w w:val="105"/>
          <w:lang w:eastAsia="es-ES"/>
        </w:rPr>
      </w:pPr>
      <w:r w:rsidRPr="008B479F">
        <w:rPr>
          <w:rFonts w:ascii="Museo Sans 300" w:eastAsia="MS Mincho" w:hAnsi="Museo Sans 300" w:cs="Times New Roman"/>
          <w:iCs/>
          <w:w w:val="105"/>
          <w:lang w:eastAsia="es-ES"/>
        </w:rPr>
        <w:t>Pronóstico de la demanda de tráfico anual de pasajeros (preferiblemente hasta el año 2035)</w:t>
      </w:r>
    </w:p>
    <w:p w:rsidR="00661AA1" w:rsidRDefault="00661AA1" w:rsidP="00661AA1">
      <w:pPr>
        <w:pStyle w:val="Prrafodelista"/>
        <w:numPr>
          <w:ilvl w:val="0"/>
          <w:numId w:val="7"/>
        </w:numPr>
        <w:kinsoku w:val="0"/>
        <w:overflowPunct w:val="0"/>
        <w:autoSpaceDE w:val="0"/>
        <w:autoSpaceDN w:val="0"/>
        <w:adjustRightInd w:val="0"/>
        <w:spacing w:before="172" w:after="0" w:line="360" w:lineRule="auto"/>
        <w:ind w:right="110"/>
        <w:jc w:val="both"/>
        <w:rPr>
          <w:rFonts w:ascii="Museo Sans 300" w:eastAsia="MS Mincho" w:hAnsi="Museo Sans 300" w:cs="Times New Roman"/>
          <w:iCs/>
          <w:w w:val="105"/>
          <w:lang w:eastAsia="es-ES"/>
        </w:rPr>
      </w:pPr>
      <w:r w:rsidRPr="008B479F">
        <w:rPr>
          <w:rFonts w:ascii="Museo Sans 300" w:eastAsia="MS Mincho" w:hAnsi="Museo Sans 300" w:cs="Times New Roman"/>
          <w:iCs/>
          <w:w w:val="105"/>
          <w:lang w:eastAsia="es-ES"/>
        </w:rPr>
        <w:lastRenderedPageBreak/>
        <w:t>Pronóstico de la demanda de tráfico anual de aeronaves (preferiblemente hasta el año 2035)</w:t>
      </w:r>
    </w:p>
    <w:p w:rsidR="00661AA1" w:rsidRDefault="00661AA1" w:rsidP="00661AA1">
      <w:pPr>
        <w:pStyle w:val="Prrafodelista"/>
        <w:numPr>
          <w:ilvl w:val="0"/>
          <w:numId w:val="7"/>
        </w:numPr>
        <w:kinsoku w:val="0"/>
        <w:overflowPunct w:val="0"/>
        <w:autoSpaceDE w:val="0"/>
        <w:autoSpaceDN w:val="0"/>
        <w:adjustRightInd w:val="0"/>
        <w:spacing w:before="172" w:after="0" w:line="360" w:lineRule="auto"/>
        <w:ind w:right="110"/>
        <w:jc w:val="both"/>
        <w:rPr>
          <w:rFonts w:ascii="Museo Sans 300" w:eastAsia="MS Mincho" w:hAnsi="Museo Sans 300" w:cs="Times New Roman"/>
          <w:iCs/>
          <w:w w:val="105"/>
          <w:lang w:eastAsia="es-ES"/>
        </w:rPr>
      </w:pPr>
      <w:r w:rsidRPr="008B479F">
        <w:rPr>
          <w:rFonts w:ascii="Museo Sans 300" w:eastAsia="MS Mincho" w:hAnsi="Museo Sans 300" w:cs="Times New Roman"/>
          <w:iCs/>
          <w:w w:val="105"/>
          <w:lang w:eastAsia="es-ES"/>
        </w:rPr>
        <w:t>Pronóstico de demanda del volumen anual de carga aérea (preferiblemente hasta el año 2035)</w:t>
      </w:r>
    </w:p>
    <w:p w:rsidR="00BF0A2B" w:rsidRPr="00BF0A2B" w:rsidRDefault="00BF0A2B" w:rsidP="00BF0A2B">
      <w:pPr>
        <w:pStyle w:val="Prrafodelista"/>
        <w:kinsoku w:val="0"/>
        <w:overflowPunct w:val="0"/>
        <w:autoSpaceDE w:val="0"/>
        <w:autoSpaceDN w:val="0"/>
        <w:adjustRightInd w:val="0"/>
        <w:spacing w:before="172" w:after="0" w:line="360" w:lineRule="auto"/>
        <w:ind w:left="2148" w:right="110"/>
        <w:jc w:val="both"/>
        <w:rPr>
          <w:rFonts w:ascii="Museo Sans 300" w:eastAsia="MS Mincho" w:hAnsi="Museo Sans 300" w:cs="Times New Roman"/>
          <w:iCs/>
          <w:w w:val="105"/>
          <w:lang w:eastAsia="es-ES"/>
        </w:rPr>
      </w:pPr>
    </w:p>
    <w:p w:rsidR="00661AA1" w:rsidRDefault="00661AA1" w:rsidP="00661AA1">
      <w:pPr>
        <w:pStyle w:val="Prrafodelista"/>
        <w:numPr>
          <w:ilvl w:val="0"/>
          <w:numId w:val="3"/>
        </w:numPr>
        <w:kinsoku w:val="0"/>
        <w:overflowPunct w:val="0"/>
        <w:autoSpaceDE w:val="0"/>
        <w:autoSpaceDN w:val="0"/>
        <w:adjustRightInd w:val="0"/>
        <w:spacing w:before="172" w:after="0" w:line="360" w:lineRule="auto"/>
        <w:ind w:right="110"/>
        <w:jc w:val="both"/>
        <w:rPr>
          <w:rFonts w:ascii="Museo Sans 300" w:eastAsia="MS Mincho" w:hAnsi="Museo Sans 300" w:cs="Times New Roman"/>
          <w:iCs/>
          <w:w w:val="105"/>
          <w:lang w:eastAsia="es-ES"/>
        </w:rPr>
      </w:pPr>
      <w:r w:rsidRPr="008B479F">
        <w:rPr>
          <w:rFonts w:ascii="Museo Sans 300" w:eastAsia="MS Mincho" w:hAnsi="Museo Sans 300" w:cs="Times New Roman"/>
          <w:iCs/>
          <w:w w:val="105"/>
          <w:lang w:eastAsia="es-ES"/>
        </w:rPr>
        <w:t>Normas y Reglamentos Regionales</w:t>
      </w:r>
    </w:p>
    <w:p w:rsidR="00661AA1" w:rsidRDefault="00661AA1" w:rsidP="00661AA1">
      <w:pPr>
        <w:pStyle w:val="Prrafodelista"/>
        <w:kinsoku w:val="0"/>
        <w:overflowPunct w:val="0"/>
        <w:autoSpaceDE w:val="0"/>
        <w:autoSpaceDN w:val="0"/>
        <w:adjustRightInd w:val="0"/>
        <w:spacing w:before="172" w:after="0" w:line="360" w:lineRule="auto"/>
        <w:ind w:right="110"/>
        <w:jc w:val="both"/>
        <w:rPr>
          <w:rFonts w:ascii="Museo Sans 300" w:eastAsia="MS Mincho" w:hAnsi="Museo Sans 300" w:cs="Times New Roman"/>
          <w:iCs/>
          <w:w w:val="105"/>
          <w:lang w:eastAsia="es-ES"/>
        </w:rPr>
      </w:pPr>
    </w:p>
    <w:p w:rsidR="00661AA1" w:rsidRDefault="00661AA1" w:rsidP="00661AA1">
      <w:pPr>
        <w:pStyle w:val="Prrafodelista"/>
        <w:numPr>
          <w:ilvl w:val="0"/>
          <w:numId w:val="8"/>
        </w:numPr>
        <w:kinsoku w:val="0"/>
        <w:overflowPunct w:val="0"/>
        <w:autoSpaceDE w:val="0"/>
        <w:autoSpaceDN w:val="0"/>
        <w:adjustRightInd w:val="0"/>
        <w:spacing w:before="172" w:after="0" w:line="360" w:lineRule="auto"/>
        <w:ind w:right="110"/>
        <w:jc w:val="both"/>
        <w:rPr>
          <w:rFonts w:ascii="Museo Sans 300" w:eastAsia="MS Mincho" w:hAnsi="Museo Sans 300" w:cs="Times New Roman"/>
          <w:iCs/>
          <w:w w:val="105"/>
          <w:lang w:eastAsia="es-ES"/>
        </w:rPr>
      </w:pPr>
      <w:r w:rsidRPr="008B479F">
        <w:rPr>
          <w:rFonts w:ascii="Museo Sans 300" w:eastAsia="MS Mincho" w:hAnsi="Museo Sans 300" w:cs="Times New Roman"/>
          <w:iCs/>
          <w:w w:val="105"/>
          <w:lang w:eastAsia="es-ES"/>
        </w:rPr>
        <w:t>Descripción general de los acuerdos bilaterales de servicios aéreos (BASA) (países con cielos abiertos y aquellos con restricciones de capacidad de asientos)</w:t>
      </w:r>
    </w:p>
    <w:p w:rsidR="00661AA1" w:rsidRPr="00717362" w:rsidRDefault="00661AA1" w:rsidP="009E2DFF">
      <w:pPr>
        <w:spacing w:after="0" w:line="300" w:lineRule="auto"/>
        <w:jc w:val="both"/>
        <w:rPr>
          <w:rFonts w:ascii="Museo Sans 300" w:eastAsia="Times New Roman" w:hAnsi="Museo Sans 300" w:cs="Calibri Light"/>
          <w:i/>
          <w:lang w:eastAsia="es-ES"/>
        </w:rPr>
      </w:pPr>
    </w:p>
    <w:p w:rsidR="009E2DFF" w:rsidRPr="005E25F2" w:rsidRDefault="009E2DFF" w:rsidP="00C25160">
      <w:pPr>
        <w:tabs>
          <w:tab w:val="left" w:pos="4080"/>
        </w:tabs>
        <w:spacing w:after="0" w:line="360" w:lineRule="auto"/>
        <w:jc w:val="both"/>
        <w:rPr>
          <w:rFonts w:ascii="Museo Sans 300" w:eastAsia="Times New Roman" w:hAnsi="Museo Sans 300" w:cs="Calibri Light"/>
          <w:lang w:eastAsia="es-ES"/>
        </w:rPr>
      </w:pPr>
      <w:r w:rsidRPr="005E25F2">
        <w:rPr>
          <w:rFonts w:ascii="Museo Sans 300" w:eastAsia="Times New Roman" w:hAnsi="Museo Sans 300" w:cs="Calibri Light"/>
          <w:lang w:eastAsia="es-ES"/>
        </w:rPr>
        <w:t xml:space="preserve">Para pronunciarse sobre </w:t>
      </w:r>
      <w:r>
        <w:rPr>
          <w:rFonts w:ascii="Museo Sans 300" w:eastAsia="Times New Roman" w:hAnsi="Museo Sans 300" w:cs="Calibri Light"/>
          <w:lang w:eastAsia="es-ES"/>
        </w:rPr>
        <w:t xml:space="preserve">la </w:t>
      </w:r>
      <w:r w:rsidRPr="005E25F2">
        <w:rPr>
          <w:rFonts w:ascii="Museo Sans 300" w:eastAsia="Times New Roman" w:hAnsi="Museo Sans 300" w:cs="Calibri Light"/>
          <w:lang w:eastAsia="es-ES"/>
        </w:rPr>
        <w:t>procedencia de la información solicitada, se analizará de la siguiente manera: (I) Breve referencia al Derecho de Acceso a la Información Pública; (II) Sobre la inexistencia de información; IV) Sobre la procedencia de la solicitud de información.</w:t>
      </w:r>
    </w:p>
    <w:p w:rsidR="009E2DFF" w:rsidRPr="005E25F2" w:rsidRDefault="009E2DFF" w:rsidP="009E2DFF">
      <w:pPr>
        <w:tabs>
          <w:tab w:val="left" w:pos="4080"/>
        </w:tabs>
        <w:spacing w:after="0" w:line="360" w:lineRule="auto"/>
        <w:jc w:val="both"/>
        <w:rPr>
          <w:rFonts w:ascii="Museo Sans 300" w:eastAsia="Times New Roman" w:hAnsi="Museo Sans 300" w:cs="Calibri Light"/>
          <w:lang w:eastAsia="es-ES"/>
        </w:rPr>
      </w:pPr>
    </w:p>
    <w:p w:rsidR="009E2DFF" w:rsidRPr="005E25F2" w:rsidRDefault="009E2DFF" w:rsidP="009E2DFF">
      <w:pPr>
        <w:spacing w:after="0" w:line="360" w:lineRule="auto"/>
        <w:jc w:val="both"/>
        <w:rPr>
          <w:rFonts w:ascii="Museo Sans 300" w:eastAsia="Times New Roman" w:hAnsi="Museo Sans 300" w:cs="Calibri Light"/>
          <w:lang w:eastAsia="es-ES"/>
        </w:rPr>
      </w:pPr>
      <w:r w:rsidRPr="005E25F2">
        <w:rPr>
          <w:rFonts w:ascii="Museo Sans 300" w:eastAsia="Times New Roman" w:hAnsi="Museo Sans 300" w:cs="Calibri Light"/>
          <w:lang w:eastAsia="es-ES"/>
        </w:rPr>
        <w:tab/>
      </w:r>
      <w:r w:rsidRPr="005E25F2">
        <w:rPr>
          <w:rFonts w:ascii="Museo Sans 300" w:eastAsia="Times New Roman" w:hAnsi="Museo Sans 300" w:cs="Calibri Light"/>
          <w:b/>
          <w:lang w:eastAsia="es-ES"/>
        </w:rPr>
        <w:t>I.</w:t>
      </w:r>
      <w:r w:rsidRPr="005E25F2">
        <w:rPr>
          <w:rFonts w:ascii="Museo Sans 300" w:eastAsia="Times New Roman" w:hAnsi="Museo Sans 300" w:cs="Calibri Light"/>
          <w:lang w:eastAsia="es-ES"/>
        </w:rPr>
        <w:t xml:space="preserve"> El Derecho de Acceso a la Información Pública (DAIP) es un derecho constitucional “implícito”; es decir, no regulado expresamente por la Constitución (Cn), pero que tiene una condición indiscutible de derecho fundamental surgida del derecho a la libertad de expresión regulado en el artículo 6 de la Cn.</w:t>
      </w:r>
    </w:p>
    <w:p w:rsidR="009E2DFF" w:rsidRPr="005E25F2" w:rsidRDefault="009E2DFF" w:rsidP="009E2DFF">
      <w:pPr>
        <w:spacing w:after="0" w:line="360" w:lineRule="auto"/>
        <w:jc w:val="both"/>
        <w:rPr>
          <w:rFonts w:ascii="Museo Sans 300" w:eastAsia="Times New Roman" w:hAnsi="Museo Sans 300" w:cs="Calibri Light"/>
          <w:lang w:eastAsia="es-ES"/>
        </w:rPr>
      </w:pPr>
    </w:p>
    <w:p w:rsidR="009E2DFF" w:rsidRPr="005E25F2" w:rsidRDefault="009E2DFF" w:rsidP="009E2DFF">
      <w:pPr>
        <w:spacing w:after="0" w:line="360" w:lineRule="auto"/>
        <w:jc w:val="both"/>
        <w:rPr>
          <w:rFonts w:ascii="Museo Sans 300" w:eastAsia="Times New Roman" w:hAnsi="Museo Sans 300" w:cs="Calibri Light"/>
          <w:lang w:eastAsia="es-ES"/>
        </w:rPr>
      </w:pPr>
      <w:r w:rsidRPr="005E25F2">
        <w:rPr>
          <w:rFonts w:ascii="Museo Sans 300" w:eastAsia="Times New Roman" w:hAnsi="Museo Sans 300" w:cs="Calibri Light"/>
          <w:lang w:eastAsia="es-ES"/>
        </w:rPr>
        <w:tab/>
        <w:t>El DAIP comprende la facultad de buscar, recibir y difundir datos, ideas o información de toda índole, pública o privada, que tengan “interés público”. Este “derecho a saber” se enmarca en el ámbito de las libertades individuales, aunque también tiene un carácter colectivo que adquiere relevancia para el fortalecimiento del Estado democrático de derecho, porque su ejercicio garantiza la transparencia y permite a las personas acceder libremente a la información en poder de las instituciones del Estado, como mecanismo de control social a la gestión pública.</w:t>
      </w:r>
    </w:p>
    <w:p w:rsidR="009E2DFF" w:rsidRPr="005E25F2" w:rsidRDefault="009E2DFF" w:rsidP="009E2DFF">
      <w:pPr>
        <w:spacing w:after="0" w:line="360" w:lineRule="auto"/>
        <w:jc w:val="both"/>
        <w:rPr>
          <w:rFonts w:ascii="Museo Sans 300" w:eastAsia="Times New Roman" w:hAnsi="Museo Sans 300" w:cs="Calibri Light"/>
          <w:lang w:eastAsia="es-ES"/>
        </w:rPr>
      </w:pPr>
    </w:p>
    <w:p w:rsidR="009E2DFF" w:rsidRPr="005E25F2" w:rsidRDefault="009E2DFF" w:rsidP="009E2DFF">
      <w:pPr>
        <w:spacing w:after="0" w:line="360" w:lineRule="auto"/>
        <w:jc w:val="both"/>
        <w:rPr>
          <w:rFonts w:ascii="Museo Sans 300" w:eastAsia="Times New Roman" w:hAnsi="Museo Sans 300" w:cs="Calibri Light"/>
          <w:lang w:eastAsia="es-ES"/>
        </w:rPr>
      </w:pPr>
      <w:r w:rsidRPr="005E25F2">
        <w:rPr>
          <w:rFonts w:ascii="Museo Sans 300" w:eastAsia="Times New Roman" w:hAnsi="Museo Sans 300" w:cs="Calibri Light"/>
          <w:lang w:eastAsia="es-ES"/>
        </w:rPr>
        <w:lastRenderedPageBreak/>
        <w:tab/>
        <w:t xml:space="preserve">La Ley de Acceso a la Información Pública, en adelante -LAIP-, brinda una definición de lo que deberá entenderse por “Información Pública”, estableciendo, que es aquella en poder de los entes obligados contenida en </w:t>
      </w:r>
      <w:r w:rsidRPr="005E25F2">
        <w:rPr>
          <w:rFonts w:ascii="Museo Sans 300" w:eastAsia="Times New Roman" w:hAnsi="Museo Sans 300" w:cs="Calibri Light"/>
          <w:b/>
          <w:i/>
          <w:lang w:eastAsia="es-ES"/>
        </w:rPr>
        <w:t>documentos, archivos, datos, bases de datos, comunicaciones y todo tipo de registros que documenten el ejercicio de sus facultades o actividades</w:t>
      </w:r>
      <w:r w:rsidRPr="005E25F2">
        <w:rPr>
          <w:rFonts w:ascii="Museo Sans 300" w:eastAsia="Times New Roman" w:hAnsi="Museo Sans 300" w:cs="Calibri Light"/>
          <w:lang w:eastAsia="es-ES"/>
        </w:rPr>
        <w:t>, que consten en cualquier medio, ya sea impreso, óptico o electrónico, independientemente de su fuente, fecha de elaboración, y que no sea confidencial. Dicha información podrá haber sido generada, obtenida, transformada o conservada por éstos a cualquier título.</w:t>
      </w:r>
    </w:p>
    <w:p w:rsidR="009E2DFF" w:rsidRPr="005E25F2" w:rsidRDefault="009E2DFF" w:rsidP="009E2DFF">
      <w:pPr>
        <w:spacing w:after="0" w:line="360" w:lineRule="auto"/>
        <w:jc w:val="both"/>
        <w:rPr>
          <w:rFonts w:ascii="Museo Sans 300" w:eastAsia="Times New Roman" w:hAnsi="Museo Sans 300" w:cs="Calibri Light"/>
          <w:lang w:eastAsia="es-ES"/>
        </w:rPr>
      </w:pPr>
    </w:p>
    <w:p w:rsidR="009E2DFF" w:rsidRPr="005E25F2" w:rsidRDefault="009E2DFF" w:rsidP="006E4D8E">
      <w:pPr>
        <w:spacing w:after="0" w:line="360" w:lineRule="auto"/>
        <w:ind w:firstLine="709"/>
        <w:jc w:val="both"/>
        <w:rPr>
          <w:rFonts w:ascii="Museo Sans 300" w:eastAsia="Times New Roman" w:hAnsi="Museo Sans 300" w:cs="Calibri Light"/>
          <w:i/>
          <w:lang w:eastAsia="es-ES"/>
        </w:rPr>
      </w:pPr>
      <w:r w:rsidRPr="005E25F2">
        <w:rPr>
          <w:rFonts w:ascii="Museo Sans 300" w:eastAsia="Times New Roman" w:hAnsi="Museo Sans 300" w:cs="Calibri Light"/>
          <w:b/>
          <w:lang w:eastAsia="es-ES"/>
        </w:rPr>
        <w:t>II.</w:t>
      </w:r>
      <w:r w:rsidRPr="005E25F2">
        <w:rPr>
          <w:rFonts w:ascii="Museo Sans 300" w:eastAsia="Times New Roman" w:hAnsi="Museo Sans 300" w:cs="Calibri Light"/>
          <w:lang w:eastAsia="es-ES"/>
        </w:rPr>
        <w:t xml:space="preserve"> </w:t>
      </w:r>
      <w:r w:rsidRPr="005E25F2">
        <w:rPr>
          <w:rFonts w:ascii="Museo Sans 300" w:eastAsia="Times New Roman" w:hAnsi="Museo Sans 300" w:cs="Calibri Light"/>
          <w:i/>
          <w:lang w:eastAsia="es-ES"/>
        </w:rPr>
        <w:t xml:space="preserve">En cuanto a la inexistencia de información, el Instituto de Acceso a la Información Pública –IAIP-, ha sostenido en sus resoluciones que la figura procede, cuando se configuran alguna de las siguientes causales: </w:t>
      </w:r>
      <w:r w:rsidRPr="005E25F2">
        <w:rPr>
          <w:rFonts w:ascii="Museo Sans 300" w:eastAsia="Times New Roman" w:hAnsi="Museo Sans 300" w:cs="Calibri Light"/>
          <w:b/>
          <w:bCs/>
          <w:i/>
          <w:lang w:eastAsia="es-ES"/>
        </w:rPr>
        <w:t>a) que nunca se haya generado el documento respectivo,</w:t>
      </w:r>
      <w:r w:rsidRPr="005E25F2">
        <w:rPr>
          <w:rFonts w:ascii="Museo Sans 300" w:eastAsia="Times New Roman" w:hAnsi="Museo Sans 300" w:cs="Calibri Light"/>
          <w:b/>
          <w:i/>
          <w:lang w:eastAsia="es-ES"/>
        </w:rPr>
        <w:t xml:space="preserve"> </w:t>
      </w:r>
      <w:r w:rsidRPr="005E25F2">
        <w:rPr>
          <w:rFonts w:ascii="Museo Sans 300" w:eastAsia="Times New Roman" w:hAnsi="Museo Sans 300" w:cs="Calibri Light"/>
          <w:i/>
          <w:lang w:eastAsia="es-ES"/>
        </w:rPr>
        <w:t xml:space="preserve">b) que el documento se encuentre en los archivos del ente obligado, pero se haya destruido por su antigüedad, fuerza mayor o caso fortuito; </w:t>
      </w:r>
      <w:r w:rsidRPr="005E25F2">
        <w:rPr>
          <w:rFonts w:ascii="Museo Sans 300" w:eastAsia="Times New Roman" w:hAnsi="Museo Sans 300" w:cs="Calibri Light"/>
          <w:bCs/>
          <w:i/>
          <w:lang w:eastAsia="es-ES"/>
        </w:rPr>
        <w:t>y c) que la información haya estado en los archivos de la dependencia o entidad y su inexistencia se derive de su destrucción.</w:t>
      </w:r>
      <w:r w:rsidRPr="005E25F2">
        <w:rPr>
          <w:rFonts w:ascii="Museo Sans 300" w:eastAsia="Times New Roman" w:hAnsi="Museo Sans 300" w:cs="Calibri Light"/>
          <w:b/>
          <w:bCs/>
          <w:i/>
          <w:lang w:eastAsia="es-ES"/>
        </w:rPr>
        <w:t xml:space="preserve"> </w:t>
      </w:r>
      <w:r w:rsidR="00661AA1">
        <w:rPr>
          <w:rFonts w:ascii="Museo Sans 300" w:eastAsia="Times New Roman" w:hAnsi="Museo Sans 300" w:cs="Calibri Light"/>
          <w:i/>
          <w:lang w:eastAsia="es-ES"/>
        </w:rPr>
        <w:t xml:space="preserve">  </w:t>
      </w:r>
    </w:p>
    <w:p w:rsidR="009E2DFF" w:rsidRPr="005E25F2" w:rsidRDefault="009E2DFF" w:rsidP="00C97E57">
      <w:pPr>
        <w:spacing w:after="0" w:line="360" w:lineRule="auto"/>
        <w:jc w:val="both"/>
        <w:rPr>
          <w:rFonts w:ascii="Museo Sans 300" w:eastAsia="Times New Roman" w:hAnsi="Museo Sans 300" w:cs="Calibri Light"/>
          <w:i/>
          <w:lang w:eastAsia="es-ES"/>
        </w:rPr>
      </w:pPr>
    </w:p>
    <w:p w:rsidR="003D2CD8" w:rsidRDefault="009E2DFF" w:rsidP="00C97E57">
      <w:pPr>
        <w:spacing w:after="0" w:line="360" w:lineRule="auto"/>
        <w:ind w:firstLine="709"/>
        <w:jc w:val="both"/>
        <w:rPr>
          <w:rFonts w:ascii="Museo Sans 300" w:eastAsia="Times New Roman" w:hAnsi="Museo Sans 300" w:cs="Calibri Light"/>
          <w:i/>
          <w:lang w:eastAsia="es-ES"/>
        </w:rPr>
      </w:pPr>
      <w:r w:rsidRPr="005E25F2">
        <w:rPr>
          <w:rFonts w:ascii="Museo Sans 300" w:eastAsia="Times New Roman" w:hAnsi="Museo Sans 300" w:cs="Calibri Light"/>
          <w:i/>
          <w:lang w:eastAsia="es-ES"/>
        </w:rPr>
        <w:t xml:space="preserve">Por tanto, como se ha expresado </w:t>
      </w:r>
      <w:r>
        <w:rPr>
          <w:rFonts w:ascii="Museo Sans 300" w:eastAsia="Times New Roman" w:hAnsi="Museo Sans 300" w:cs="Calibri Light"/>
          <w:i/>
          <w:lang w:eastAsia="es-ES"/>
        </w:rPr>
        <w:t>anteriormente</w:t>
      </w:r>
      <w:r w:rsidRPr="005E25F2">
        <w:rPr>
          <w:rFonts w:ascii="Museo Sans 300" w:eastAsia="Times New Roman" w:hAnsi="Museo Sans 300" w:cs="Calibri Light"/>
          <w:i/>
          <w:lang w:eastAsia="es-ES"/>
        </w:rPr>
        <w:t xml:space="preserve">, una solicitud de información debe recaer sobre </w:t>
      </w:r>
      <w:r w:rsidRPr="005E25F2">
        <w:rPr>
          <w:rFonts w:ascii="Museo Sans 300" w:eastAsia="Times New Roman" w:hAnsi="Museo Sans 300" w:cs="Calibri Light"/>
          <w:b/>
          <w:i/>
          <w:u w:val="single"/>
          <w:lang w:eastAsia="es-ES"/>
        </w:rPr>
        <w:t>documentos, archivos, datos, bases de datos, comunicaciones y todo tipo de registros que documenten el ejercicio de sus facultades o actividades, que consten en cualquier medio, ya sea impreso, óptico o electrónico</w:t>
      </w:r>
      <w:r w:rsidRPr="00996B20">
        <w:rPr>
          <w:rFonts w:ascii="Museo Sans 300" w:eastAsia="Times New Roman" w:hAnsi="Museo Sans 300" w:cs="Calibri Light"/>
          <w:i/>
          <w:lang w:eastAsia="es-ES"/>
        </w:rPr>
        <w:t xml:space="preserve"> y no habiéndose generado </w:t>
      </w:r>
      <w:r w:rsidR="003D2CD8">
        <w:rPr>
          <w:rFonts w:ascii="Museo Sans 300" w:eastAsia="Times New Roman" w:hAnsi="Museo Sans 300" w:cs="Calibri Light"/>
          <w:i/>
          <w:lang w:eastAsia="es-ES"/>
        </w:rPr>
        <w:t>información en el AIES-SOARG relativa a:</w:t>
      </w:r>
      <w:r w:rsidR="002D0C58">
        <w:rPr>
          <w:rFonts w:ascii="Museo Sans 300" w:eastAsia="Times New Roman" w:hAnsi="Museo Sans 300" w:cs="Calibri Light"/>
          <w:i/>
          <w:lang w:eastAsia="es-ES"/>
        </w:rPr>
        <w:t xml:space="preserve"> Por tipo de bienes (descripción</w:t>
      </w:r>
      <w:r w:rsidR="003D2CD8">
        <w:rPr>
          <w:rFonts w:ascii="Museo Sans 300" w:eastAsia="Times New Roman" w:hAnsi="Museo Sans 300" w:cs="Calibri Light"/>
          <w:i/>
          <w:lang w:eastAsia="es-ES"/>
        </w:rPr>
        <w:t xml:space="preserve"> del mercado de carga); </w:t>
      </w:r>
      <w:r w:rsidR="006B00D9">
        <w:rPr>
          <w:rFonts w:ascii="Museo Sans 300" w:eastAsia="Times New Roman" w:hAnsi="Museo Sans 300" w:cs="Calibri Light"/>
          <w:i/>
          <w:lang w:eastAsia="es-ES"/>
        </w:rPr>
        <w:t>Pronóstico</w:t>
      </w:r>
      <w:r w:rsidR="002D0C58">
        <w:rPr>
          <w:rFonts w:ascii="Museo Sans 300" w:eastAsia="Times New Roman" w:hAnsi="Museo Sans 300" w:cs="Calibri Light"/>
          <w:i/>
          <w:lang w:eastAsia="es-ES"/>
        </w:rPr>
        <w:t xml:space="preserve"> de la demanda de trafico anual de pasajeros (Preferibleme</w:t>
      </w:r>
      <w:r w:rsidR="003D2CD8">
        <w:rPr>
          <w:rFonts w:ascii="Museo Sans 300" w:eastAsia="Times New Roman" w:hAnsi="Museo Sans 300" w:cs="Calibri Light"/>
          <w:i/>
          <w:lang w:eastAsia="es-ES"/>
        </w:rPr>
        <w:t>nte hasta el año 2035;</w:t>
      </w:r>
      <w:r w:rsidR="006B00D9">
        <w:rPr>
          <w:rFonts w:ascii="Museo Sans 300" w:eastAsia="Times New Roman" w:hAnsi="Museo Sans 300" w:cs="Calibri Light"/>
          <w:i/>
          <w:lang w:eastAsia="es-ES"/>
        </w:rPr>
        <w:t xml:space="preserve"> Pronóstico</w:t>
      </w:r>
      <w:r w:rsidR="002D0C58">
        <w:rPr>
          <w:rFonts w:ascii="Museo Sans 300" w:eastAsia="Times New Roman" w:hAnsi="Museo Sans 300" w:cs="Calibri Light"/>
          <w:i/>
          <w:lang w:eastAsia="es-ES"/>
        </w:rPr>
        <w:t xml:space="preserve"> de la demanda anual de aeronaves (Prefer</w:t>
      </w:r>
      <w:r w:rsidR="003D2CD8">
        <w:rPr>
          <w:rFonts w:ascii="Museo Sans 300" w:eastAsia="Times New Roman" w:hAnsi="Museo Sans 300" w:cs="Calibri Light"/>
          <w:i/>
          <w:lang w:eastAsia="es-ES"/>
        </w:rPr>
        <w:t xml:space="preserve">iblemente hasta el año 2035; </w:t>
      </w:r>
      <w:r w:rsidR="002D0C58">
        <w:rPr>
          <w:rFonts w:ascii="Museo Sans 300" w:eastAsia="Times New Roman" w:hAnsi="Museo Sans 300" w:cs="Calibri Light"/>
          <w:i/>
          <w:lang w:eastAsia="es-ES"/>
        </w:rPr>
        <w:t>Pronóstico de la demanda del volumen anual de carga aérea (preferiblemente hasta el añ</w:t>
      </w:r>
      <w:r w:rsidR="003D2CD8">
        <w:rPr>
          <w:rFonts w:ascii="Museo Sans 300" w:eastAsia="Times New Roman" w:hAnsi="Museo Sans 300" w:cs="Calibri Light"/>
          <w:i/>
          <w:lang w:eastAsia="es-ES"/>
        </w:rPr>
        <w:t>o 2035); p</w:t>
      </w:r>
      <w:r w:rsidR="006B00D9">
        <w:rPr>
          <w:rFonts w:ascii="Museo Sans 300" w:eastAsia="Times New Roman" w:hAnsi="Museo Sans 300" w:cs="Calibri Light"/>
          <w:i/>
          <w:lang w:eastAsia="es-ES"/>
        </w:rPr>
        <w:t>or mercado geográfico principal (preferible series tem</w:t>
      </w:r>
      <w:r w:rsidR="003D2CD8">
        <w:rPr>
          <w:rFonts w:ascii="Museo Sans 300" w:eastAsia="Times New Roman" w:hAnsi="Museo Sans 300" w:cs="Calibri Light"/>
          <w:i/>
          <w:lang w:eastAsia="es-ES"/>
        </w:rPr>
        <w:t>porales de más de 10 años; p</w:t>
      </w:r>
      <w:r w:rsidR="006B00D9">
        <w:rPr>
          <w:rFonts w:ascii="Museo Sans 300" w:eastAsia="Times New Roman" w:hAnsi="Museo Sans 300" w:cs="Calibri Light"/>
          <w:i/>
          <w:lang w:eastAsia="es-ES"/>
        </w:rPr>
        <w:t>or tipo de aeronave (mezcla de flota en intervalos de 5 años: 2005, 2010.2015, 20</w:t>
      </w:r>
      <w:r w:rsidR="003D2CD8">
        <w:rPr>
          <w:rFonts w:ascii="Museo Sans 300" w:eastAsia="Times New Roman" w:hAnsi="Museo Sans 300" w:cs="Calibri Light"/>
          <w:i/>
          <w:lang w:eastAsia="es-ES"/>
        </w:rPr>
        <w:t>18, donde esté disponible); n</w:t>
      </w:r>
      <w:r w:rsidR="006B00D9">
        <w:rPr>
          <w:rFonts w:ascii="Museo Sans 300" w:eastAsia="Times New Roman" w:hAnsi="Museo Sans 300" w:cs="Calibri Light"/>
          <w:i/>
          <w:lang w:eastAsia="es-ES"/>
        </w:rPr>
        <w:t>iveles de actividad del período pico (</w:t>
      </w:r>
      <w:proofErr w:type="spellStart"/>
      <w:r w:rsidR="006B00D9">
        <w:rPr>
          <w:rFonts w:ascii="Museo Sans 300" w:eastAsia="Times New Roman" w:hAnsi="Museo Sans 300" w:cs="Calibri Light"/>
          <w:i/>
          <w:lang w:eastAsia="es-ES"/>
        </w:rPr>
        <w:t>atms</w:t>
      </w:r>
      <w:proofErr w:type="spellEnd"/>
      <w:r w:rsidR="006B00D9">
        <w:rPr>
          <w:rFonts w:ascii="Museo Sans 300" w:eastAsia="Times New Roman" w:hAnsi="Museo Sans 300" w:cs="Calibri Light"/>
          <w:i/>
          <w:lang w:eastAsia="es-ES"/>
        </w:rPr>
        <w:t xml:space="preserve"> en horas pico en desgloses relevantes (domésticos vs internacionales, origen-destino vs transfer)</w:t>
      </w:r>
      <w:r w:rsidR="002D6A8F">
        <w:rPr>
          <w:rFonts w:ascii="Museo Sans 300" w:eastAsia="Times New Roman" w:hAnsi="Museo Sans 300" w:cs="Calibri Light"/>
          <w:i/>
          <w:lang w:eastAsia="es-ES"/>
        </w:rPr>
        <w:t xml:space="preserve">; </w:t>
      </w:r>
    </w:p>
    <w:p w:rsidR="003D2CD8" w:rsidRDefault="003D2CD8" w:rsidP="00C97E57">
      <w:pPr>
        <w:spacing w:after="0" w:line="360" w:lineRule="auto"/>
        <w:ind w:firstLine="709"/>
        <w:jc w:val="both"/>
        <w:rPr>
          <w:rFonts w:ascii="Museo Sans 300" w:eastAsia="Times New Roman" w:hAnsi="Museo Sans 300" w:cs="Calibri Light"/>
          <w:i/>
          <w:lang w:eastAsia="es-ES"/>
        </w:rPr>
      </w:pPr>
    </w:p>
    <w:p w:rsidR="009E2DFF" w:rsidRDefault="003D2CD8" w:rsidP="00C97E57">
      <w:pPr>
        <w:spacing w:after="0" w:line="360" w:lineRule="auto"/>
        <w:ind w:firstLine="709"/>
        <w:jc w:val="both"/>
        <w:rPr>
          <w:rFonts w:ascii="Museo Sans 300" w:eastAsia="Times New Roman" w:hAnsi="Museo Sans 300" w:cs="Calibri Light"/>
          <w:i/>
          <w:lang w:eastAsia="es-ES"/>
        </w:rPr>
      </w:pPr>
      <w:r>
        <w:rPr>
          <w:rFonts w:ascii="Museo Sans 300" w:eastAsia="Times New Roman" w:hAnsi="Museo Sans 300" w:cs="Calibri Light"/>
          <w:i/>
          <w:lang w:eastAsia="es-ES"/>
        </w:rPr>
        <w:t xml:space="preserve">En el caso de AILO </w:t>
      </w:r>
      <w:r>
        <w:rPr>
          <w:rFonts w:ascii="Museo Sans 300" w:eastAsia="Times New Roman" w:hAnsi="Museo Sans 300" w:cs="Calibri Light"/>
          <w:b/>
          <w:i/>
          <w:lang w:eastAsia="es-ES"/>
        </w:rPr>
        <w:t xml:space="preserve">no se ha generado la siguiente información: </w:t>
      </w:r>
      <w:r w:rsidR="009B783B">
        <w:rPr>
          <w:rFonts w:ascii="Museo Sans 300" w:eastAsia="Times New Roman" w:hAnsi="Museo Sans 300" w:cs="Calibri Light"/>
          <w:i/>
          <w:lang w:eastAsia="es-ES"/>
        </w:rPr>
        <w:t>Informe Anual del sector Aér</w:t>
      </w:r>
      <w:r>
        <w:rPr>
          <w:rFonts w:ascii="Museo Sans 300" w:eastAsia="Times New Roman" w:hAnsi="Museo Sans 300" w:cs="Calibri Light"/>
          <w:i/>
          <w:lang w:eastAsia="es-ES"/>
        </w:rPr>
        <w:t>eo; p</w:t>
      </w:r>
      <w:r w:rsidR="009B783B">
        <w:rPr>
          <w:rFonts w:ascii="Museo Sans 300" w:eastAsia="Times New Roman" w:hAnsi="Museo Sans 300" w:cs="Calibri Light"/>
          <w:i/>
          <w:lang w:eastAsia="es-ES"/>
        </w:rPr>
        <w:t xml:space="preserve">or origen destino versus transfer, versus </w:t>
      </w:r>
      <w:r w:rsidR="009B0C41">
        <w:rPr>
          <w:rFonts w:ascii="Museo Sans 300" w:eastAsia="Times New Roman" w:hAnsi="Museo Sans 300" w:cs="Calibri Light"/>
          <w:i/>
          <w:lang w:eastAsia="es-ES"/>
        </w:rPr>
        <w:t>tránsito</w:t>
      </w:r>
      <w:r w:rsidR="009B783B">
        <w:rPr>
          <w:rFonts w:ascii="Museo Sans 300" w:eastAsia="Times New Roman" w:hAnsi="Museo Sans 300" w:cs="Calibri Light"/>
          <w:i/>
          <w:lang w:eastAsia="es-ES"/>
        </w:rPr>
        <w:t xml:space="preserve"> (preferible series temporales de más de 10 años de datos de pas</w:t>
      </w:r>
      <w:r>
        <w:rPr>
          <w:rFonts w:ascii="Museo Sans 300" w:eastAsia="Times New Roman" w:hAnsi="Museo Sans 300" w:cs="Calibri Light"/>
          <w:i/>
          <w:lang w:eastAsia="es-ES"/>
        </w:rPr>
        <w:t>ajeros de origen/destino); p</w:t>
      </w:r>
      <w:r w:rsidR="009B783B">
        <w:rPr>
          <w:rFonts w:ascii="Museo Sans 300" w:eastAsia="Times New Roman" w:hAnsi="Museo Sans 300" w:cs="Calibri Light"/>
          <w:i/>
          <w:lang w:eastAsia="es-ES"/>
        </w:rPr>
        <w:t>or Nacional e Internacional (Preferiblemente series temporales de más de 10 años de datos de pasajeros</w:t>
      </w:r>
      <w:r>
        <w:rPr>
          <w:rFonts w:ascii="Museo Sans 300" w:eastAsia="Times New Roman" w:hAnsi="Museo Sans 300" w:cs="Calibri Light"/>
          <w:i/>
          <w:lang w:eastAsia="es-ES"/>
        </w:rPr>
        <w:t xml:space="preserve"> de origen/destino); p</w:t>
      </w:r>
      <w:r w:rsidR="009B783B">
        <w:rPr>
          <w:rFonts w:ascii="Museo Sans 300" w:eastAsia="Times New Roman" w:hAnsi="Museo Sans 300" w:cs="Calibri Light"/>
          <w:i/>
          <w:lang w:eastAsia="es-ES"/>
        </w:rPr>
        <w:t>or mercado geográfico principal (Preferiblemente series temporales de más de 10 años de datos pasajeros origen destino)</w:t>
      </w:r>
      <w:r>
        <w:rPr>
          <w:rFonts w:ascii="Museo Sans 300" w:eastAsia="Times New Roman" w:hAnsi="Museo Sans 300" w:cs="Calibri Light"/>
          <w:i/>
          <w:lang w:eastAsia="es-ES"/>
        </w:rPr>
        <w:t>; por aerolínea (p</w:t>
      </w:r>
      <w:r w:rsidR="009B0C41">
        <w:rPr>
          <w:rFonts w:ascii="Museo Sans 300" w:eastAsia="Times New Roman" w:hAnsi="Museo Sans 300" w:cs="Calibri Light"/>
          <w:i/>
          <w:lang w:eastAsia="es-ES"/>
        </w:rPr>
        <w:t>referiblemente series te</w:t>
      </w:r>
      <w:r>
        <w:rPr>
          <w:rFonts w:ascii="Museo Sans 300" w:eastAsia="Times New Roman" w:hAnsi="Museo Sans 300" w:cs="Calibri Light"/>
          <w:i/>
          <w:lang w:eastAsia="es-ES"/>
        </w:rPr>
        <w:t>mporales de más de 10 años); p</w:t>
      </w:r>
      <w:r w:rsidR="009B0C41">
        <w:rPr>
          <w:rFonts w:ascii="Museo Sans 300" w:eastAsia="Times New Roman" w:hAnsi="Museo Sans 300" w:cs="Calibri Light"/>
          <w:i/>
          <w:lang w:eastAsia="es-ES"/>
        </w:rPr>
        <w:t>or mes (en intervalos de 5 años</w:t>
      </w:r>
      <w:r>
        <w:rPr>
          <w:rFonts w:ascii="Museo Sans 300" w:eastAsia="Times New Roman" w:hAnsi="Museo Sans 300" w:cs="Calibri Light"/>
          <w:i/>
          <w:lang w:eastAsia="es-ES"/>
        </w:rPr>
        <w:t>, 2005, 2010,2018); n</w:t>
      </w:r>
      <w:r w:rsidR="009B0C41">
        <w:rPr>
          <w:rFonts w:ascii="Museo Sans 300" w:eastAsia="Times New Roman" w:hAnsi="Museo Sans 300" w:cs="Calibri Light"/>
          <w:i/>
          <w:lang w:eastAsia="es-ES"/>
        </w:rPr>
        <w:t xml:space="preserve">iveles de actividad del periodo pico </w:t>
      </w:r>
      <w:r w:rsidR="009B783B">
        <w:rPr>
          <w:rFonts w:ascii="Museo Sans 300" w:eastAsia="Times New Roman" w:hAnsi="Museo Sans 300" w:cs="Calibri Light"/>
          <w:i/>
          <w:lang w:eastAsia="es-ES"/>
        </w:rPr>
        <w:t xml:space="preserve"> </w:t>
      </w:r>
      <w:r w:rsidR="009B0C41">
        <w:rPr>
          <w:rFonts w:ascii="Museo Sans 300" w:eastAsia="Times New Roman" w:hAnsi="Museo Sans 300" w:cs="Calibri Light"/>
          <w:i/>
          <w:lang w:eastAsia="es-ES"/>
        </w:rPr>
        <w:t>(Pasajeros en horas pico en desgloses relevantes, internacional en horas pico en desgloses relevantes (nacional versus internacio</w:t>
      </w:r>
      <w:r>
        <w:rPr>
          <w:rFonts w:ascii="Museo Sans 300" w:eastAsia="Times New Roman" w:hAnsi="Museo Sans 300" w:cs="Calibri Light"/>
          <w:i/>
          <w:lang w:eastAsia="es-ES"/>
        </w:rPr>
        <w:t>nal O, D versus transfer); p</w:t>
      </w:r>
      <w:r w:rsidR="009B0C41">
        <w:rPr>
          <w:rFonts w:ascii="Museo Sans 300" w:eastAsia="Times New Roman" w:hAnsi="Museo Sans 300" w:cs="Calibri Light"/>
          <w:i/>
          <w:lang w:eastAsia="es-ES"/>
        </w:rPr>
        <w:t>or Aerolínea (Preferiblemente serie</w:t>
      </w:r>
      <w:r>
        <w:rPr>
          <w:rFonts w:ascii="Museo Sans 300" w:eastAsia="Times New Roman" w:hAnsi="Museo Sans 300" w:cs="Calibri Light"/>
          <w:i/>
          <w:lang w:eastAsia="es-ES"/>
        </w:rPr>
        <w:t>s temporales de 10 años); p</w:t>
      </w:r>
      <w:r w:rsidR="009B0C41">
        <w:rPr>
          <w:rFonts w:ascii="Museo Sans 300" w:eastAsia="Times New Roman" w:hAnsi="Museo Sans 300" w:cs="Calibri Light"/>
          <w:i/>
          <w:lang w:eastAsia="es-ES"/>
        </w:rPr>
        <w:t>or mercado geográfico principal (Preferiblemente seri</w:t>
      </w:r>
      <w:r>
        <w:rPr>
          <w:rFonts w:ascii="Museo Sans 300" w:eastAsia="Times New Roman" w:hAnsi="Museo Sans 300" w:cs="Calibri Light"/>
          <w:i/>
          <w:lang w:eastAsia="es-ES"/>
        </w:rPr>
        <w:t>es temporales de 10 años); p</w:t>
      </w:r>
      <w:r w:rsidR="009B0C41">
        <w:rPr>
          <w:rFonts w:ascii="Museo Sans 300" w:eastAsia="Times New Roman" w:hAnsi="Museo Sans 300" w:cs="Calibri Light"/>
          <w:i/>
          <w:lang w:eastAsia="es-ES"/>
        </w:rPr>
        <w:t>or tipo de aeronave (mezcla de flota en intervalos de cinco años: 2005, 2010,</w:t>
      </w:r>
      <w:r>
        <w:rPr>
          <w:rFonts w:ascii="Museo Sans 300" w:eastAsia="Times New Roman" w:hAnsi="Museo Sans 300" w:cs="Calibri Light"/>
          <w:i/>
          <w:lang w:eastAsia="es-ES"/>
        </w:rPr>
        <w:t xml:space="preserve"> </w:t>
      </w:r>
      <w:r w:rsidR="009B0C41">
        <w:rPr>
          <w:rFonts w:ascii="Museo Sans 300" w:eastAsia="Times New Roman" w:hAnsi="Museo Sans 300" w:cs="Calibri Light"/>
          <w:i/>
          <w:lang w:eastAsia="es-ES"/>
        </w:rPr>
        <w:t>2015</w:t>
      </w:r>
      <w:r>
        <w:rPr>
          <w:rFonts w:ascii="Museo Sans 300" w:eastAsia="Times New Roman" w:hAnsi="Museo Sans 300" w:cs="Calibri Light"/>
          <w:i/>
          <w:lang w:eastAsia="es-ES"/>
        </w:rPr>
        <w:t xml:space="preserve"> y 2018; s</w:t>
      </w:r>
      <w:r w:rsidR="00C97E57">
        <w:rPr>
          <w:rFonts w:ascii="Museo Sans 300" w:eastAsia="Times New Roman" w:hAnsi="Museo Sans 300" w:cs="Calibri Light"/>
          <w:i/>
          <w:lang w:eastAsia="es-ES"/>
        </w:rPr>
        <w:t xml:space="preserve">eries temporales anuales del volumen histórico carga aérea. </w:t>
      </w:r>
    </w:p>
    <w:p w:rsidR="003D2CD8" w:rsidRDefault="003D2CD8" w:rsidP="00C97E57">
      <w:pPr>
        <w:spacing w:after="0" w:line="360" w:lineRule="auto"/>
        <w:ind w:firstLine="709"/>
        <w:jc w:val="both"/>
        <w:rPr>
          <w:rFonts w:ascii="Museo Sans 300" w:eastAsia="Times New Roman" w:hAnsi="Museo Sans 300" w:cs="Calibri Light"/>
          <w:i/>
          <w:lang w:eastAsia="es-ES"/>
        </w:rPr>
      </w:pPr>
      <w:r>
        <w:rPr>
          <w:rFonts w:ascii="Museo Sans 300" w:eastAsia="Times New Roman" w:hAnsi="Museo Sans 300" w:cs="Calibri Light"/>
          <w:i/>
          <w:lang w:eastAsia="es-ES"/>
        </w:rPr>
        <w:t>Por tanto, la información solicitada que no ha sido generada, es debido a que no son datos relevantes en el giro ordinario de los aeropuerto</w:t>
      </w:r>
      <w:r w:rsidR="00BF0A2B">
        <w:rPr>
          <w:rFonts w:ascii="Museo Sans 300" w:eastAsia="Times New Roman" w:hAnsi="Museo Sans 300" w:cs="Calibri Light"/>
          <w:i/>
          <w:lang w:eastAsia="es-ES"/>
        </w:rPr>
        <w:t>s</w:t>
      </w:r>
      <w:r>
        <w:rPr>
          <w:rFonts w:ascii="Museo Sans 300" w:eastAsia="Times New Roman" w:hAnsi="Museo Sans 300" w:cs="Calibri Light"/>
          <w:i/>
          <w:lang w:eastAsia="es-ES"/>
        </w:rPr>
        <w:t>, y por tanto es documentación inexistente.</w:t>
      </w:r>
    </w:p>
    <w:p w:rsidR="006E4D8E" w:rsidRPr="005E25F2" w:rsidRDefault="006E4D8E" w:rsidP="009E2DFF">
      <w:pPr>
        <w:spacing w:after="0" w:line="300" w:lineRule="auto"/>
        <w:ind w:firstLine="709"/>
        <w:jc w:val="both"/>
        <w:rPr>
          <w:rFonts w:ascii="Museo Sans 300" w:eastAsia="Times New Roman" w:hAnsi="Museo Sans 300" w:cs="Calibri Light"/>
          <w:i/>
          <w:lang w:eastAsia="es-ES"/>
        </w:rPr>
      </w:pPr>
    </w:p>
    <w:p w:rsidR="009E2DFF" w:rsidRDefault="009E2DFF" w:rsidP="009E2DFF">
      <w:pPr>
        <w:tabs>
          <w:tab w:val="left" w:pos="4080"/>
        </w:tabs>
        <w:spacing w:after="0" w:line="276" w:lineRule="auto"/>
        <w:ind w:firstLine="709"/>
        <w:jc w:val="both"/>
        <w:rPr>
          <w:rFonts w:ascii="Museo Sans 300" w:eastAsia="Times New Roman" w:hAnsi="Museo Sans 300" w:cs="Calibri Light"/>
          <w:b/>
          <w:bCs/>
          <w:lang w:eastAsia="es-ES"/>
        </w:rPr>
      </w:pPr>
    </w:p>
    <w:p w:rsidR="009E2DFF" w:rsidRPr="005E25F2" w:rsidRDefault="009E2DFF" w:rsidP="009E2DFF">
      <w:pPr>
        <w:tabs>
          <w:tab w:val="left" w:pos="4080"/>
        </w:tabs>
        <w:spacing w:after="0" w:line="276" w:lineRule="auto"/>
        <w:ind w:firstLine="709"/>
        <w:jc w:val="both"/>
        <w:rPr>
          <w:rFonts w:ascii="Museo Sans 300" w:eastAsia="Times New Roman" w:hAnsi="Museo Sans 300" w:cs="Calibri Light"/>
          <w:b/>
          <w:lang w:eastAsia="es-ES"/>
        </w:rPr>
      </w:pPr>
      <w:r w:rsidRPr="005E25F2">
        <w:rPr>
          <w:rFonts w:ascii="Museo Sans 300" w:eastAsia="Times New Roman" w:hAnsi="Museo Sans 300" w:cs="Calibri Light"/>
          <w:b/>
          <w:bCs/>
          <w:lang w:eastAsia="es-ES"/>
        </w:rPr>
        <w:t>III.</w:t>
      </w:r>
      <w:r w:rsidRPr="005E25F2">
        <w:rPr>
          <w:rFonts w:ascii="Museo Sans 300" w:eastAsia="Times New Roman" w:hAnsi="Museo Sans 300" w:cs="Calibri Light"/>
          <w:lang w:eastAsia="es-ES"/>
        </w:rPr>
        <w:t xml:space="preserve"> Con base a lo solicitado y a los artículos 3 letra a), 62 inciso segundo y 72 letra c) y 73, de la Ley de Acceso a la Información Pública -LAIP-, se </w:t>
      </w:r>
      <w:r w:rsidRPr="005E25F2">
        <w:rPr>
          <w:rFonts w:ascii="Museo Sans 300" w:eastAsia="Times New Roman" w:hAnsi="Museo Sans 300" w:cs="Calibri Light"/>
          <w:b/>
          <w:lang w:eastAsia="es-ES"/>
        </w:rPr>
        <w:t>RESUELVE:</w:t>
      </w:r>
      <w:r w:rsidRPr="005E25F2">
        <w:rPr>
          <w:rFonts w:ascii="Museo Sans 300" w:eastAsia="Times New Roman" w:hAnsi="Museo Sans 300" w:cs="Calibri Light"/>
          <w:b/>
          <w:lang w:eastAsia="es-ES"/>
        </w:rPr>
        <w:tab/>
      </w:r>
    </w:p>
    <w:p w:rsidR="009E2DFF" w:rsidRPr="005E25F2" w:rsidRDefault="009E2DFF" w:rsidP="009E2DFF">
      <w:pPr>
        <w:spacing w:after="0" w:line="276" w:lineRule="auto"/>
        <w:jc w:val="both"/>
        <w:rPr>
          <w:rFonts w:ascii="Museo Sans 300" w:eastAsia="Times New Roman" w:hAnsi="Museo Sans 300" w:cs="Calibri Light"/>
          <w:lang w:eastAsia="es-ES"/>
        </w:rPr>
      </w:pPr>
    </w:p>
    <w:p w:rsidR="009E2DFF" w:rsidRDefault="009E2DFF" w:rsidP="00F96F06">
      <w:pPr>
        <w:numPr>
          <w:ilvl w:val="0"/>
          <w:numId w:val="1"/>
        </w:numPr>
        <w:spacing w:before="172" w:after="0" w:line="276" w:lineRule="auto"/>
        <w:ind w:left="851" w:right="108"/>
        <w:jc w:val="both"/>
        <w:rPr>
          <w:rFonts w:ascii="Museo Sans 300" w:eastAsia="Calibri" w:hAnsi="Museo Sans 300" w:cs="Calibri Light"/>
        </w:rPr>
      </w:pPr>
      <w:r w:rsidRPr="005E25F2">
        <w:rPr>
          <w:rFonts w:ascii="Museo Sans 300" w:eastAsia="Calibri" w:hAnsi="Museo Sans 300" w:cs="Calibri Light"/>
        </w:rPr>
        <w:t>Concédase</w:t>
      </w:r>
      <w:r w:rsidR="00BF0A2B">
        <w:rPr>
          <w:rFonts w:ascii="Museo Sans 300" w:eastAsia="Calibri" w:hAnsi="Museo Sans 300" w:cs="Calibri Light"/>
        </w:rPr>
        <w:t xml:space="preserve"> parcialmente,</w:t>
      </w:r>
      <w:r w:rsidRPr="005E25F2">
        <w:rPr>
          <w:rFonts w:ascii="Museo Sans 300" w:eastAsia="Calibri" w:hAnsi="Museo Sans 300" w:cs="Calibri Light"/>
        </w:rPr>
        <w:t xml:space="preserve"> la información requerida </w:t>
      </w:r>
      <w:r>
        <w:rPr>
          <w:rFonts w:ascii="Museo Sans 300" w:eastAsia="Calibri" w:hAnsi="Museo Sans 300" w:cs="Calibri Light"/>
        </w:rPr>
        <w:t xml:space="preserve">por </w:t>
      </w:r>
      <w:bookmarkStart w:id="0" w:name="_GoBack"/>
      <w:bookmarkEnd w:id="0"/>
      <w:r w:rsidR="00C97E57">
        <w:rPr>
          <w:rFonts w:ascii="Museo Sans 300" w:eastAsia="Calibri" w:hAnsi="Museo Sans 300" w:cs="Calibri Light"/>
        </w:rPr>
        <w:t>en formato digital</w:t>
      </w:r>
      <w:r w:rsidRPr="00F96F06">
        <w:rPr>
          <w:rFonts w:ascii="Museo Sans 300" w:eastAsia="Calibri" w:hAnsi="Museo Sans 300" w:cs="Calibri Light"/>
        </w:rPr>
        <w:t xml:space="preserve">, </w:t>
      </w:r>
      <w:r w:rsidR="00F96F06">
        <w:rPr>
          <w:rFonts w:ascii="Museo Sans 300" w:eastAsia="Calibri" w:hAnsi="Museo Sans 300" w:cs="Calibri Light"/>
        </w:rPr>
        <w:t>conforme a lo solicitado</w:t>
      </w:r>
      <w:r w:rsidR="00C97E57">
        <w:rPr>
          <w:rFonts w:ascii="Museo Sans 300" w:eastAsia="Calibri" w:hAnsi="Museo Sans 300" w:cs="Calibri Light"/>
        </w:rPr>
        <w:t xml:space="preserve">. </w:t>
      </w:r>
    </w:p>
    <w:p w:rsidR="00BF0A2B" w:rsidRPr="00F96F06" w:rsidRDefault="00BF0A2B" w:rsidP="00BF0A2B">
      <w:pPr>
        <w:spacing w:before="172" w:after="0" w:line="276" w:lineRule="auto"/>
        <w:ind w:left="851" w:right="108"/>
        <w:jc w:val="both"/>
        <w:rPr>
          <w:rFonts w:ascii="Museo Sans 300" w:eastAsia="Calibri" w:hAnsi="Museo Sans 300" w:cs="Calibri Light"/>
        </w:rPr>
      </w:pPr>
    </w:p>
    <w:p w:rsidR="00C97E57" w:rsidRDefault="009E2DFF" w:rsidP="00C97E57">
      <w:pPr>
        <w:numPr>
          <w:ilvl w:val="0"/>
          <w:numId w:val="1"/>
        </w:numPr>
        <w:spacing w:before="172" w:after="0" w:line="276" w:lineRule="auto"/>
        <w:ind w:left="851" w:right="108"/>
        <w:jc w:val="both"/>
        <w:rPr>
          <w:rFonts w:ascii="Museo Sans 300" w:eastAsia="Calibri" w:hAnsi="Museo Sans 300" w:cs="Calibri Light"/>
        </w:rPr>
      </w:pPr>
      <w:r w:rsidRPr="005E25F2">
        <w:rPr>
          <w:rFonts w:ascii="Museo Sans 300" w:eastAsia="Calibri" w:hAnsi="Museo Sans 300" w:cs="Calibri Light"/>
        </w:rPr>
        <w:t xml:space="preserve">Declárese inexistente </w:t>
      </w:r>
      <w:r>
        <w:rPr>
          <w:rFonts w:ascii="Museo Sans 300" w:eastAsia="Calibri" w:hAnsi="Museo Sans 300" w:cs="Calibri Light"/>
        </w:rPr>
        <w:t>la</w:t>
      </w:r>
      <w:r w:rsidR="00BF0A2B">
        <w:rPr>
          <w:rFonts w:ascii="Museo Sans 300" w:eastAsia="Calibri" w:hAnsi="Museo Sans 300" w:cs="Calibri Light"/>
        </w:rPr>
        <w:t xml:space="preserve"> información detallada en el romano II </w:t>
      </w:r>
      <w:r w:rsidR="00F96F06">
        <w:rPr>
          <w:rFonts w:ascii="Museo Sans 300" w:eastAsia="Calibri" w:hAnsi="Museo Sans 300" w:cs="Calibri Light"/>
        </w:rPr>
        <w:t>respecto al Aeropuerto Internacional de El Salvador San Óscar Arnulfo Romero y Galdámez y</w:t>
      </w:r>
      <w:r w:rsidR="00C97E57">
        <w:rPr>
          <w:rFonts w:ascii="Museo Sans 300" w:eastAsia="Calibri" w:hAnsi="Museo Sans 300" w:cs="Calibri Light"/>
        </w:rPr>
        <w:t xml:space="preserve"> el Aeropuerto Internacional de Ilopango.</w:t>
      </w:r>
    </w:p>
    <w:p w:rsidR="009E2DFF" w:rsidRDefault="009E2DFF" w:rsidP="00C97E57">
      <w:pPr>
        <w:spacing w:before="172" w:after="0" w:line="276" w:lineRule="auto"/>
        <w:ind w:left="851" w:right="108"/>
        <w:jc w:val="both"/>
        <w:rPr>
          <w:rFonts w:ascii="Museo Sans 300" w:eastAsia="Times New Roman" w:hAnsi="Museo Sans 300" w:cs="Calibri Light"/>
          <w:lang w:eastAsia="es-ES"/>
        </w:rPr>
      </w:pPr>
    </w:p>
    <w:p w:rsidR="00C97E57" w:rsidRPr="00717362" w:rsidRDefault="00C97E57" w:rsidP="00C97E57">
      <w:pPr>
        <w:spacing w:before="172" w:after="0" w:line="276" w:lineRule="auto"/>
        <w:ind w:right="108"/>
        <w:jc w:val="both"/>
        <w:rPr>
          <w:rFonts w:ascii="Museo Sans 300" w:eastAsia="Calibri" w:hAnsi="Museo Sans 300" w:cs="Calibri Light"/>
        </w:rPr>
      </w:pPr>
    </w:p>
    <w:p w:rsidR="009E2DFF" w:rsidRDefault="009E2DFF" w:rsidP="009E2DFF">
      <w:pPr>
        <w:spacing w:before="172" w:after="0" w:line="276" w:lineRule="auto"/>
        <w:ind w:right="108"/>
        <w:jc w:val="both"/>
        <w:rPr>
          <w:rFonts w:ascii="Museo Sans 300" w:eastAsia="Times New Roman" w:hAnsi="Museo Sans 300" w:cs="Calibri Light"/>
          <w:b/>
          <w:i/>
          <w:lang w:eastAsia="es-ES"/>
        </w:rPr>
      </w:pPr>
      <w:r w:rsidRPr="00717362">
        <w:rPr>
          <w:rFonts w:ascii="Museo Sans 300" w:eastAsia="Times New Roman" w:hAnsi="Museo Sans 300" w:cs="Calibri Light"/>
          <w:b/>
          <w:i/>
          <w:lang w:eastAsia="es-ES"/>
        </w:rPr>
        <w:t xml:space="preserve">Notifíquese. </w:t>
      </w:r>
      <w:r w:rsidR="00C97E57">
        <w:rPr>
          <w:rFonts w:ascii="Museo Sans 300" w:eastAsia="Times New Roman" w:hAnsi="Museo Sans 300" w:cs="Calibri Light"/>
          <w:b/>
          <w:i/>
          <w:lang w:eastAsia="es-ES"/>
        </w:rPr>
        <w:t>–</w:t>
      </w:r>
    </w:p>
    <w:p w:rsidR="00C97E57" w:rsidRPr="00717362" w:rsidRDefault="00C97E57" w:rsidP="009E2DFF">
      <w:pPr>
        <w:spacing w:before="172" w:after="0" w:line="276" w:lineRule="auto"/>
        <w:ind w:right="108"/>
        <w:jc w:val="both"/>
        <w:rPr>
          <w:rFonts w:ascii="Museo Sans 300" w:eastAsia="Times New Roman" w:hAnsi="Museo Sans 300" w:cs="Calibri Light"/>
          <w:b/>
          <w:i/>
          <w:lang w:eastAsia="es-ES"/>
        </w:rPr>
      </w:pPr>
    </w:p>
    <w:p w:rsidR="009E2DFF" w:rsidRPr="00717362" w:rsidRDefault="009E2DFF" w:rsidP="009E2DFF">
      <w:pPr>
        <w:spacing w:before="172" w:after="0" w:line="276" w:lineRule="auto"/>
        <w:ind w:right="108"/>
        <w:jc w:val="both"/>
        <w:rPr>
          <w:rFonts w:ascii="Museo 300" w:eastAsia="Times New Roman" w:hAnsi="Museo 300" w:cs="Calibri Light"/>
          <w:sz w:val="18"/>
          <w:szCs w:val="18"/>
          <w:lang w:eastAsia="es-ES"/>
        </w:rPr>
      </w:pPr>
      <w:r w:rsidRPr="00717362">
        <w:rPr>
          <w:rFonts w:ascii="Museo 300" w:eastAsia="Times New Roman" w:hAnsi="Museo 300" w:cs="Calibri Light"/>
          <w:sz w:val="18"/>
          <w:szCs w:val="18"/>
          <w:lang w:eastAsia="es-ES"/>
        </w:rPr>
        <w:t xml:space="preserve">Se informa que podrá consultar información pública en el Portal de Transparencia, accediendo a la página Web </w:t>
      </w:r>
      <w:r w:rsidRPr="00717362">
        <w:rPr>
          <w:rFonts w:ascii="Museo 300" w:eastAsia="Times New Roman" w:hAnsi="Museo 300" w:cs="Calibri Light"/>
          <w:color w:val="0563C1"/>
          <w:sz w:val="18"/>
          <w:szCs w:val="18"/>
          <w:u w:val="single"/>
          <w:lang w:eastAsia="es-ES"/>
        </w:rPr>
        <w:t>http</w:t>
      </w:r>
      <w:proofErr w:type="gramStart"/>
      <w:r w:rsidRPr="00717362">
        <w:rPr>
          <w:rFonts w:ascii="Museo 300" w:eastAsia="Times New Roman" w:hAnsi="Museo 300" w:cs="Calibri Light"/>
          <w:color w:val="0563C1"/>
          <w:sz w:val="18"/>
          <w:szCs w:val="18"/>
          <w:u w:val="single"/>
          <w:lang w:eastAsia="es-ES"/>
        </w:rPr>
        <w:t>:/</w:t>
      </w:r>
      <w:proofErr w:type="gramEnd"/>
      <w:r w:rsidRPr="00717362">
        <w:rPr>
          <w:rFonts w:ascii="Museo 300" w:eastAsia="Times New Roman" w:hAnsi="Museo 300" w:cs="Calibri Light"/>
          <w:color w:val="0563C1"/>
          <w:sz w:val="18"/>
          <w:szCs w:val="18"/>
          <w:u w:val="single"/>
          <w:lang w:eastAsia="es-ES"/>
        </w:rPr>
        <w:t>/www.transparencia.gob.sv,</w:t>
      </w:r>
      <w:r w:rsidRPr="00717362">
        <w:rPr>
          <w:rFonts w:ascii="Museo 300" w:eastAsia="Times New Roman" w:hAnsi="Museo 300" w:cs="Calibri Light"/>
          <w:sz w:val="18"/>
          <w:szCs w:val="18"/>
          <w:lang w:eastAsia="es-ES"/>
        </w:rPr>
        <w:t xml:space="preserve"> mediante “Comisión Ejecutiva Portuaria Autónoma”.</w:t>
      </w:r>
    </w:p>
    <w:p w:rsidR="009E2DFF" w:rsidRPr="00717362" w:rsidRDefault="009E2DFF" w:rsidP="009E2DFF">
      <w:pPr>
        <w:tabs>
          <w:tab w:val="left" w:pos="5633"/>
        </w:tabs>
        <w:spacing w:before="172" w:after="0" w:line="276" w:lineRule="auto"/>
        <w:ind w:left="720" w:right="108"/>
        <w:jc w:val="both"/>
        <w:rPr>
          <w:rFonts w:ascii="Museo 300" w:eastAsia="Times New Roman" w:hAnsi="Museo 300" w:cs="Calibri Light"/>
          <w:sz w:val="24"/>
          <w:szCs w:val="24"/>
          <w:lang w:eastAsia="es-ES"/>
        </w:rPr>
      </w:pPr>
    </w:p>
    <w:p w:rsidR="009E2DFF" w:rsidRPr="00717362" w:rsidRDefault="009E2DFF" w:rsidP="009E2DFF">
      <w:pPr>
        <w:spacing w:before="172" w:after="0" w:line="240" w:lineRule="auto"/>
        <w:ind w:right="108"/>
        <w:jc w:val="both"/>
        <w:rPr>
          <w:rFonts w:ascii="Museo 300" w:eastAsia="Times New Roman" w:hAnsi="Museo 300" w:cs="Calibri Light"/>
          <w:sz w:val="24"/>
          <w:szCs w:val="24"/>
          <w:lang w:eastAsia="es-ES"/>
        </w:rPr>
      </w:pPr>
    </w:p>
    <w:p w:rsidR="009E2DFF" w:rsidRDefault="009E2DFF" w:rsidP="009E2DFF">
      <w:pPr>
        <w:spacing w:before="172" w:after="0" w:line="240" w:lineRule="auto"/>
        <w:ind w:right="108"/>
        <w:jc w:val="both"/>
        <w:rPr>
          <w:rFonts w:ascii="Museo 300" w:eastAsia="Times New Roman" w:hAnsi="Museo 300" w:cs="Calibri Light"/>
          <w:sz w:val="24"/>
          <w:szCs w:val="24"/>
          <w:lang w:eastAsia="es-ES"/>
        </w:rPr>
      </w:pPr>
    </w:p>
    <w:p w:rsidR="00740E48" w:rsidRDefault="00740E48" w:rsidP="009E2DFF">
      <w:pPr>
        <w:spacing w:before="172" w:after="0" w:line="240" w:lineRule="auto"/>
        <w:ind w:right="108"/>
        <w:jc w:val="both"/>
        <w:rPr>
          <w:rFonts w:ascii="Museo 300" w:eastAsia="Times New Roman" w:hAnsi="Museo 300" w:cs="Calibri Light"/>
          <w:sz w:val="24"/>
          <w:szCs w:val="24"/>
          <w:lang w:eastAsia="es-ES"/>
        </w:rPr>
      </w:pPr>
    </w:p>
    <w:p w:rsidR="009E2DFF" w:rsidRDefault="009E2DFF" w:rsidP="009E2DFF">
      <w:pPr>
        <w:spacing w:before="172" w:after="0" w:line="240" w:lineRule="auto"/>
        <w:ind w:right="108"/>
        <w:jc w:val="both"/>
        <w:rPr>
          <w:rFonts w:ascii="Museo 300" w:eastAsia="Times New Roman" w:hAnsi="Museo 300" w:cs="Calibri Light"/>
          <w:sz w:val="24"/>
          <w:szCs w:val="24"/>
          <w:lang w:eastAsia="es-ES"/>
        </w:rPr>
      </w:pPr>
    </w:p>
    <w:p w:rsidR="009E2DFF" w:rsidRPr="00717362" w:rsidRDefault="009E2DFF" w:rsidP="009E2DFF">
      <w:pPr>
        <w:spacing w:before="172" w:after="0" w:line="240" w:lineRule="auto"/>
        <w:ind w:right="108"/>
        <w:jc w:val="both"/>
        <w:rPr>
          <w:rFonts w:ascii="Museo 300" w:eastAsia="Times New Roman" w:hAnsi="Museo 300" w:cs="Calibri Light"/>
          <w:sz w:val="24"/>
          <w:szCs w:val="24"/>
          <w:lang w:eastAsia="es-ES"/>
        </w:rPr>
      </w:pPr>
    </w:p>
    <w:p w:rsidR="009E2DFF" w:rsidRPr="00717362" w:rsidRDefault="009E2DFF" w:rsidP="009E2DFF">
      <w:pPr>
        <w:spacing w:after="0" w:line="240" w:lineRule="auto"/>
        <w:ind w:left="2832" w:right="108"/>
        <w:jc w:val="both"/>
        <w:rPr>
          <w:rFonts w:ascii="Museo Sans 300" w:eastAsia="Times New Roman" w:hAnsi="Museo Sans 300" w:cs="Calibri Light"/>
          <w:sz w:val="24"/>
          <w:szCs w:val="24"/>
          <w:lang w:eastAsia="es-ES"/>
        </w:rPr>
      </w:pPr>
      <w:r w:rsidRPr="00717362">
        <w:rPr>
          <w:rFonts w:ascii="Museo Sans 300" w:eastAsia="Times New Roman" w:hAnsi="Museo Sans 300" w:cs="Calibri Light"/>
          <w:sz w:val="24"/>
          <w:szCs w:val="24"/>
          <w:lang w:eastAsia="es-ES"/>
        </w:rPr>
        <w:t>Ricardo Alfonso Alas Hernández</w:t>
      </w:r>
    </w:p>
    <w:p w:rsidR="009E2DFF" w:rsidRDefault="009E2DFF" w:rsidP="009E2DFF">
      <w:pPr>
        <w:spacing w:after="0" w:line="240" w:lineRule="auto"/>
        <w:ind w:right="108"/>
        <w:jc w:val="center"/>
      </w:pPr>
      <w:r w:rsidRPr="00717362">
        <w:rPr>
          <w:rFonts w:ascii="Museo Sans 300" w:eastAsia="Times New Roman" w:hAnsi="Museo Sans 300" w:cs="Calibri Light"/>
          <w:sz w:val="24"/>
          <w:szCs w:val="24"/>
          <w:lang w:eastAsia="es-ES"/>
        </w:rPr>
        <w:t>Oficial de Información.</w:t>
      </w:r>
      <w:r>
        <w:rPr>
          <w:rFonts w:ascii="Museo Sans 300" w:eastAsia="Times New Roman" w:hAnsi="Museo Sans 300" w:cs="Calibri Light"/>
          <w:sz w:val="24"/>
          <w:szCs w:val="24"/>
          <w:lang w:eastAsia="es-ES"/>
        </w:rPr>
        <w:t xml:space="preserve">  </w:t>
      </w:r>
    </w:p>
    <w:p w:rsidR="009E2DFF" w:rsidRDefault="009E2DFF" w:rsidP="009E2DFF"/>
    <w:p w:rsidR="001E4113" w:rsidRDefault="002C167D"/>
    <w:sectPr w:rsidR="001E4113" w:rsidSect="003271A6">
      <w:headerReference w:type="default" r:id="rId7"/>
      <w:footerReference w:type="default" r:id="rId8"/>
      <w:pgSz w:w="12240" w:h="15840"/>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221" w:rsidRDefault="00C97E57">
      <w:pPr>
        <w:spacing w:after="0" w:line="240" w:lineRule="auto"/>
      </w:pPr>
      <w:r>
        <w:separator/>
      </w:r>
    </w:p>
  </w:endnote>
  <w:endnote w:type="continuationSeparator" w:id="0">
    <w:p w:rsidR="00324221" w:rsidRDefault="00C97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useo 300">
    <w:altName w:val="Times New Roman"/>
    <w:panose1 w:val="00000000000000000000"/>
    <w:charset w:val="00"/>
    <w:family w:val="modern"/>
    <w:notTrueType/>
    <w:pitch w:val="variable"/>
    <w:sig w:usb0="00000001" w:usb1="4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1A6" w:rsidRPr="00F71578" w:rsidRDefault="00F67188" w:rsidP="003271A6">
    <w:pPr>
      <w:pStyle w:val="Piedepgina"/>
      <w:tabs>
        <w:tab w:val="left" w:pos="611"/>
        <w:tab w:val="center" w:pos="4986"/>
      </w:tabs>
      <w:rPr>
        <w:sz w:val="14"/>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221" w:rsidRDefault="00C97E57">
      <w:pPr>
        <w:spacing w:after="0" w:line="240" w:lineRule="auto"/>
      </w:pPr>
      <w:r>
        <w:separator/>
      </w:r>
    </w:p>
  </w:footnote>
  <w:footnote w:type="continuationSeparator" w:id="0">
    <w:p w:rsidR="00324221" w:rsidRDefault="00C97E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1A6" w:rsidRPr="00847FBB" w:rsidRDefault="00F67188" w:rsidP="003271A6">
    <w:pPr>
      <w:pStyle w:val="Encabezado"/>
    </w:pPr>
    <w:r w:rsidRPr="00847FBB">
      <w:rPr>
        <w:noProof/>
        <w:lang w:eastAsia="es-SV"/>
      </w:rPr>
      <w:drawing>
        <wp:anchor distT="0" distB="0" distL="114300" distR="114300" simplePos="0" relativeHeight="251659264" behindDoc="1" locked="0" layoutInCell="1" allowOverlap="1" wp14:anchorId="31BB7CCF" wp14:editId="00AFD58A">
          <wp:simplePos x="0" y="0"/>
          <wp:positionH relativeFrom="column">
            <wp:posOffset>-789940</wp:posOffset>
          </wp:positionH>
          <wp:positionV relativeFrom="paragraph">
            <wp:posOffset>-234315</wp:posOffset>
          </wp:positionV>
          <wp:extent cx="7940675" cy="9944100"/>
          <wp:effectExtent l="19050" t="0" r="9525"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rcRect t="3063"/>
                  <a:stretch>
                    <a:fillRect/>
                  </a:stretch>
                </pic:blipFill>
                <pic:spPr>
                  <a:xfrm>
                    <a:off x="0" y="0"/>
                    <a:ext cx="7934325" cy="99441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62096"/>
    <w:multiLevelType w:val="hybridMultilevel"/>
    <w:tmpl w:val="9294AEAA"/>
    <w:lvl w:ilvl="0" w:tplc="440A001B">
      <w:start w:val="1"/>
      <w:numFmt w:val="lowerRoman"/>
      <w:lvlText w:val="%1."/>
      <w:lvlJc w:val="right"/>
      <w:pPr>
        <w:ind w:left="2148" w:hanging="360"/>
      </w:pPr>
    </w:lvl>
    <w:lvl w:ilvl="1" w:tplc="440A0019" w:tentative="1">
      <w:start w:val="1"/>
      <w:numFmt w:val="lowerLetter"/>
      <w:lvlText w:val="%2."/>
      <w:lvlJc w:val="left"/>
      <w:pPr>
        <w:ind w:left="2868" w:hanging="360"/>
      </w:pPr>
    </w:lvl>
    <w:lvl w:ilvl="2" w:tplc="440A001B" w:tentative="1">
      <w:start w:val="1"/>
      <w:numFmt w:val="lowerRoman"/>
      <w:lvlText w:val="%3."/>
      <w:lvlJc w:val="right"/>
      <w:pPr>
        <w:ind w:left="3588" w:hanging="180"/>
      </w:pPr>
    </w:lvl>
    <w:lvl w:ilvl="3" w:tplc="440A000F" w:tentative="1">
      <w:start w:val="1"/>
      <w:numFmt w:val="decimal"/>
      <w:lvlText w:val="%4."/>
      <w:lvlJc w:val="left"/>
      <w:pPr>
        <w:ind w:left="4308" w:hanging="360"/>
      </w:pPr>
    </w:lvl>
    <w:lvl w:ilvl="4" w:tplc="440A0019" w:tentative="1">
      <w:start w:val="1"/>
      <w:numFmt w:val="lowerLetter"/>
      <w:lvlText w:val="%5."/>
      <w:lvlJc w:val="left"/>
      <w:pPr>
        <w:ind w:left="5028" w:hanging="360"/>
      </w:pPr>
    </w:lvl>
    <w:lvl w:ilvl="5" w:tplc="440A001B" w:tentative="1">
      <w:start w:val="1"/>
      <w:numFmt w:val="lowerRoman"/>
      <w:lvlText w:val="%6."/>
      <w:lvlJc w:val="right"/>
      <w:pPr>
        <w:ind w:left="5748" w:hanging="180"/>
      </w:pPr>
    </w:lvl>
    <w:lvl w:ilvl="6" w:tplc="440A000F" w:tentative="1">
      <w:start w:val="1"/>
      <w:numFmt w:val="decimal"/>
      <w:lvlText w:val="%7."/>
      <w:lvlJc w:val="left"/>
      <w:pPr>
        <w:ind w:left="6468" w:hanging="360"/>
      </w:pPr>
    </w:lvl>
    <w:lvl w:ilvl="7" w:tplc="440A0019" w:tentative="1">
      <w:start w:val="1"/>
      <w:numFmt w:val="lowerLetter"/>
      <w:lvlText w:val="%8."/>
      <w:lvlJc w:val="left"/>
      <w:pPr>
        <w:ind w:left="7188" w:hanging="360"/>
      </w:pPr>
    </w:lvl>
    <w:lvl w:ilvl="8" w:tplc="440A001B" w:tentative="1">
      <w:start w:val="1"/>
      <w:numFmt w:val="lowerRoman"/>
      <w:lvlText w:val="%9."/>
      <w:lvlJc w:val="right"/>
      <w:pPr>
        <w:ind w:left="7908" w:hanging="180"/>
      </w:pPr>
    </w:lvl>
  </w:abstractNum>
  <w:abstractNum w:abstractNumId="1">
    <w:nsid w:val="350F4F63"/>
    <w:multiLevelType w:val="hybridMultilevel"/>
    <w:tmpl w:val="60CA9DA6"/>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
    <w:nsid w:val="3F666437"/>
    <w:multiLevelType w:val="hybridMultilevel"/>
    <w:tmpl w:val="D3C4AA60"/>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
    <w:nsid w:val="478C1BA1"/>
    <w:multiLevelType w:val="hybridMultilevel"/>
    <w:tmpl w:val="803024A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561121B8"/>
    <w:multiLevelType w:val="hybridMultilevel"/>
    <w:tmpl w:val="FB547028"/>
    <w:lvl w:ilvl="0" w:tplc="82CC3642">
      <w:start w:val="1"/>
      <w:numFmt w:val="lowerRoman"/>
      <w:lvlText w:val="%1."/>
      <w:lvlJc w:val="left"/>
      <w:pPr>
        <w:ind w:left="2136" w:hanging="72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5">
    <w:nsid w:val="59C51511"/>
    <w:multiLevelType w:val="hybridMultilevel"/>
    <w:tmpl w:val="C5C8403E"/>
    <w:lvl w:ilvl="0" w:tplc="440A001B">
      <w:start w:val="1"/>
      <w:numFmt w:val="lowerRoman"/>
      <w:lvlText w:val="%1."/>
      <w:lvlJc w:val="right"/>
      <w:pPr>
        <w:ind w:left="2148" w:hanging="360"/>
      </w:pPr>
    </w:lvl>
    <w:lvl w:ilvl="1" w:tplc="440A0019" w:tentative="1">
      <w:start w:val="1"/>
      <w:numFmt w:val="lowerLetter"/>
      <w:lvlText w:val="%2."/>
      <w:lvlJc w:val="left"/>
      <w:pPr>
        <w:ind w:left="2868" w:hanging="360"/>
      </w:pPr>
    </w:lvl>
    <w:lvl w:ilvl="2" w:tplc="440A001B" w:tentative="1">
      <w:start w:val="1"/>
      <w:numFmt w:val="lowerRoman"/>
      <w:lvlText w:val="%3."/>
      <w:lvlJc w:val="right"/>
      <w:pPr>
        <w:ind w:left="3588" w:hanging="180"/>
      </w:pPr>
    </w:lvl>
    <w:lvl w:ilvl="3" w:tplc="440A000F" w:tentative="1">
      <w:start w:val="1"/>
      <w:numFmt w:val="decimal"/>
      <w:lvlText w:val="%4."/>
      <w:lvlJc w:val="left"/>
      <w:pPr>
        <w:ind w:left="4308" w:hanging="360"/>
      </w:pPr>
    </w:lvl>
    <w:lvl w:ilvl="4" w:tplc="440A0019" w:tentative="1">
      <w:start w:val="1"/>
      <w:numFmt w:val="lowerLetter"/>
      <w:lvlText w:val="%5."/>
      <w:lvlJc w:val="left"/>
      <w:pPr>
        <w:ind w:left="5028" w:hanging="360"/>
      </w:pPr>
    </w:lvl>
    <w:lvl w:ilvl="5" w:tplc="440A001B" w:tentative="1">
      <w:start w:val="1"/>
      <w:numFmt w:val="lowerRoman"/>
      <w:lvlText w:val="%6."/>
      <w:lvlJc w:val="right"/>
      <w:pPr>
        <w:ind w:left="5748" w:hanging="180"/>
      </w:pPr>
    </w:lvl>
    <w:lvl w:ilvl="6" w:tplc="440A000F" w:tentative="1">
      <w:start w:val="1"/>
      <w:numFmt w:val="decimal"/>
      <w:lvlText w:val="%7."/>
      <w:lvlJc w:val="left"/>
      <w:pPr>
        <w:ind w:left="6468" w:hanging="360"/>
      </w:pPr>
    </w:lvl>
    <w:lvl w:ilvl="7" w:tplc="440A0019" w:tentative="1">
      <w:start w:val="1"/>
      <w:numFmt w:val="lowerLetter"/>
      <w:lvlText w:val="%8."/>
      <w:lvlJc w:val="left"/>
      <w:pPr>
        <w:ind w:left="7188" w:hanging="360"/>
      </w:pPr>
    </w:lvl>
    <w:lvl w:ilvl="8" w:tplc="440A001B" w:tentative="1">
      <w:start w:val="1"/>
      <w:numFmt w:val="lowerRoman"/>
      <w:lvlText w:val="%9."/>
      <w:lvlJc w:val="right"/>
      <w:pPr>
        <w:ind w:left="7908" w:hanging="180"/>
      </w:pPr>
    </w:lvl>
  </w:abstractNum>
  <w:abstractNum w:abstractNumId="6">
    <w:nsid w:val="6C9B535D"/>
    <w:multiLevelType w:val="hybridMultilevel"/>
    <w:tmpl w:val="E18A304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7F03788D"/>
    <w:multiLevelType w:val="hybridMultilevel"/>
    <w:tmpl w:val="93C0C11E"/>
    <w:lvl w:ilvl="0" w:tplc="27707CBE">
      <w:start w:val="1"/>
      <w:numFmt w:val="upperRoman"/>
      <w:lvlText w:val="%1."/>
      <w:lvlJc w:val="right"/>
      <w:pPr>
        <w:ind w:left="1996" w:hanging="360"/>
      </w:pPr>
      <w:rPr>
        <w:rFonts w:hint="default"/>
        <w:b/>
        <w:i w:val="0"/>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num w:numId="1">
    <w:abstractNumId w:val="7"/>
  </w:num>
  <w:num w:numId="2">
    <w:abstractNumId w:val="6"/>
  </w:num>
  <w:num w:numId="3">
    <w:abstractNumId w:val="3"/>
  </w:num>
  <w:num w:numId="4">
    <w:abstractNumId w:val="4"/>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DFF"/>
    <w:rsid w:val="002C167D"/>
    <w:rsid w:val="002D0C58"/>
    <w:rsid w:val="002D6A8F"/>
    <w:rsid w:val="00324221"/>
    <w:rsid w:val="003D2CD8"/>
    <w:rsid w:val="00433B36"/>
    <w:rsid w:val="005B00DF"/>
    <w:rsid w:val="00661AA1"/>
    <w:rsid w:val="006A1B81"/>
    <w:rsid w:val="006B00D9"/>
    <w:rsid w:val="006E4D8E"/>
    <w:rsid w:val="00740E48"/>
    <w:rsid w:val="009B0C41"/>
    <w:rsid w:val="009B783B"/>
    <w:rsid w:val="009E2DFF"/>
    <w:rsid w:val="00BF0A2B"/>
    <w:rsid w:val="00C25160"/>
    <w:rsid w:val="00C97E57"/>
    <w:rsid w:val="00F36A2B"/>
    <w:rsid w:val="00F67188"/>
    <w:rsid w:val="00F864D1"/>
    <w:rsid w:val="00F96F0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FB3F0-2931-4972-9450-9FBEA139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D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E2D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9E2DFF"/>
  </w:style>
  <w:style w:type="paragraph" w:styleId="Piedepgina">
    <w:name w:val="footer"/>
    <w:basedOn w:val="Normal"/>
    <w:link w:val="PiedepginaCar"/>
    <w:uiPriority w:val="99"/>
    <w:semiHidden/>
    <w:unhideWhenUsed/>
    <w:rsid w:val="009E2D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9E2DFF"/>
  </w:style>
  <w:style w:type="paragraph" w:styleId="Prrafodelista">
    <w:name w:val="List Paragraph"/>
    <w:basedOn w:val="Normal"/>
    <w:uiPriority w:val="34"/>
    <w:qFormat/>
    <w:rsid w:val="009E2DFF"/>
    <w:pPr>
      <w:ind w:left="720"/>
      <w:contextualSpacing/>
    </w:pPr>
  </w:style>
  <w:style w:type="paragraph" w:styleId="Textodeglobo">
    <w:name w:val="Balloon Text"/>
    <w:basedOn w:val="Normal"/>
    <w:link w:val="TextodegloboCar"/>
    <w:uiPriority w:val="99"/>
    <w:semiHidden/>
    <w:unhideWhenUsed/>
    <w:rsid w:val="00BF0A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0A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1250</Words>
  <Characters>6876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Comisión Ejecutiva Portuaria Autonoma</Company>
  <LinksUpToDate>false</LinksUpToDate>
  <CharactersWithSpaces>8110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Alfonso Alas Hernandez</dc:creator>
  <cp:keywords/>
  <dc:description/>
  <cp:lastModifiedBy>Sonia Gabriela Hernandez Sermeño</cp:lastModifiedBy>
  <cp:revision>4</cp:revision>
  <cp:lastPrinted>2020-09-11T23:09:00Z</cp:lastPrinted>
  <dcterms:created xsi:type="dcterms:W3CDTF">2020-09-11T21:01:00Z</dcterms:created>
  <dcterms:modified xsi:type="dcterms:W3CDTF">2020-10-26T21:51:00Z</dcterms:modified>
</cp:coreProperties>
</file>