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B59" w:rsidRPr="00187B59" w:rsidRDefault="00187B59" w:rsidP="00187B59">
      <w:pPr>
        <w:spacing w:before="172" w:after="0" w:line="276" w:lineRule="auto"/>
        <w:ind w:right="108"/>
        <w:jc w:val="right"/>
        <w:rPr>
          <w:rFonts w:ascii="Museo Sans 300" w:eastAsia="Times New Roman" w:hAnsi="Museo Sans 300" w:cs="Calibri Light"/>
          <w:b/>
          <w:lang w:val="es-ES_tradnl" w:eastAsia="es-ES"/>
        </w:rPr>
      </w:pPr>
      <w:r w:rsidRPr="00187B59">
        <w:rPr>
          <w:rFonts w:ascii="Museo Sans 300" w:eastAsia="Times New Roman" w:hAnsi="Museo Sans 300" w:cs="Calibri Light"/>
          <w:b/>
          <w:lang w:val="es-ES_tradnl" w:eastAsia="es-ES"/>
        </w:rPr>
        <w:t>Res_UAIP_0</w:t>
      </w:r>
      <w:r w:rsidRPr="005670A7">
        <w:rPr>
          <w:rFonts w:ascii="Museo Sans 300" w:eastAsia="Times New Roman" w:hAnsi="Museo Sans 300" w:cs="Calibri Light"/>
          <w:b/>
          <w:lang w:val="es-ES_tradnl" w:eastAsia="es-ES"/>
        </w:rPr>
        <w:t>91</w:t>
      </w:r>
      <w:r w:rsidRPr="00187B59">
        <w:rPr>
          <w:rFonts w:ascii="Museo Sans 300" w:eastAsia="Times New Roman" w:hAnsi="Museo Sans 300" w:cs="Calibri Light"/>
          <w:b/>
          <w:lang w:val="es-ES_tradnl" w:eastAsia="es-ES"/>
        </w:rPr>
        <w:t>/2020</w:t>
      </w:r>
    </w:p>
    <w:p w:rsidR="00187B59" w:rsidRPr="00187B59" w:rsidRDefault="00187B59" w:rsidP="00187B59">
      <w:pPr>
        <w:spacing w:before="172" w:after="0" w:line="300" w:lineRule="auto"/>
        <w:ind w:right="108"/>
        <w:jc w:val="both"/>
        <w:rPr>
          <w:rFonts w:ascii="Museo Sans 300" w:eastAsia="Calibri" w:hAnsi="Museo Sans 300" w:cs="Calibri Light"/>
          <w:b/>
          <w:lang w:val="es-ES_tradnl" w:eastAsia="es-ES"/>
        </w:rPr>
      </w:pPr>
    </w:p>
    <w:p w:rsidR="00187B59" w:rsidRPr="00187B59" w:rsidRDefault="00187B59" w:rsidP="00187B59">
      <w:pPr>
        <w:spacing w:before="172" w:after="0" w:line="300" w:lineRule="auto"/>
        <w:ind w:right="108"/>
        <w:jc w:val="both"/>
        <w:rPr>
          <w:rFonts w:ascii="Museo Sans 300" w:eastAsia="Times New Roman" w:hAnsi="Museo Sans 300" w:cs="Calibri Light"/>
          <w:lang w:val="es-ES_tradnl" w:eastAsia="es-ES"/>
        </w:rPr>
      </w:pPr>
      <w:r w:rsidRPr="00187B59">
        <w:rPr>
          <w:rFonts w:ascii="Museo Sans 300" w:eastAsia="Calibri" w:hAnsi="Museo Sans 300" w:cs="Calibri Light"/>
          <w:b/>
          <w:lang w:val="es-ES_tradnl" w:eastAsia="es-ES"/>
        </w:rPr>
        <w:t xml:space="preserve">UNIDAD DE ACCESO A LA INFORMACIÓN PUBLICA </w:t>
      </w:r>
      <w:r w:rsidRPr="00187B59">
        <w:rPr>
          <w:rFonts w:ascii="Museo Sans 300" w:eastAsia="Calibri" w:hAnsi="Museo Sans 300" w:cs="Calibri Light"/>
          <w:lang w:val="es-ES_tradnl" w:eastAsia="es-ES"/>
        </w:rPr>
        <w:t>de la</w:t>
      </w:r>
      <w:r w:rsidRPr="00187B59">
        <w:rPr>
          <w:rFonts w:ascii="Museo Sans 300" w:eastAsia="Calibri" w:hAnsi="Museo Sans 300" w:cs="Calibri Light"/>
          <w:b/>
          <w:lang w:val="es-ES_tradnl" w:eastAsia="es-ES"/>
        </w:rPr>
        <w:t xml:space="preserve"> COMISIÓN EJECUTIVA PORTUARIA AUTÓNOMA -CEPA-</w:t>
      </w:r>
      <w:r w:rsidRPr="00187B59">
        <w:rPr>
          <w:rFonts w:ascii="Museo Sans 300" w:eastAsia="Calibri" w:hAnsi="Museo Sans 300" w:cs="Calibri Light"/>
          <w:lang w:val="es-ES_tradnl" w:eastAsia="es-ES"/>
        </w:rPr>
        <w:t xml:space="preserve">; San Salvador, a las quince horas con </w:t>
      </w:r>
      <w:r w:rsidRPr="005670A7">
        <w:rPr>
          <w:rFonts w:ascii="Museo Sans 300" w:eastAsia="Calibri" w:hAnsi="Museo Sans 300" w:cs="Calibri Light"/>
          <w:lang w:val="es-ES_tradnl" w:eastAsia="es-ES"/>
        </w:rPr>
        <w:t xml:space="preserve">seis </w:t>
      </w:r>
      <w:r w:rsidRPr="00187B59">
        <w:rPr>
          <w:rFonts w:ascii="Museo Sans 300" w:eastAsia="Calibri" w:hAnsi="Museo Sans 300" w:cs="Calibri Light"/>
          <w:lang w:val="es-ES_tradnl" w:eastAsia="es-ES"/>
        </w:rPr>
        <w:t xml:space="preserve">minutos del día </w:t>
      </w:r>
      <w:r w:rsidRPr="005670A7">
        <w:rPr>
          <w:rFonts w:ascii="Museo Sans 300" w:eastAsia="Calibri" w:hAnsi="Museo Sans 300" w:cs="Calibri Light"/>
          <w:lang w:val="es-ES_tradnl" w:eastAsia="es-ES"/>
        </w:rPr>
        <w:t>diecisiete de agosto</w:t>
      </w:r>
      <w:r w:rsidRPr="00187B59">
        <w:rPr>
          <w:rFonts w:ascii="Museo Sans 300" w:eastAsia="Calibri" w:hAnsi="Museo Sans 300" w:cs="Calibri Light"/>
          <w:lang w:val="es-ES_tradnl" w:eastAsia="es-ES"/>
        </w:rPr>
        <w:t xml:space="preserve"> de dos mil veinte, después de admitir y gestionar la solicitud de información asignada bajo la referencia </w:t>
      </w:r>
      <w:r w:rsidRPr="00187B59">
        <w:rPr>
          <w:rFonts w:ascii="Museo Sans 300" w:eastAsia="Calibri" w:hAnsi="Museo Sans 300" w:cs="Calibri Light"/>
          <w:b/>
          <w:lang w:val="es-ES_tradnl" w:eastAsia="es-ES"/>
        </w:rPr>
        <w:t>Sol_UAIP_0</w:t>
      </w:r>
      <w:r w:rsidR="00E0388D">
        <w:rPr>
          <w:rFonts w:ascii="Museo Sans 300" w:eastAsia="Calibri" w:hAnsi="Museo Sans 300" w:cs="Calibri Light"/>
          <w:b/>
          <w:lang w:val="es-ES_tradnl" w:eastAsia="es-ES"/>
        </w:rPr>
        <w:t>37</w:t>
      </w:r>
      <w:r w:rsidRPr="00187B59">
        <w:rPr>
          <w:rFonts w:ascii="Museo Sans 300" w:eastAsia="Calibri" w:hAnsi="Museo Sans 300" w:cs="Calibri Light"/>
          <w:b/>
          <w:lang w:val="es-ES_tradnl" w:eastAsia="es-ES"/>
        </w:rPr>
        <w:t>/2020</w:t>
      </w:r>
      <w:r w:rsidRPr="00187B59">
        <w:rPr>
          <w:rFonts w:ascii="Museo Sans 300" w:eastAsia="Calibri" w:hAnsi="Museo Sans 300" w:cs="Calibri Light"/>
          <w:lang w:val="es-ES_tradnl" w:eastAsia="es-ES"/>
        </w:rPr>
        <w:t xml:space="preserve"> solicitando lo siguiente</w:t>
      </w:r>
      <w:r w:rsidRPr="00187B59">
        <w:rPr>
          <w:rFonts w:ascii="Museo Sans 300" w:eastAsia="Times New Roman" w:hAnsi="Museo Sans 300" w:cs="Calibri Light"/>
          <w:lang w:val="es-ES_tradnl" w:eastAsia="es-ES"/>
        </w:rPr>
        <w:t>:</w:t>
      </w:r>
    </w:p>
    <w:p w:rsidR="00187B59" w:rsidRPr="00187B59" w:rsidRDefault="00187B59" w:rsidP="00187B59">
      <w:pPr>
        <w:spacing w:before="172" w:after="0" w:line="300" w:lineRule="auto"/>
        <w:ind w:right="108"/>
        <w:jc w:val="both"/>
        <w:rPr>
          <w:rFonts w:ascii="Museo Sans 300" w:eastAsia="Times New Roman" w:hAnsi="Museo Sans 300" w:cs="Calibri Light"/>
          <w:lang w:val="es-ES_tradnl" w:eastAsia="es-ES"/>
        </w:rPr>
      </w:pPr>
    </w:p>
    <w:p w:rsidR="00031603" w:rsidRPr="005670A7" w:rsidRDefault="00031603" w:rsidP="00031603">
      <w:pPr>
        <w:numPr>
          <w:ilvl w:val="0"/>
          <w:numId w:val="2"/>
        </w:numPr>
        <w:kinsoku w:val="0"/>
        <w:overflowPunct w:val="0"/>
        <w:autoSpaceDE w:val="0"/>
        <w:autoSpaceDN w:val="0"/>
        <w:adjustRightInd w:val="0"/>
        <w:spacing w:before="172" w:after="0" w:line="240" w:lineRule="auto"/>
        <w:ind w:right="110"/>
        <w:contextualSpacing/>
        <w:jc w:val="both"/>
        <w:rPr>
          <w:rFonts w:ascii="Museo Sans 300" w:eastAsia="MS Mincho" w:hAnsi="Museo Sans 300" w:cs="Times New Roman"/>
          <w:iCs/>
          <w:w w:val="105"/>
          <w:lang w:eastAsia="es-ES"/>
        </w:rPr>
      </w:pPr>
      <w:r w:rsidRPr="005670A7">
        <w:rPr>
          <w:rFonts w:ascii="Museo Sans 300" w:eastAsia="MS Mincho" w:hAnsi="Museo Sans 300" w:cs="Times New Roman"/>
          <w:iCs/>
          <w:w w:val="105"/>
          <w:lang w:eastAsia="es-ES"/>
        </w:rPr>
        <w:t>Las listas de compras realizadas desde el veintidós de junio del año dos mil veinte hasta el día veintiséis de julio del año dos mil veinte. Para cada compra, se pide el nombre del proveedor, la descripción de lo que se adquirió, la fecha en la que se adjudicó la compra, el número de la orden de compras, el código o identificador de la compra (de haberlo), la modalidad de la compra (Libre gestión, contratación directa, licitación pública o cualquier otra, de haberla), el número o código identificador de la orden de compra respectiva, y si esta se financió de fondos provenientes del FOPROMID o de fondos ordinarios del presupuesto de la institución. En formato CSV o archivo EXCEL.</w:t>
      </w:r>
    </w:p>
    <w:p w:rsidR="00031603" w:rsidRPr="005670A7" w:rsidRDefault="00031603" w:rsidP="00031603">
      <w:pPr>
        <w:kinsoku w:val="0"/>
        <w:overflowPunct w:val="0"/>
        <w:autoSpaceDE w:val="0"/>
        <w:autoSpaceDN w:val="0"/>
        <w:adjustRightInd w:val="0"/>
        <w:spacing w:before="172" w:after="0" w:line="240" w:lineRule="auto"/>
        <w:ind w:left="720" w:right="110"/>
        <w:contextualSpacing/>
        <w:jc w:val="both"/>
        <w:rPr>
          <w:rFonts w:ascii="Museo Sans 300" w:eastAsia="MS Mincho" w:hAnsi="Museo Sans 300" w:cs="Times New Roman"/>
          <w:iCs/>
          <w:w w:val="105"/>
          <w:lang w:eastAsia="es-ES"/>
        </w:rPr>
      </w:pPr>
    </w:p>
    <w:p w:rsidR="00031603" w:rsidRPr="005670A7" w:rsidRDefault="00031603" w:rsidP="00031603">
      <w:pPr>
        <w:numPr>
          <w:ilvl w:val="0"/>
          <w:numId w:val="2"/>
        </w:numPr>
        <w:kinsoku w:val="0"/>
        <w:overflowPunct w:val="0"/>
        <w:autoSpaceDE w:val="0"/>
        <w:autoSpaceDN w:val="0"/>
        <w:adjustRightInd w:val="0"/>
        <w:spacing w:before="172" w:after="0" w:line="240" w:lineRule="auto"/>
        <w:ind w:right="110"/>
        <w:contextualSpacing/>
        <w:jc w:val="both"/>
        <w:rPr>
          <w:rFonts w:ascii="Museo Sans 300" w:eastAsia="MS Mincho" w:hAnsi="Museo Sans 300" w:cs="Times New Roman"/>
          <w:iCs/>
          <w:w w:val="105"/>
          <w:lang w:eastAsia="es-ES"/>
        </w:rPr>
      </w:pPr>
      <w:r w:rsidRPr="005670A7">
        <w:rPr>
          <w:rFonts w:ascii="Museo Sans 300" w:eastAsia="MS Mincho" w:hAnsi="Museo Sans 300" w:cs="Times New Roman"/>
          <w:iCs/>
          <w:w w:val="105"/>
          <w:lang w:eastAsia="es-ES"/>
        </w:rPr>
        <w:t>Copia de todas las órdenes de compra emitidas por la institución de la cual es oficial de información, desde el uno de enero de dos mil diecinueve hasta el veintiséis de julio de dos mil veinte (ambas fechas inclusive). En formato PDF.</w:t>
      </w:r>
    </w:p>
    <w:p w:rsidR="00031603" w:rsidRPr="005670A7" w:rsidRDefault="00031603" w:rsidP="00031603">
      <w:pPr>
        <w:spacing w:before="172" w:after="0" w:line="240" w:lineRule="auto"/>
        <w:ind w:right="108"/>
        <w:contextualSpacing/>
        <w:jc w:val="both"/>
        <w:rPr>
          <w:rFonts w:ascii="Museo Sans 300" w:eastAsia="MS Mincho" w:hAnsi="Museo Sans 300" w:cs="Times New Roman"/>
          <w:iCs/>
          <w:w w:val="105"/>
          <w:lang w:eastAsia="es-ES"/>
        </w:rPr>
      </w:pPr>
    </w:p>
    <w:p w:rsidR="00031603" w:rsidRPr="005670A7" w:rsidRDefault="00031603" w:rsidP="00031603">
      <w:pPr>
        <w:numPr>
          <w:ilvl w:val="0"/>
          <w:numId w:val="2"/>
        </w:numPr>
        <w:kinsoku w:val="0"/>
        <w:overflowPunct w:val="0"/>
        <w:autoSpaceDE w:val="0"/>
        <w:autoSpaceDN w:val="0"/>
        <w:adjustRightInd w:val="0"/>
        <w:spacing w:before="172" w:after="0" w:line="240" w:lineRule="auto"/>
        <w:ind w:right="110"/>
        <w:contextualSpacing/>
        <w:jc w:val="both"/>
        <w:rPr>
          <w:rFonts w:ascii="Museo Sans 300" w:eastAsia="MS Mincho" w:hAnsi="Museo Sans 300" w:cs="Times New Roman"/>
          <w:iCs/>
          <w:w w:val="105"/>
          <w:lang w:eastAsia="es-ES"/>
        </w:rPr>
      </w:pPr>
      <w:r w:rsidRPr="005670A7">
        <w:rPr>
          <w:rFonts w:ascii="Museo Sans 300" w:eastAsia="MS Mincho" w:hAnsi="Museo Sans 300" w:cs="Times New Roman"/>
          <w:iCs/>
          <w:w w:val="105"/>
          <w:lang w:eastAsia="es-ES"/>
        </w:rPr>
        <w:t>Listado de proveedores de la institución de la cual usted es oficial de información, incluyendo para cada proveedor, el nombre completo y el monto anual que se le hubiese contratado o comprado, en formato procesable para los años dos mil veinte (hasta el veintiséis de julio). En formato CSV o archivo EXCEL.</w:t>
      </w:r>
    </w:p>
    <w:p w:rsidR="00031603" w:rsidRPr="005670A7" w:rsidRDefault="00031603" w:rsidP="00031603">
      <w:pPr>
        <w:spacing w:before="172" w:after="0" w:line="240" w:lineRule="auto"/>
        <w:ind w:left="720" w:right="108"/>
        <w:contextualSpacing/>
        <w:jc w:val="both"/>
        <w:rPr>
          <w:rFonts w:ascii="Museo Sans 300" w:eastAsia="MS Mincho" w:hAnsi="Museo Sans 300" w:cs="Times New Roman"/>
          <w:iCs/>
          <w:w w:val="105"/>
          <w:lang w:eastAsia="es-ES"/>
        </w:rPr>
      </w:pPr>
    </w:p>
    <w:p w:rsidR="00031603" w:rsidRPr="005670A7" w:rsidRDefault="00031603" w:rsidP="00031603">
      <w:pPr>
        <w:numPr>
          <w:ilvl w:val="0"/>
          <w:numId w:val="2"/>
        </w:numPr>
        <w:kinsoku w:val="0"/>
        <w:overflowPunct w:val="0"/>
        <w:autoSpaceDE w:val="0"/>
        <w:autoSpaceDN w:val="0"/>
        <w:adjustRightInd w:val="0"/>
        <w:spacing w:before="172" w:after="0" w:line="240" w:lineRule="auto"/>
        <w:ind w:right="110"/>
        <w:contextualSpacing/>
        <w:jc w:val="both"/>
        <w:rPr>
          <w:rFonts w:ascii="Museo Sans 300" w:eastAsia="MS Mincho" w:hAnsi="Museo Sans 300" w:cs="Times New Roman"/>
          <w:iCs/>
          <w:w w:val="105"/>
          <w:lang w:eastAsia="es-ES"/>
        </w:rPr>
      </w:pPr>
      <w:r w:rsidRPr="005670A7">
        <w:rPr>
          <w:rFonts w:ascii="Museo Sans 300" w:eastAsia="MS Mincho" w:hAnsi="Museo Sans 300" w:cs="Times New Roman"/>
          <w:iCs/>
          <w:w w:val="105"/>
          <w:lang w:eastAsia="es-ES"/>
        </w:rPr>
        <w:t>Listado de personas que recibieron dinero con cargo a los objetos específicos 56301, 56302, 56303, 56304, 56305 (donaciones) de parte de la entidad del Estado de la cual usted es oficial de información, incluyendo el nombre completo de cada una de estas, el motivo de la transferencia y el monto recibido, para los años 2020 (hasta el veintiséis de julio del año dos mil veinte) En formato CSV o archivo EXCEL.</w:t>
      </w:r>
    </w:p>
    <w:p w:rsidR="00187B59" w:rsidRPr="00187B59" w:rsidRDefault="00187B59" w:rsidP="00031603">
      <w:pPr>
        <w:autoSpaceDE w:val="0"/>
        <w:autoSpaceDN w:val="0"/>
        <w:adjustRightInd w:val="0"/>
        <w:spacing w:after="240" w:line="360" w:lineRule="auto"/>
        <w:contextualSpacing/>
        <w:rPr>
          <w:rFonts w:ascii="Museo Sans 300" w:eastAsia="Calibri" w:hAnsi="Museo Sans 300" w:cs="Calibri"/>
        </w:rPr>
      </w:pPr>
    </w:p>
    <w:p w:rsidR="00397328" w:rsidRPr="005670A7" w:rsidRDefault="004D0D3F" w:rsidP="005670A7">
      <w:pPr>
        <w:autoSpaceDE w:val="0"/>
        <w:autoSpaceDN w:val="0"/>
        <w:adjustRightInd w:val="0"/>
        <w:spacing w:after="240" w:line="360" w:lineRule="auto"/>
        <w:ind w:firstLine="709"/>
        <w:contextualSpacing/>
        <w:jc w:val="both"/>
        <w:rPr>
          <w:rFonts w:ascii="Museo Sans 300" w:eastAsia="Calibri" w:hAnsi="Museo Sans 300" w:cs="Calibri"/>
        </w:rPr>
      </w:pPr>
      <w:r w:rsidRPr="005670A7">
        <w:rPr>
          <w:rFonts w:ascii="Museo Sans 300" w:eastAsia="Calibri" w:hAnsi="Museo Sans 300" w:cs="Calibri"/>
        </w:rPr>
        <w:t>La Ley de Acceso a la Información Pública -</w:t>
      </w:r>
      <w:r w:rsidR="0045094A" w:rsidRPr="005670A7">
        <w:rPr>
          <w:rFonts w:ascii="Museo Sans 300" w:eastAsia="Calibri" w:hAnsi="Museo Sans 300" w:cs="Calibri"/>
        </w:rPr>
        <w:t>L</w:t>
      </w:r>
      <w:r w:rsidRPr="005670A7">
        <w:rPr>
          <w:rFonts w:ascii="Museo Sans 300" w:eastAsia="Calibri" w:hAnsi="Museo Sans 300" w:cs="Calibri"/>
        </w:rPr>
        <w:t xml:space="preserve">AIP- en su artículo diez determina que los entes obligados, de manera oficiosa, pondrán a disposición del público, </w:t>
      </w:r>
      <w:r w:rsidRPr="005670A7">
        <w:rPr>
          <w:rFonts w:ascii="Museo Sans 300" w:eastAsia="Calibri" w:hAnsi="Museo Sans 300" w:cs="Calibri"/>
        </w:rPr>
        <w:lastRenderedPageBreak/>
        <w:t>divulgarán, actualizarán, en los términos de los lineamientos que expida el instituto, la información que enumera en el mismo, particularmente en el número 19 señala como información pública oficiosa, las contrataciones y adquisiciones formalizadas y adjudicadas en firme, detallando en cada caso: a. objeto, b. monto, c. nombre y características de la contraparte, d. plazos de cumplimiento y ejecución del mismo, e. la forma en que se contrató, ya sea por medio de licitación o concurso público o por invitación, libre gestión, contratación directa, mercado bursátil o cualquier otro regulado por la ley</w:t>
      </w:r>
      <w:r w:rsidR="00397328" w:rsidRPr="005670A7">
        <w:rPr>
          <w:rFonts w:ascii="Museo Sans 300" w:eastAsia="Calibri" w:hAnsi="Museo Sans 300" w:cs="Calibri"/>
        </w:rPr>
        <w:t>, f. detalles de los procesos de adjudicación y el contenido de los contratos.</w:t>
      </w:r>
    </w:p>
    <w:p w:rsidR="00397328" w:rsidRPr="00187B59" w:rsidRDefault="00397328" w:rsidP="005670A7">
      <w:pPr>
        <w:autoSpaceDE w:val="0"/>
        <w:autoSpaceDN w:val="0"/>
        <w:adjustRightInd w:val="0"/>
        <w:spacing w:after="240" w:line="360" w:lineRule="auto"/>
        <w:ind w:firstLine="709"/>
        <w:contextualSpacing/>
        <w:jc w:val="both"/>
        <w:rPr>
          <w:rFonts w:ascii="Museo Sans 300" w:eastAsia="Calibri" w:hAnsi="Museo Sans 300" w:cs="Calibri"/>
        </w:rPr>
      </w:pPr>
    </w:p>
    <w:p w:rsidR="00187B59" w:rsidRPr="005670A7" w:rsidRDefault="00187B59" w:rsidP="005670A7">
      <w:pPr>
        <w:autoSpaceDE w:val="0"/>
        <w:autoSpaceDN w:val="0"/>
        <w:adjustRightInd w:val="0"/>
        <w:spacing w:after="240" w:line="360" w:lineRule="auto"/>
        <w:ind w:firstLine="709"/>
        <w:contextualSpacing/>
        <w:jc w:val="both"/>
        <w:rPr>
          <w:rFonts w:ascii="Museo Sans 300" w:eastAsia="Calibri" w:hAnsi="Museo Sans 300" w:cs="Calibri Light"/>
          <w:lang w:val="es-ES_tradnl" w:eastAsia="es-ES"/>
        </w:rPr>
      </w:pPr>
      <w:r w:rsidRPr="00187B59">
        <w:rPr>
          <w:rFonts w:ascii="Museo Sans 300" w:eastAsia="Calibri" w:hAnsi="Museo Sans 300" w:cs="Calibri Light"/>
          <w:lang w:val="es-ES_tradnl" w:eastAsia="es-ES"/>
        </w:rPr>
        <w:t>El artículo 74 de la LAIP determina las excepciones a la obligación de dar trámite a solicitudes de información, particularmente en el literal b. se expone el caso de cuando la información se encuentre disponible públicamente</w:t>
      </w:r>
      <w:r w:rsidR="00397328" w:rsidRPr="005670A7">
        <w:rPr>
          <w:rFonts w:ascii="Museo Sans 300" w:eastAsia="Calibri" w:hAnsi="Museo Sans 300" w:cs="Calibri Light"/>
          <w:lang w:val="es-ES_tradnl" w:eastAsia="es-ES"/>
        </w:rPr>
        <w:t>.</w:t>
      </w:r>
    </w:p>
    <w:p w:rsidR="00397328" w:rsidRPr="005670A7" w:rsidRDefault="00397328" w:rsidP="005670A7">
      <w:pPr>
        <w:autoSpaceDE w:val="0"/>
        <w:autoSpaceDN w:val="0"/>
        <w:adjustRightInd w:val="0"/>
        <w:spacing w:after="240" w:line="360" w:lineRule="auto"/>
        <w:ind w:firstLine="709"/>
        <w:contextualSpacing/>
        <w:jc w:val="both"/>
        <w:rPr>
          <w:rFonts w:ascii="Museo Sans 300" w:eastAsia="Calibri" w:hAnsi="Museo Sans 300" w:cs="Calibri"/>
          <w:color w:val="000000"/>
        </w:rPr>
      </w:pPr>
    </w:p>
    <w:p w:rsidR="00397328" w:rsidRPr="005670A7" w:rsidRDefault="00397328" w:rsidP="005670A7">
      <w:pPr>
        <w:autoSpaceDE w:val="0"/>
        <w:autoSpaceDN w:val="0"/>
        <w:adjustRightInd w:val="0"/>
        <w:spacing w:after="240" w:line="360" w:lineRule="auto"/>
        <w:ind w:firstLine="709"/>
        <w:contextualSpacing/>
        <w:jc w:val="both"/>
        <w:rPr>
          <w:rFonts w:ascii="Museo Sans 300" w:eastAsia="Calibri" w:hAnsi="Museo Sans 300" w:cs="Calibri"/>
          <w:color w:val="000000"/>
        </w:rPr>
      </w:pPr>
      <w:r w:rsidRPr="005670A7">
        <w:rPr>
          <w:rFonts w:ascii="Museo Sans 300" w:eastAsia="Calibri" w:hAnsi="Museo Sans 300" w:cs="Calibri"/>
          <w:color w:val="000000"/>
        </w:rPr>
        <w:t>La información pública oficiosa correspondiente a los meses de junio y julio y los meses anteriores a estos</w:t>
      </w:r>
      <w:r w:rsidR="003B7100">
        <w:rPr>
          <w:rFonts w:ascii="Museo Sans 300" w:eastAsia="Calibri" w:hAnsi="Museo Sans 300" w:cs="Calibri"/>
          <w:color w:val="000000"/>
        </w:rPr>
        <w:t>,</w:t>
      </w:r>
      <w:r w:rsidRPr="005670A7">
        <w:rPr>
          <w:rFonts w:ascii="Museo Sans 300" w:eastAsia="Calibri" w:hAnsi="Museo Sans 300" w:cs="Calibri"/>
          <w:color w:val="000000"/>
        </w:rPr>
        <w:t xml:space="preserve"> ya se encuentra publicada en el portal de transparencia</w:t>
      </w:r>
      <w:r w:rsidR="0045094A" w:rsidRPr="005670A7">
        <w:rPr>
          <w:rFonts w:ascii="Museo Sans 300" w:eastAsia="Calibri" w:hAnsi="Museo Sans 300" w:cs="Calibri"/>
          <w:color w:val="000000"/>
        </w:rPr>
        <w:t xml:space="preserve">, y siendo la información solicitada en </w:t>
      </w:r>
      <w:r w:rsidR="003B7100">
        <w:rPr>
          <w:rFonts w:ascii="Museo Sans 300" w:eastAsia="Calibri" w:hAnsi="Museo Sans 300" w:cs="Calibri"/>
          <w:color w:val="000000"/>
        </w:rPr>
        <w:t xml:space="preserve">escrito  con </w:t>
      </w:r>
      <w:r w:rsidR="0045094A" w:rsidRPr="005670A7">
        <w:rPr>
          <w:rFonts w:ascii="Museo Sans 300" w:eastAsia="Calibri" w:hAnsi="Museo Sans 300" w:cs="Calibri"/>
          <w:color w:val="000000"/>
        </w:rPr>
        <w:t>referencia Sol_UAIP_037/2020 información pública oficiosa, se invita al ciudadano a buscar la información requerida en el portal de transparencia de CEPA para los numerales 1, 2 y 3 de su solicitud en el menú “Marco Presupuestario” y dentro de este en “Contrataciones y adquisiciones” y para la número cuatro en “Recursos públicos destinados a privados”</w:t>
      </w:r>
    </w:p>
    <w:p w:rsidR="0045094A" w:rsidRPr="005670A7" w:rsidRDefault="0045094A" w:rsidP="00187B59">
      <w:pPr>
        <w:autoSpaceDE w:val="0"/>
        <w:autoSpaceDN w:val="0"/>
        <w:adjustRightInd w:val="0"/>
        <w:spacing w:after="240" w:line="240" w:lineRule="auto"/>
        <w:ind w:firstLine="709"/>
        <w:contextualSpacing/>
        <w:jc w:val="both"/>
        <w:rPr>
          <w:rFonts w:ascii="Museo Sans 300" w:eastAsia="Calibri" w:hAnsi="Museo Sans 300" w:cs="Calibri"/>
          <w:color w:val="000000"/>
        </w:rPr>
      </w:pPr>
    </w:p>
    <w:p w:rsidR="0045094A" w:rsidRDefault="0045094A" w:rsidP="003B7100">
      <w:pPr>
        <w:spacing w:after="0" w:line="360" w:lineRule="auto"/>
        <w:ind w:firstLine="709"/>
        <w:jc w:val="both"/>
        <w:rPr>
          <w:rFonts w:ascii="Museo Sans 300" w:eastAsia="Times New Roman" w:hAnsi="Museo Sans 300" w:cs="Calibri Light"/>
          <w:bCs/>
          <w:i/>
          <w:lang w:eastAsia="es-ES"/>
        </w:rPr>
      </w:pPr>
      <w:r w:rsidRPr="005670A7">
        <w:rPr>
          <w:rFonts w:ascii="Museo Sans 300" w:eastAsia="Calibri" w:hAnsi="Museo Sans 300" w:cs="Calibri"/>
          <w:color w:val="000000"/>
        </w:rPr>
        <w:t>Sobre este último punto, es importante traer a cuenta que</w:t>
      </w:r>
      <w:r w:rsidR="003B7100">
        <w:rPr>
          <w:rFonts w:ascii="Museo Sans 300" w:eastAsia="Calibri" w:hAnsi="Museo Sans 300" w:cs="Calibri"/>
          <w:color w:val="000000"/>
        </w:rPr>
        <w:t>, si bien es información pública oficiosa</w:t>
      </w:r>
      <w:r w:rsidRPr="005670A7">
        <w:rPr>
          <w:rFonts w:ascii="Museo Sans 300" w:eastAsia="Calibri" w:hAnsi="Museo Sans 300" w:cs="Calibri"/>
          <w:color w:val="000000"/>
        </w:rPr>
        <w:t xml:space="preserve">, </w:t>
      </w:r>
      <w:r w:rsidRPr="005670A7">
        <w:rPr>
          <w:rFonts w:ascii="Museo Sans 300" w:eastAsia="Times New Roman" w:hAnsi="Museo Sans 300" w:cs="Calibri Light"/>
          <w:i/>
          <w:lang w:eastAsia="es-ES"/>
        </w:rPr>
        <w:t>el Instituto de Acceso a la Información Pública –IAIP-, ha sostenido en sus resoluciones que la figura</w:t>
      </w:r>
      <w:r w:rsidRPr="005670A7">
        <w:rPr>
          <w:rFonts w:ascii="Museo Sans 300" w:eastAsia="Times New Roman" w:hAnsi="Museo Sans 300" w:cs="Calibri Light"/>
          <w:i/>
          <w:lang w:eastAsia="es-ES"/>
        </w:rPr>
        <w:t xml:space="preserve"> de información inexistente</w:t>
      </w:r>
      <w:r w:rsidRPr="005670A7">
        <w:rPr>
          <w:rFonts w:ascii="Museo Sans 300" w:eastAsia="Times New Roman" w:hAnsi="Museo Sans 300" w:cs="Calibri Light"/>
          <w:i/>
          <w:lang w:eastAsia="es-ES"/>
        </w:rPr>
        <w:t xml:space="preserve"> procede, cuando se configuran alguna de las siguientes causales: </w:t>
      </w:r>
      <w:r w:rsidRPr="005670A7">
        <w:rPr>
          <w:rFonts w:ascii="Museo Sans 300" w:eastAsia="Times New Roman" w:hAnsi="Museo Sans 300" w:cs="Calibri Light"/>
          <w:b/>
          <w:i/>
          <w:lang w:eastAsia="es-ES"/>
        </w:rPr>
        <w:t>a) que nunca se haya generado el documento respectivo</w:t>
      </w:r>
      <w:r w:rsidRPr="005670A7">
        <w:rPr>
          <w:rFonts w:ascii="Museo Sans 300" w:eastAsia="Times New Roman" w:hAnsi="Museo Sans 300" w:cs="Calibri Light"/>
          <w:i/>
          <w:lang w:eastAsia="es-ES"/>
        </w:rPr>
        <w:t>, b) que el documento se encuentre en los archivos del ente obligado, pero se haya destruido por su antigüedad, fuerza mayor o caso fortuito; y c) que la información haya estado en los archivos de la dependencia o entidad</w:t>
      </w:r>
      <w:r w:rsidRPr="005670A7">
        <w:rPr>
          <w:rFonts w:ascii="Museo Sans 300" w:eastAsia="Times New Roman" w:hAnsi="Museo Sans 300" w:cs="Calibri Light"/>
          <w:bCs/>
          <w:i/>
          <w:lang w:eastAsia="es-ES"/>
        </w:rPr>
        <w:t xml:space="preserve"> </w:t>
      </w:r>
      <w:r w:rsidRPr="005670A7">
        <w:rPr>
          <w:rFonts w:ascii="Museo Sans 300" w:eastAsia="Times New Roman" w:hAnsi="Museo Sans 300" w:cs="Calibri Light"/>
          <w:bCs/>
          <w:i/>
          <w:lang w:eastAsia="es-ES"/>
        </w:rPr>
        <w:t>y su inexistencia se derive de su destrucción.</w:t>
      </w:r>
    </w:p>
    <w:p w:rsidR="005670A7" w:rsidRPr="005670A7" w:rsidRDefault="005670A7" w:rsidP="003B7100">
      <w:pPr>
        <w:spacing w:after="0" w:line="360" w:lineRule="auto"/>
        <w:ind w:firstLine="709"/>
        <w:jc w:val="both"/>
        <w:rPr>
          <w:rFonts w:ascii="Museo Sans 300" w:eastAsia="Times New Roman" w:hAnsi="Museo Sans 300" w:cs="Calibri Light"/>
          <w:lang w:eastAsia="es-ES"/>
        </w:rPr>
      </w:pPr>
    </w:p>
    <w:p w:rsidR="0045094A" w:rsidRPr="0045094A" w:rsidRDefault="0045094A" w:rsidP="003B7100">
      <w:pPr>
        <w:spacing w:after="0" w:line="360" w:lineRule="auto"/>
        <w:jc w:val="both"/>
        <w:rPr>
          <w:rFonts w:ascii="Museo Sans 300" w:eastAsia="Times New Roman" w:hAnsi="Museo Sans 300" w:cs="Calibri Light"/>
          <w:i/>
          <w:lang w:eastAsia="es-ES"/>
        </w:rPr>
      </w:pPr>
      <w:r w:rsidRPr="0045094A">
        <w:rPr>
          <w:rFonts w:ascii="Museo Sans 300" w:eastAsia="Times New Roman" w:hAnsi="Museo Sans 300" w:cs="Calibri Light"/>
          <w:i/>
          <w:lang w:eastAsia="es-ES"/>
        </w:rPr>
        <w:lastRenderedPageBreak/>
        <w:tab/>
        <w:t xml:space="preserve">Vista la solicitud de información en cuanto a </w:t>
      </w:r>
      <w:r w:rsidRPr="0045094A">
        <w:rPr>
          <w:rFonts w:ascii="Museo Sans 300" w:eastAsia="Times New Roman" w:hAnsi="Museo Sans 300" w:cs="Calibri Light"/>
          <w:b/>
          <w:i/>
          <w:lang w:eastAsia="es-ES"/>
        </w:rPr>
        <w:t>“</w:t>
      </w:r>
      <w:r w:rsidR="005670A7" w:rsidRPr="005670A7">
        <w:rPr>
          <w:rFonts w:ascii="Museo Sans 300" w:eastAsia="Times New Roman" w:hAnsi="Museo Sans 300" w:cs="Calibri Light"/>
          <w:b/>
          <w:i/>
          <w:lang w:eastAsia="es-ES"/>
        </w:rPr>
        <w:t>Listado de personas que recibieron dinero con cargo a los objetos específicos 56301, 56302, 56303, 56304, 56305 (donaciones) de parte de la entidad del Estado de la cual usted es oficial de información, incluyendo el nombre completo de cada una de estas, el motivo de la transferencia y el monto recibido, para los años 2020</w:t>
      </w:r>
      <w:r w:rsidRPr="0045094A">
        <w:rPr>
          <w:rFonts w:ascii="Museo Sans 300" w:eastAsia="Times New Roman" w:hAnsi="Museo Sans 300" w:cs="Calibri Light"/>
          <w:b/>
          <w:i/>
          <w:lang w:eastAsia="es-ES"/>
        </w:rPr>
        <w:t>”</w:t>
      </w:r>
      <w:r w:rsidRPr="0045094A">
        <w:rPr>
          <w:rFonts w:ascii="Museo Sans 300" w:eastAsia="Times New Roman" w:hAnsi="Museo Sans 300" w:cs="Calibri Light"/>
          <w:i/>
          <w:lang w:eastAsia="es-ES"/>
        </w:rPr>
        <w:t>, lo solicitado recae sobre las causales que configuran una información inexistente, por lo que, se debe indicar al ciudadano que esta no ha sido producida por la Institución.</w:t>
      </w:r>
    </w:p>
    <w:p w:rsidR="0045094A" w:rsidRPr="0045094A" w:rsidRDefault="0045094A" w:rsidP="003B7100">
      <w:pPr>
        <w:spacing w:after="0" w:line="360" w:lineRule="auto"/>
        <w:jc w:val="both"/>
        <w:rPr>
          <w:rFonts w:ascii="Museo Sans 300" w:eastAsia="Calibri" w:hAnsi="Museo Sans 300" w:cs="Times New Roman"/>
        </w:rPr>
      </w:pPr>
    </w:p>
    <w:p w:rsidR="0045094A" w:rsidRPr="0045094A" w:rsidRDefault="0045094A" w:rsidP="003B7100">
      <w:pPr>
        <w:spacing w:after="0" w:line="360" w:lineRule="auto"/>
        <w:ind w:firstLine="709"/>
        <w:jc w:val="both"/>
        <w:rPr>
          <w:rFonts w:ascii="Museo Sans 300" w:eastAsia="Times New Roman" w:hAnsi="Museo Sans 300" w:cs="Calibri Light"/>
          <w:i/>
          <w:lang w:eastAsia="es-ES"/>
        </w:rPr>
      </w:pPr>
      <w:r w:rsidRPr="0045094A">
        <w:rPr>
          <w:rFonts w:ascii="Museo Sans 300" w:eastAsia="Times New Roman" w:hAnsi="Museo Sans 300" w:cs="Calibri Light"/>
          <w:i/>
          <w:lang w:eastAsia="es-ES"/>
        </w:rPr>
        <w:tab/>
        <w:t xml:space="preserve">Por tanto, una solicitud de información debe recaer sobre </w:t>
      </w:r>
      <w:r w:rsidRPr="0045094A">
        <w:rPr>
          <w:rFonts w:ascii="Museo Sans 300" w:eastAsia="Times New Roman" w:hAnsi="Museo Sans 300" w:cs="Calibri Light"/>
          <w:b/>
          <w:i/>
          <w:u w:val="single"/>
          <w:lang w:eastAsia="es-ES"/>
        </w:rPr>
        <w:t>documentos, archivos, datos, bases de datos, comunicaciones y todo tipo de registros que documenten el ejercicio de sus facultades o actividades, que consten en cualquier medio, ya sea impreso, óptico o electrónico</w:t>
      </w:r>
      <w:r w:rsidRPr="0045094A">
        <w:rPr>
          <w:rFonts w:ascii="Museo Sans 300" w:eastAsia="Times New Roman" w:hAnsi="Museo Sans 300" w:cs="Calibri Light"/>
          <w:i/>
          <w:lang w:eastAsia="es-ES"/>
        </w:rPr>
        <w:t>; y no habiéndose generado</w:t>
      </w:r>
      <w:r w:rsidR="005670A7" w:rsidRPr="005670A7">
        <w:rPr>
          <w:rFonts w:ascii="Museo Sans 300" w:eastAsia="Times New Roman" w:hAnsi="Museo Sans 300" w:cs="Calibri Light"/>
          <w:i/>
          <w:lang w:eastAsia="es-ES"/>
        </w:rPr>
        <w:t xml:space="preserve"> información respecto a personas que recibieron dinero con cargo a los objetos 56301, 56302, 56303, 56304 y 56305 de parte de CEPA en lo que va del año dos mil veinte</w:t>
      </w:r>
      <w:r w:rsidRPr="0045094A">
        <w:rPr>
          <w:rFonts w:ascii="Museo Sans 300" w:eastAsia="Times New Roman" w:hAnsi="Museo Sans 300" w:cs="Calibri Light"/>
          <w:i/>
          <w:lang w:eastAsia="es-ES"/>
        </w:rPr>
        <w:t>, es procedente declarar la solicitud de información como inexistente.</w:t>
      </w:r>
    </w:p>
    <w:p w:rsidR="00187B59" w:rsidRPr="00187B59" w:rsidRDefault="00187B59" w:rsidP="003B7100">
      <w:pPr>
        <w:spacing w:after="0" w:line="360" w:lineRule="auto"/>
        <w:jc w:val="both"/>
        <w:rPr>
          <w:rFonts w:ascii="Museo Sans 300" w:eastAsia="Times New Roman" w:hAnsi="Museo Sans 300" w:cs="Calibri Light"/>
          <w:i/>
          <w:lang w:eastAsia="es-ES"/>
        </w:rPr>
      </w:pPr>
      <w:bookmarkStart w:id="0" w:name="_GoBack"/>
      <w:bookmarkEnd w:id="0"/>
    </w:p>
    <w:p w:rsidR="00187B59" w:rsidRPr="00187B59" w:rsidRDefault="00187B59" w:rsidP="003B7100">
      <w:pPr>
        <w:tabs>
          <w:tab w:val="left" w:pos="4080"/>
        </w:tabs>
        <w:spacing w:after="0" w:line="360" w:lineRule="auto"/>
        <w:ind w:firstLine="709"/>
        <w:jc w:val="both"/>
        <w:rPr>
          <w:rFonts w:ascii="Museo Sans 300" w:eastAsia="Times New Roman" w:hAnsi="Museo Sans 300" w:cs="Calibri Light"/>
          <w:b/>
          <w:lang w:eastAsia="es-ES"/>
        </w:rPr>
      </w:pPr>
      <w:r w:rsidRPr="00187B59">
        <w:rPr>
          <w:rFonts w:ascii="Museo Sans 300" w:eastAsia="Times New Roman" w:hAnsi="Museo Sans 300" w:cs="Calibri Light"/>
          <w:lang w:eastAsia="es-ES"/>
        </w:rPr>
        <w:t xml:space="preserve">Con base a lo solicitado y a los artículos 3 letra a), 6 letra c) y d), 10 número 19, 20, 62 inciso segundo 65 y 72 letra c) de la Ley de Acceso a la Información Pública -LAIP-, se </w:t>
      </w:r>
      <w:r w:rsidRPr="00187B59">
        <w:rPr>
          <w:rFonts w:ascii="Museo Sans 300" w:eastAsia="Times New Roman" w:hAnsi="Museo Sans 300" w:cs="Calibri Light"/>
          <w:b/>
          <w:lang w:eastAsia="es-ES"/>
        </w:rPr>
        <w:t>RESUELVE:</w:t>
      </w:r>
      <w:r w:rsidRPr="00187B59">
        <w:rPr>
          <w:rFonts w:ascii="Museo Sans 300" w:eastAsia="Times New Roman" w:hAnsi="Museo Sans 300" w:cs="Calibri Light"/>
          <w:b/>
          <w:lang w:eastAsia="es-ES"/>
        </w:rPr>
        <w:tab/>
      </w:r>
    </w:p>
    <w:p w:rsidR="00187B59" w:rsidRPr="00187B59" w:rsidRDefault="00187B59" w:rsidP="00187B59">
      <w:pPr>
        <w:spacing w:after="0" w:line="276" w:lineRule="auto"/>
        <w:jc w:val="both"/>
        <w:rPr>
          <w:rFonts w:ascii="Museo Sans 300" w:eastAsia="Times New Roman" w:hAnsi="Museo Sans 300" w:cs="Calibri Light"/>
          <w:lang w:eastAsia="es-ES"/>
        </w:rPr>
      </w:pPr>
    </w:p>
    <w:p w:rsidR="005670A7" w:rsidRPr="005670A7" w:rsidRDefault="00187B59" w:rsidP="00187B59">
      <w:pPr>
        <w:numPr>
          <w:ilvl w:val="0"/>
          <w:numId w:val="1"/>
        </w:numPr>
        <w:spacing w:before="172" w:after="0" w:line="276" w:lineRule="auto"/>
        <w:ind w:left="851" w:right="108"/>
        <w:jc w:val="both"/>
        <w:rPr>
          <w:rFonts w:ascii="Museo Sans 300" w:eastAsia="Calibri" w:hAnsi="Museo Sans 300" w:cs="Calibri Light"/>
        </w:rPr>
      </w:pPr>
      <w:r w:rsidRPr="00187B59">
        <w:rPr>
          <w:rFonts w:ascii="Museo Sans 300" w:eastAsia="Calibri" w:hAnsi="Museo Sans 300" w:cs="Calibri Light"/>
        </w:rPr>
        <w:t xml:space="preserve">Indíquesele al solicitante que, la información requerida en </w:t>
      </w:r>
      <w:r w:rsidR="005670A7" w:rsidRPr="005670A7">
        <w:rPr>
          <w:rFonts w:ascii="Museo Sans 300" w:eastAsia="Calibri" w:hAnsi="Museo Sans 300" w:cs="Calibri Light"/>
        </w:rPr>
        <w:t>su</w:t>
      </w:r>
      <w:r w:rsidRPr="00187B59">
        <w:rPr>
          <w:rFonts w:ascii="Museo Sans 300" w:eastAsia="Calibri" w:hAnsi="Museo Sans 300" w:cs="Calibri Light"/>
        </w:rPr>
        <w:t xml:space="preserve"> escrito de solicitud de información puede ser consultado en el portal de transparencia de CEPA, accediendo al mismo, a través de la dirección electrónica </w:t>
      </w:r>
      <w:hyperlink r:id="rId5" w:history="1">
        <w:r w:rsidRPr="005670A7">
          <w:rPr>
            <w:rFonts w:ascii="Museo Sans 300" w:eastAsia="Calibri" w:hAnsi="Museo Sans 300" w:cs="Times New Roman"/>
            <w:color w:val="0000FF"/>
            <w:u w:val="single"/>
          </w:rPr>
          <w:t>https://www.transparencia.gob.sv/institutions/cepa</w:t>
        </w:r>
      </w:hyperlink>
      <w:r w:rsidRPr="00187B59">
        <w:rPr>
          <w:rFonts w:ascii="Museo Sans 300" w:eastAsia="Calibri" w:hAnsi="Museo Sans 300" w:cs="Times New Roman"/>
        </w:rPr>
        <w:t xml:space="preserve"> en el índice del lado izquierdo en la pantalla en “MARCO PRESUPUESTARIO” se encuentra el botón de “Contrataciones y adquisiciones” </w:t>
      </w:r>
      <w:r w:rsidR="005670A7" w:rsidRPr="005670A7">
        <w:rPr>
          <w:rFonts w:ascii="Museo Sans 300" w:eastAsia="Calibri" w:hAnsi="Museo Sans 300" w:cs="Times New Roman"/>
        </w:rPr>
        <w:t xml:space="preserve"> y “Recursos públicos destinados a privados”, utilizando los filtros de búsqueda para encontrar la información en los periodos de tiempo o años que se desea consultar</w:t>
      </w:r>
      <w:r w:rsidRPr="00187B59">
        <w:rPr>
          <w:rFonts w:ascii="Museo Sans 300" w:eastAsia="Calibri" w:hAnsi="Museo Sans 300" w:cs="Times New Roman"/>
        </w:rPr>
        <w:t>.</w:t>
      </w:r>
    </w:p>
    <w:p w:rsidR="00187B59" w:rsidRPr="00187B59" w:rsidRDefault="005670A7" w:rsidP="00187B59">
      <w:pPr>
        <w:numPr>
          <w:ilvl w:val="0"/>
          <w:numId w:val="1"/>
        </w:numPr>
        <w:spacing w:before="172" w:after="0" w:line="276" w:lineRule="auto"/>
        <w:ind w:left="851" w:right="108"/>
        <w:jc w:val="both"/>
        <w:rPr>
          <w:rFonts w:ascii="Museo Sans 300" w:eastAsia="Calibri" w:hAnsi="Museo Sans 300" w:cs="Calibri Light"/>
        </w:rPr>
      </w:pPr>
      <w:r w:rsidRPr="005670A7">
        <w:rPr>
          <w:rFonts w:ascii="Museo Sans 300" w:eastAsia="Times New Roman" w:hAnsi="Museo Sans 300" w:cs="Calibri Light"/>
          <w:lang w:eastAsia="es-ES"/>
        </w:rPr>
        <w:t>Declárese inexistente la información relativa a “</w:t>
      </w:r>
      <w:r w:rsidRPr="005670A7">
        <w:rPr>
          <w:rFonts w:ascii="Museo Sans 300" w:eastAsia="Times New Roman" w:hAnsi="Museo Sans 300" w:cs="Calibri Light"/>
          <w:i/>
          <w:lang w:eastAsia="es-ES"/>
        </w:rPr>
        <w:t>personas que recibieron dinero con cargo a los objetos 56301, 56302, 56303, 56304 y 56305 de parte de CEPA en lo que va del año dos mil veinte</w:t>
      </w:r>
      <w:r w:rsidRPr="005670A7">
        <w:rPr>
          <w:rFonts w:ascii="Museo Sans 300" w:eastAsia="Times New Roman" w:hAnsi="Museo Sans 300" w:cs="Calibri Light"/>
          <w:i/>
          <w:lang w:eastAsia="es-ES"/>
        </w:rPr>
        <w:t>”</w:t>
      </w:r>
      <w:r w:rsidRPr="005670A7">
        <w:rPr>
          <w:rFonts w:ascii="Museo Sans 300" w:eastAsia="Times New Roman" w:hAnsi="Museo Sans 300" w:cs="Calibri Light"/>
          <w:lang w:eastAsia="es-ES"/>
        </w:rPr>
        <w:t xml:space="preserve"> por no haberse generado.</w:t>
      </w:r>
      <w:r w:rsidR="00187B59" w:rsidRPr="00187B59">
        <w:rPr>
          <w:rFonts w:ascii="Museo Sans 300" w:eastAsia="Times New Roman" w:hAnsi="Museo Sans 300" w:cs="Calibri Light"/>
          <w:lang w:eastAsia="es-ES"/>
        </w:rPr>
        <w:tab/>
      </w:r>
    </w:p>
    <w:p w:rsidR="005670A7" w:rsidRDefault="005670A7" w:rsidP="00187B59">
      <w:pPr>
        <w:spacing w:before="172" w:after="0" w:line="276" w:lineRule="auto"/>
        <w:ind w:right="108"/>
        <w:jc w:val="both"/>
        <w:rPr>
          <w:rFonts w:ascii="Museo Sans 300" w:eastAsia="Times New Roman" w:hAnsi="Museo Sans 300" w:cs="Calibri Light"/>
          <w:b/>
          <w:i/>
          <w:lang w:eastAsia="es-ES"/>
        </w:rPr>
      </w:pPr>
    </w:p>
    <w:p w:rsidR="00187B59" w:rsidRPr="00187B59" w:rsidRDefault="00187B59" w:rsidP="00187B59">
      <w:pPr>
        <w:spacing w:before="172" w:after="0" w:line="276" w:lineRule="auto"/>
        <w:ind w:right="108"/>
        <w:jc w:val="both"/>
        <w:rPr>
          <w:rFonts w:ascii="Museo Sans 300" w:eastAsia="Times New Roman" w:hAnsi="Museo Sans 300" w:cs="Calibri Light"/>
          <w:b/>
          <w:i/>
          <w:lang w:eastAsia="es-ES"/>
        </w:rPr>
      </w:pPr>
      <w:r w:rsidRPr="00187B59">
        <w:rPr>
          <w:rFonts w:ascii="Museo Sans 300" w:eastAsia="Times New Roman" w:hAnsi="Museo Sans 300" w:cs="Calibri Light"/>
          <w:b/>
          <w:i/>
          <w:lang w:eastAsia="es-ES"/>
        </w:rPr>
        <w:t>Notifíquese. -</w:t>
      </w:r>
    </w:p>
    <w:p w:rsidR="00187B59" w:rsidRPr="00187B59" w:rsidRDefault="00187B59" w:rsidP="00187B59">
      <w:pPr>
        <w:spacing w:before="172" w:after="0" w:line="276" w:lineRule="auto"/>
        <w:ind w:right="108"/>
        <w:jc w:val="both"/>
        <w:rPr>
          <w:rFonts w:ascii="Museo 300" w:eastAsia="Times New Roman" w:hAnsi="Museo 300" w:cs="Calibri Light"/>
          <w:sz w:val="18"/>
          <w:szCs w:val="18"/>
          <w:lang w:eastAsia="es-ES"/>
        </w:rPr>
      </w:pPr>
      <w:r w:rsidRPr="00187B59">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187B59">
        <w:rPr>
          <w:rFonts w:ascii="Museo 300" w:eastAsia="Times New Roman" w:hAnsi="Museo 300" w:cs="Calibri Light"/>
          <w:color w:val="0563C1"/>
          <w:sz w:val="18"/>
          <w:szCs w:val="18"/>
          <w:u w:val="single"/>
          <w:lang w:eastAsia="es-ES"/>
        </w:rPr>
        <w:t>http://www.transparencia.gob.sv,</w:t>
      </w:r>
      <w:r w:rsidRPr="00187B59">
        <w:rPr>
          <w:rFonts w:ascii="Museo 300" w:eastAsia="Times New Roman" w:hAnsi="Museo 300" w:cs="Calibri Light"/>
          <w:sz w:val="18"/>
          <w:szCs w:val="18"/>
          <w:lang w:eastAsia="es-ES"/>
        </w:rPr>
        <w:t xml:space="preserve"> mediante “Comisión Ejecutiva Portuaria Autónoma”.</w:t>
      </w:r>
    </w:p>
    <w:p w:rsidR="00187B59" w:rsidRPr="00187B59" w:rsidRDefault="00187B59" w:rsidP="00187B59">
      <w:pPr>
        <w:tabs>
          <w:tab w:val="left" w:pos="5633"/>
        </w:tabs>
        <w:spacing w:before="172" w:after="0" w:line="276" w:lineRule="auto"/>
        <w:ind w:left="720" w:right="108"/>
        <w:jc w:val="both"/>
        <w:rPr>
          <w:rFonts w:ascii="Museo 300" w:eastAsia="Times New Roman" w:hAnsi="Museo 300" w:cs="Calibri Light"/>
          <w:sz w:val="24"/>
          <w:szCs w:val="24"/>
          <w:lang w:eastAsia="es-ES"/>
        </w:rPr>
      </w:pPr>
    </w:p>
    <w:p w:rsidR="00187B59" w:rsidRPr="00187B59" w:rsidRDefault="00187B59" w:rsidP="00187B59">
      <w:pPr>
        <w:spacing w:before="172" w:after="0" w:line="240" w:lineRule="auto"/>
        <w:ind w:right="108"/>
        <w:jc w:val="both"/>
        <w:rPr>
          <w:rFonts w:ascii="Museo 300" w:eastAsia="Times New Roman" w:hAnsi="Museo 300" w:cs="Calibri Light"/>
          <w:sz w:val="24"/>
          <w:szCs w:val="24"/>
          <w:lang w:eastAsia="es-ES"/>
        </w:rPr>
      </w:pPr>
    </w:p>
    <w:p w:rsidR="00187B59" w:rsidRDefault="00187B59" w:rsidP="00187B59">
      <w:pPr>
        <w:spacing w:before="172" w:after="0" w:line="240" w:lineRule="auto"/>
        <w:ind w:right="108"/>
        <w:jc w:val="both"/>
        <w:rPr>
          <w:rFonts w:ascii="Museo 300" w:eastAsia="Times New Roman" w:hAnsi="Museo 300" w:cs="Calibri Light"/>
          <w:sz w:val="24"/>
          <w:szCs w:val="24"/>
          <w:lang w:eastAsia="es-ES"/>
        </w:rPr>
      </w:pPr>
    </w:p>
    <w:p w:rsidR="005670A7" w:rsidRDefault="005670A7" w:rsidP="00187B59">
      <w:pPr>
        <w:spacing w:before="172" w:after="0" w:line="240" w:lineRule="auto"/>
        <w:ind w:right="108"/>
        <w:jc w:val="both"/>
        <w:rPr>
          <w:rFonts w:ascii="Museo 300" w:eastAsia="Times New Roman" w:hAnsi="Museo 300" w:cs="Calibri Light"/>
          <w:sz w:val="24"/>
          <w:szCs w:val="24"/>
          <w:lang w:eastAsia="es-ES"/>
        </w:rPr>
      </w:pPr>
    </w:p>
    <w:p w:rsidR="005670A7" w:rsidRPr="00187B59" w:rsidRDefault="005670A7" w:rsidP="00187B59">
      <w:pPr>
        <w:spacing w:before="172" w:after="0" w:line="240" w:lineRule="auto"/>
        <w:ind w:right="108"/>
        <w:jc w:val="both"/>
        <w:rPr>
          <w:rFonts w:ascii="Museo 300" w:eastAsia="Times New Roman" w:hAnsi="Museo 300" w:cs="Calibri Light"/>
          <w:sz w:val="24"/>
          <w:szCs w:val="24"/>
          <w:lang w:eastAsia="es-ES"/>
        </w:rPr>
      </w:pPr>
    </w:p>
    <w:p w:rsidR="00187B59" w:rsidRPr="00187B59" w:rsidRDefault="00187B59" w:rsidP="00187B59">
      <w:pPr>
        <w:spacing w:after="0" w:line="240" w:lineRule="auto"/>
        <w:ind w:left="2832" w:right="108"/>
        <w:jc w:val="both"/>
        <w:rPr>
          <w:rFonts w:ascii="Museo Sans 300" w:eastAsia="Times New Roman" w:hAnsi="Museo Sans 300" w:cs="Calibri Light"/>
          <w:sz w:val="24"/>
          <w:szCs w:val="24"/>
          <w:lang w:eastAsia="es-ES"/>
        </w:rPr>
      </w:pPr>
      <w:r w:rsidRPr="00187B59">
        <w:rPr>
          <w:rFonts w:ascii="Museo Sans 300" w:eastAsia="Times New Roman" w:hAnsi="Museo Sans 300" w:cs="Calibri Light"/>
          <w:sz w:val="24"/>
          <w:szCs w:val="24"/>
          <w:lang w:eastAsia="es-ES"/>
        </w:rPr>
        <w:t>Ricardo Alfonso Alas Hernández</w:t>
      </w:r>
    </w:p>
    <w:p w:rsidR="00187B59" w:rsidRPr="00187B59" w:rsidRDefault="00187B59" w:rsidP="00187B59">
      <w:pPr>
        <w:spacing w:after="0" w:line="240" w:lineRule="auto"/>
        <w:ind w:right="108"/>
        <w:jc w:val="center"/>
        <w:rPr>
          <w:rFonts w:ascii="Calibri" w:eastAsia="Calibri" w:hAnsi="Calibri" w:cs="Times New Roman"/>
        </w:rPr>
      </w:pPr>
      <w:r w:rsidRPr="00187B59">
        <w:rPr>
          <w:rFonts w:ascii="Museo Sans 300" w:eastAsia="Times New Roman" w:hAnsi="Museo Sans 300" w:cs="Calibri Light"/>
          <w:sz w:val="24"/>
          <w:szCs w:val="24"/>
          <w:lang w:eastAsia="es-ES"/>
        </w:rPr>
        <w:t>Oficial de Información.</w:t>
      </w:r>
    </w:p>
    <w:p w:rsidR="001E4113" w:rsidRDefault="00670866"/>
    <w:sectPr w:rsidR="001E4113" w:rsidSect="008B7517">
      <w:headerReference w:type="default" r:id="rId6"/>
      <w:footerReference w:type="default" r:id="rId7"/>
      <w:pgSz w:w="12240" w:h="15840"/>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85C" w:rsidRPr="00F71578" w:rsidRDefault="00670866" w:rsidP="00842737">
    <w:pPr>
      <w:pStyle w:val="Piedepgina"/>
      <w:tabs>
        <w:tab w:val="left" w:pos="611"/>
        <w:tab w:val="center" w:pos="4986"/>
      </w:tabs>
      <w:rPr>
        <w:sz w:val="14"/>
      </w:rP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85C" w:rsidRPr="00847FBB" w:rsidRDefault="00670866" w:rsidP="00847FBB">
    <w:pPr>
      <w:pStyle w:val="Encabezado"/>
    </w:pPr>
    <w:r w:rsidRPr="00847FBB">
      <w:rPr>
        <w:noProof/>
        <w:lang w:eastAsia="es-SV"/>
      </w:rPr>
      <w:drawing>
        <wp:anchor distT="0" distB="0" distL="114300" distR="114300" simplePos="0" relativeHeight="251659264" behindDoc="1" locked="0" layoutInCell="1" allowOverlap="1" wp14:anchorId="3B2B79C0" wp14:editId="0DEA99C3">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25A83"/>
    <w:multiLevelType w:val="hybridMultilevel"/>
    <w:tmpl w:val="36827E0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59"/>
    <w:rsid w:val="00031603"/>
    <w:rsid w:val="00187B59"/>
    <w:rsid w:val="00397328"/>
    <w:rsid w:val="003B7100"/>
    <w:rsid w:val="0045094A"/>
    <w:rsid w:val="004D0D3F"/>
    <w:rsid w:val="005670A7"/>
    <w:rsid w:val="005B00DF"/>
    <w:rsid w:val="00670866"/>
    <w:rsid w:val="006A1B81"/>
    <w:rsid w:val="00E038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24FF"/>
  <w15:chartTrackingRefBased/>
  <w15:docId w15:val="{BA3D4A18-8EB8-4DDB-88AE-50F3EEA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87B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87B59"/>
  </w:style>
  <w:style w:type="paragraph" w:styleId="Piedepgina">
    <w:name w:val="footer"/>
    <w:basedOn w:val="Normal"/>
    <w:link w:val="PiedepginaCar"/>
    <w:uiPriority w:val="99"/>
    <w:semiHidden/>
    <w:unhideWhenUsed/>
    <w:rsid w:val="00187B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87B59"/>
  </w:style>
  <w:style w:type="paragraph" w:styleId="Textodeglobo">
    <w:name w:val="Balloon Text"/>
    <w:basedOn w:val="Normal"/>
    <w:link w:val="TextodegloboCar"/>
    <w:uiPriority w:val="99"/>
    <w:semiHidden/>
    <w:unhideWhenUsed/>
    <w:rsid w:val="003B71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7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transparencia.gob.sv/institutions/cepa"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Ricardo Alfonso Alas Hernandez</cp:lastModifiedBy>
  <cp:revision>1</cp:revision>
  <cp:lastPrinted>2020-08-17T22:26:00Z</cp:lastPrinted>
  <dcterms:created xsi:type="dcterms:W3CDTF">2020-08-17T20:58:00Z</dcterms:created>
  <dcterms:modified xsi:type="dcterms:W3CDTF">2020-08-17T22:30:00Z</dcterms:modified>
</cp:coreProperties>
</file>