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FF" w:rsidRPr="00717362" w:rsidRDefault="009E2DFF" w:rsidP="009E2DFF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Res_UAIP_0</w:t>
      </w:r>
      <w:r>
        <w:rPr>
          <w:rFonts w:ascii="Museo Sans 300" w:eastAsia="Times New Roman" w:hAnsi="Museo Sans 300" w:cs="Calibri Light"/>
          <w:b/>
          <w:lang w:val="es-ES_tradnl" w:eastAsia="es-ES"/>
        </w:rPr>
        <w:t>93</w:t>
      </w:r>
      <w:r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9E2DFF" w:rsidRPr="00717362" w:rsidRDefault="009E2DFF" w:rsidP="009E2DFF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9E2DFF" w:rsidRDefault="009E2DFF" w:rsidP="009E2DFF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>; San Salvador, a las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="00F67188">
        <w:rPr>
          <w:rFonts w:ascii="Museo Sans 300" w:eastAsia="Calibri" w:hAnsi="Museo Sans 300" w:cs="Calibri Light"/>
          <w:lang w:val="es-ES_tradnl" w:eastAsia="es-ES"/>
        </w:rPr>
        <w:t>once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>
        <w:rPr>
          <w:rFonts w:ascii="Museo Sans 300" w:eastAsia="Calibri" w:hAnsi="Museo Sans 300" w:cs="Calibri Light"/>
          <w:lang w:val="es-ES_tradnl" w:eastAsia="es-ES"/>
        </w:rPr>
        <w:t xml:space="preserve"> con trece minutos del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día</w:t>
      </w:r>
      <w:r>
        <w:rPr>
          <w:rFonts w:ascii="Museo Sans 300" w:eastAsia="Calibri" w:hAnsi="Museo Sans 300" w:cs="Calibri Light"/>
          <w:lang w:val="es-ES_tradnl" w:eastAsia="es-ES"/>
        </w:rPr>
        <w:t xml:space="preserve"> diecinueve de agosto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>
        <w:rPr>
          <w:rFonts w:ascii="Museo Sans 300" w:eastAsia="Calibri" w:hAnsi="Museo Sans 300" w:cs="Calibri Light"/>
          <w:b/>
          <w:lang w:val="es-ES_tradnl" w:eastAsia="es-ES"/>
        </w:rPr>
        <w:t>35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Exportaciones realizadas por El Salvador del producto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del año 2015, 2016, 2017, 2018 y 2019.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B)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Importaciones realizadas en El Salvador del producto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del año 2015, 2016, 2017, 2018 y 2019.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C)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Cantidades numéricas anuales de exportación e importación en toneladas o neto en kilogramos de los años 2015, 2016, 2017, 2018 y 2019 de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D)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País de expedición, origen y procedencia de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E)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Países destino desde El Salvador de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F)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Empresas o consignatarios importadores en El Salvador de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 Y TODOS SUS DERIVADOS</w:t>
      </w:r>
      <w:r>
        <w:rPr>
          <w:rFonts w:ascii="Museo Sans 300" w:eastAsia="Calibri" w:hAnsi="Museo Sans 300" w:cs="Times New Roman"/>
          <w:b/>
          <w:sz w:val="24"/>
          <w:szCs w:val="24"/>
          <w:lang w:val="es-ES"/>
        </w:rPr>
        <w:t>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G)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Empresas o consignatarios exportadores a El Salvador de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 Y TODOS SUS DERIVADOS</w:t>
      </w:r>
      <w:r>
        <w:rPr>
          <w:rFonts w:ascii="Museo Sans 300" w:eastAsia="Calibri" w:hAnsi="Museo Sans 300" w:cs="Times New Roman"/>
          <w:b/>
          <w:sz w:val="24"/>
          <w:szCs w:val="24"/>
          <w:lang w:val="es-ES"/>
        </w:rPr>
        <w:t>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H)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Medio de transporte marítimo, terrestre o aéreo que se utiliza para el tránsito y las exportaciones e importaciones y reexportación de este producto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  <w:r>
        <w:rPr>
          <w:rFonts w:ascii="Museo Sans 300" w:eastAsia="Calibri" w:hAnsi="Museo Sans 300" w:cs="Times New Roman"/>
          <w:b/>
          <w:sz w:val="24"/>
          <w:szCs w:val="24"/>
          <w:lang w:val="es-ES"/>
        </w:rPr>
        <w:t>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I)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Códigos Arancelarios utilizados para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ALETA DE TIBURÓN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>en el tráfico marítimo, aéreo y terrestre.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J)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Permisos requeridos y que se deben presentar para poder importar y exportar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 ALETA DE TIBURÓN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>para tráfico terrestre, aéreo y marítimo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K)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Descarga, Transbordo, Tráfico marítimo y aéreo que reporte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ALETA DE TIBURÓN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>de los años 2015, 2016, 2017, 2018 y 2019.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lastRenderedPageBreak/>
        <w:t>L)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Buques atracados, Vuelos y tránsito aéreo</w:t>
      </w:r>
      <w:r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que reporten en su mercadería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ALETA DE TIBURÓN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>de los años 2015, 2016, 2017, 2018 y 2019.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M)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Procedencia de buques atracados en muelles y Destino de buques atracados en muelles-boyas, guías aéreas, manifiestos aéreos que reporten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ALETA DE TIBURÓN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>de los años 2015, 2016, 2017, 2018 y 2019.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 xml:space="preserve">N) 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Almacenadoras y Contenedores que reporten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y su valor de carga de los años 2015, 2016, 2017, 2018 y 2019.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O)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País de primer destino, ya sea tránsito terrestre, marítimo o aéreo; Y Aduana de Destino y de salida de los años 2015, 2016, 2017, 2018 y 2019 del producto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</w:t>
      </w:r>
      <w:r>
        <w:rPr>
          <w:rFonts w:ascii="Museo Sans 300" w:eastAsia="Calibri" w:hAnsi="Museo Sans 300" w:cs="Times New Roman"/>
          <w:b/>
          <w:sz w:val="24"/>
          <w:szCs w:val="24"/>
          <w:lang w:val="es-ES"/>
        </w:rPr>
        <w:t>.</w:t>
      </w:r>
    </w:p>
    <w:p w:rsidR="009E2DFF" w:rsidRPr="00316C3B" w:rsidRDefault="009E2DFF" w:rsidP="009E2DFF">
      <w:pPr>
        <w:pStyle w:val="Prrafodelista"/>
        <w:numPr>
          <w:ilvl w:val="0"/>
          <w:numId w:val="2"/>
        </w:num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L)</w:t>
      </w:r>
      <w:r w:rsidRPr="00316C3B">
        <w:rPr>
          <w:rFonts w:ascii="Museo Sans 300" w:eastAsia="Calibri" w:hAnsi="Museo Sans 300" w:cs="Times New Roman"/>
          <w:sz w:val="24"/>
          <w:szCs w:val="24"/>
          <w:lang w:val="es-ES"/>
        </w:rPr>
        <w:t xml:space="preserve"> Reportes anuales por parte de El Aeropuerto Internacional de El Salvador San Óscar Arnulfo Romero y Galdámez (AIES), PUERTO LA UNION, PUERTO DE ACAJUTLA de los años 2015, 2016, 2017, 2018 y 2019 en relación al producto </w:t>
      </w:r>
      <w:r w:rsidRPr="00316C3B">
        <w:rPr>
          <w:rFonts w:ascii="Museo Sans 300" w:eastAsia="Calibri" w:hAnsi="Museo Sans 300" w:cs="Times New Roman"/>
          <w:b/>
          <w:sz w:val="24"/>
          <w:szCs w:val="24"/>
          <w:lang w:val="es-ES"/>
        </w:rPr>
        <w:t>ALETA DE TIBURÓN.</w:t>
      </w:r>
    </w:p>
    <w:p w:rsidR="009E2DFF" w:rsidRDefault="009E2DFF" w:rsidP="009E2DFF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9E2DFF" w:rsidRPr="00717362" w:rsidRDefault="009E2DFF" w:rsidP="009E2DFF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9E2DFF" w:rsidRDefault="009E2DFF" w:rsidP="009E2DFF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9E2DFF" w:rsidRPr="005E25F2" w:rsidRDefault="009E2DFF" w:rsidP="009E2DFF">
      <w:pPr>
        <w:tabs>
          <w:tab w:val="left" w:pos="4080"/>
        </w:tabs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 xml:space="preserve">Para pronunciarse sobre </w:t>
      </w:r>
      <w:r>
        <w:rPr>
          <w:rFonts w:ascii="Museo Sans 300" w:eastAsia="Times New Roman" w:hAnsi="Museo Sans 300" w:cs="Calibri Light"/>
          <w:lang w:eastAsia="es-ES"/>
        </w:rPr>
        <w:t xml:space="preserve">la </w:t>
      </w:r>
      <w:r w:rsidRPr="005E25F2">
        <w:rPr>
          <w:rFonts w:ascii="Museo Sans 300" w:eastAsia="Times New Roman" w:hAnsi="Museo Sans 300" w:cs="Calibri Light"/>
          <w:lang w:eastAsia="es-ES"/>
        </w:rPr>
        <w:t>procedencia de la información solicitada, se analizará de la siguiente manera: (I) Breve referencia al Derecho de Acceso a la Información Pública; (II) Sobre la inexistencia de información; IV) Sobre la procedencia de la solicitud de información.</w:t>
      </w:r>
    </w:p>
    <w:p w:rsidR="009E2DFF" w:rsidRPr="005E25F2" w:rsidRDefault="009E2DFF" w:rsidP="009E2DFF">
      <w:pPr>
        <w:tabs>
          <w:tab w:val="left" w:pos="4080"/>
        </w:tabs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9E2DFF" w:rsidRPr="005E25F2" w:rsidRDefault="009E2DFF" w:rsidP="009E2DFF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ab/>
      </w:r>
      <w:r w:rsidRPr="005E25F2">
        <w:rPr>
          <w:rFonts w:ascii="Museo Sans 300" w:eastAsia="Times New Roman" w:hAnsi="Museo Sans 300" w:cs="Calibri Light"/>
          <w:b/>
          <w:lang w:eastAsia="es-ES"/>
        </w:rPr>
        <w:t>I.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El Derecho de Acceso a la Información Pública (DAIP) es un derecho constitucional “implícito”; es decir, no regulado expresamente por la Constitución (Cn), pero que tiene una condición indiscutible de derecho fundamental surgida del derecho a la libertad de expresión regulado en el artículo 6 de la Cn.</w:t>
      </w:r>
    </w:p>
    <w:p w:rsidR="009E2DFF" w:rsidRPr="005E25F2" w:rsidRDefault="009E2DFF" w:rsidP="009E2DFF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9E2DFF" w:rsidRPr="005E25F2" w:rsidRDefault="009E2DFF" w:rsidP="009E2DFF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ab/>
        <w:t xml:space="preserve">El DAIP comprende la facultad de buscar, recibir y difundir datos, ideas o información de toda índole, pública o privada, que tengan “interés público”. Este “derecho a saber” se enmarca en el ámbito de las libertades individuales, aunque también tiene un </w:t>
      </w:r>
      <w:r w:rsidRPr="005E25F2">
        <w:rPr>
          <w:rFonts w:ascii="Museo Sans 300" w:eastAsia="Times New Roman" w:hAnsi="Museo Sans 300" w:cs="Calibri Light"/>
          <w:lang w:eastAsia="es-ES"/>
        </w:rPr>
        <w:lastRenderedPageBreak/>
        <w:t>carácter colectivo que adquiere relevancia para el fortalecimiento del Estado democrático de derecho, porque su ejercicio garantiza la transparencia y permite a las personas acceder libremente a la información en poder de las instituciones del Estado, como mecanismo de control social a la gestión pública.</w:t>
      </w:r>
    </w:p>
    <w:p w:rsidR="009E2DFF" w:rsidRPr="005E25F2" w:rsidRDefault="009E2DFF" w:rsidP="009E2DFF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9E2DFF" w:rsidRPr="005E25F2" w:rsidRDefault="009E2DFF" w:rsidP="009E2DFF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  <w:r w:rsidRPr="005E25F2">
        <w:rPr>
          <w:rFonts w:ascii="Museo Sans 300" w:eastAsia="Times New Roman" w:hAnsi="Museo Sans 300" w:cs="Calibri Light"/>
          <w:lang w:eastAsia="es-ES"/>
        </w:rPr>
        <w:tab/>
        <w:t xml:space="preserve">La Ley de Acceso a la Información Pública, en adelante -LAIP-, brinda una definición de lo que deberá entenderse por “Información Pública”, estableciendo, que es aquella en poder de los entes obligados contenida en 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>documentos, archivos, datos, bases de datos, comunicaciones y todo tipo de registros que documenten el ejercicio de sus facultades o actividades</w:t>
      </w:r>
      <w:r w:rsidRPr="005E25F2">
        <w:rPr>
          <w:rFonts w:ascii="Museo Sans 300" w:eastAsia="Times New Roman" w:hAnsi="Museo Sans 300" w:cs="Calibri Light"/>
          <w:lang w:eastAsia="es-ES"/>
        </w:rPr>
        <w:t>, que consten en cualquier medio, ya sea impreso, óptico o electrónico, independientemente de su fuente, fecha de elaboración, y que no sea confidencial. Dicha información podrá haber sido generada, obtenida, transformada o conservada por éstos a cualquier título.</w:t>
      </w:r>
    </w:p>
    <w:p w:rsidR="009E2DFF" w:rsidRPr="005E25F2" w:rsidRDefault="009E2DFF" w:rsidP="009E2DFF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9E2DFF" w:rsidRPr="005E25F2" w:rsidRDefault="009E2DFF" w:rsidP="009E2DFF">
      <w:pPr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5E25F2">
        <w:rPr>
          <w:rFonts w:ascii="Museo Sans 300" w:eastAsia="Times New Roman" w:hAnsi="Museo Sans 300" w:cs="Calibri Light"/>
          <w:b/>
          <w:lang w:eastAsia="es-ES"/>
        </w:rPr>
        <w:t>II.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En cuanto a la inexistencia de información, el Instituto de Acceso a la Información Pública –IAIP-, ha sostenido en sus resoluciones que la figura procede, cuando se configuran alguna de las siguientes causales: </w:t>
      </w:r>
      <w:r w:rsidRPr="005E25F2">
        <w:rPr>
          <w:rFonts w:ascii="Museo Sans 300" w:eastAsia="Times New Roman" w:hAnsi="Museo Sans 300" w:cs="Calibri Light"/>
          <w:b/>
          <w:bCs/>
          <w:i/>
          <w:lang w:eastAsia="es-ES"/>
        </w:rPr>
        <w:t>a) que nunca se haya generado el documento respectivo,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 xml:space="preserve"> 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b) que el documento se encuentre en los archivos del ente obligado, pero se haya destruido por su antigüedad, fuerza mayor o caso fortuito; </w:t>
      </w:r>
      <w:r w:rsidRPr="005E25F2">
        <w:rPr>
          <w:rFonts w:ascii="Museo Sans 300" w:eastAsia="Times New Roman" w:hAnsi="Museo Sans 300" w:cs="Calibri Light"/>
          <w:bCs/>
          <w:i/>
          <w:lang w:eastAsia="es-ES"/>
        </w:rPr>
        <w:t>y c) que la información haya estado en los archivos de la dependencia o entidad y su inexistencia se derive de su destrucción.</w:t>
      </w:r>
      <w:r w:rsidRPr="005E25F2">
        <w:rPr>
          <w:rFonts w:ascii="Museo Sans 300" w:eastAsia="Times New Roman" w:hAnsi="Museo Sans 300" w:cs="Calibri Light"/>
          <w:b/>
          <w:bCs/>
          <w:i/>
          <w:lang w:eastAsia="es-ES"/>
        </w:rPr>
        <w:t xml:space="preserve"> </w:t>
      </w:r>
    </w:p>
    <w:p w:rsidR="009E2DFF" w:rsidRPr="005E25F2" w:rsidRDefault="009E2DFF" w:rsidP="009E2DFF">
      <w:pPr>
        <w:spacing w:after="0" w:line="360" w:lineRule="auto"/>
        <w:ind w:firstLine="709"/>
        <w:jc w:val="both"/>
        <w:rPr>
          <w:rFonts w:ascii="Museo Sans 300" w:eastAsia="Times New Roman" w:hAnsi="Museo Sans 300" w:cs="Calibri Light"/>
          <w:lang w:eastAsia="es-ES"/>
        </w:rPr>
      </w:pPr>
    </w:p>
    <w:p w:rsidR="009E2DFF" w:rsidRPr="005E25F2" w:rsidRDefault="009E2DFF" w:rsidP="009E2DFF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5E25F2">
        <w:rPr>
          <w:rFonts w:ascii="Museo Sans 300" w:eastAsia="Times New Roman" w:hAnsi="Museo Sans 300" w:cs="Calibri Light"/>
          <w:i/>
          <w:lang w:eastAsia="es-ES"/>
        </w:rPr>
        <w:tab/>
        <w:t xml:space="preserve">Vista la solicitud de información en cuanto a 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>“</w:t>
      </w:r>
      <w:r w:rsidR="00F864D1">
        <w:rPr>
          <w:rFonts w:ascii="Museo Sans 300" w:eastAsia="Calibri" w:hAnsi="Museo Sans 300" w:cs="Calibri Light"/>
          <w:b/>
          <w:bCs/>
          <w:i/>
          <w:lang w:val="es-ES_tradnl" w:eastAsia="es-ES"/>
        </w:rPr>
        <w:t>importaciones y exportaciones del producto aleta de tiburón en El Salvador en los años 2015, 2016, 2017, 2018 y 2019</w:t>
      </w:r>
      <w:r w:rsidRPr="005E25F2">
        <w:rPr>
          <w:rFonts w:ascii="Museo Sans 300" w:eastAsia="Times New Roman" w:hAnsi="Museo Sans 300" w:cs="Calibri Light"/>
          <w:b/>
          <w:i/>
          <w:lang w:eastAsia="es-ES"/>
        </w:rPr>
        <w:t>”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, es importante destacar </w:t>
      </w:r>
      <w:r>
        <w:rPr>
          <w:rFonts w:ascii="Museo Sans 300" w:eastAsia="Times New Roman" w:hAnsi="Museo Sans 300" w:cs="Calibri Light"/>
          <w:i/>
          <w:lang w:eastAsia="es-ES"/>
        </w:rPr>
        <w:t>que</w:t>
      </w:r>
      <w:r w:rsidR="00F864D1">
        <w:rPr>
          <w:rFonts w:ascii="Museo Sans 300" w:eastAsia="Times New Roman" w:hAnsi="Museo Sans 300" w:cs="Calibri Light"/>
          <w:i/>
          <w:lang w:eastAsia="es-ES"/>
        </w:rPr>
        <w:t xml:space="preserve"> en la terminal de carga del Aerop</w:t>
      </w:r>
      <w:r w:rsidR="00F96F06">
        <w:rPr>
          <w:rFonts w:ascii="Museo Sans 300" w:eastAsia="Times New Roman" w:hAnsi="Museo Sans 300" w:cs="Calibri Light"/>
          <w:i/>
          <w:lang w:eastAsia="es-ES"/>
        </w:rPr>
        <w:t>uerto Internacional de El Salvador San Óscar Arnulfo Romero y Galdámez, así como en el Puerto de La Unión no se poseen registros de ese producto</w:t>
      </w:r>
      <w:r w:rsidRPr="005E25F2">
        <w:rPr>
          <w:rFonts w:ascii="Museo Sans 300" w:eastAsia="Times New Roman" w:hAnsi="Museo Sans 300" w:cs="Calibri Light"/>
          <w:i/>
          <w:lang w:eastAsia="es-ES"/>
        </w:rPr>
        <w:t>.</w:t>
      </w:r>
    </w:p>
    <w:p w:rsidR="009E2DFF" w:rsidRPr="005E25F2" w:rsidRDefault="009E2DFF" w:rsidP="009E2DFF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9E2DFF" w:rsidRPr="005E25F2" w:rsidRDefault="009E2DFF" w:rsidP="009E2DFF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9E2DFF" w:rsidRPr="005E25F2" w:rsidRDefault="009E2DFF" w:rsidP="009E2DFF">
      <w:pPr>
        <w:spacing w:after="0" w:line="300" w:lineRule="auto"/>
        <w:ind w:firstLine="709"/>
        <w:jc w:val="both"/>
        <w:rPr>
          <w:rFonts w:ascii="Museo Sans 300" w:eastAsia="Times New Roman" w:hAnsi="Museo Sans 300" w:cs="Calibri Light"/>
          <w:i/>
          <w:lang w:eastAsia="es-ES"/>
        </w:rPr>
      </w:pP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Por tanto, como se ha expresado </w:t>
      </w:r>
      <w:r>
        <w:rPr>
          <w:rFonts w:ascii="Museo Sans 300" w:eastAsia="Times New Roman" w:hAnsi="Museo Sans 300" w:cs="Calibri Light"/>
          <w:i/>
          <w:lang w:eastAsia="es-ES"/>
        </w:rPr>
        <w:t>anteriormente</w:t>
      </w:r>
      <w:r w:rsidRPr="005E25F2">
        <w:rPr>
          <w:rFonts w:ascii="Museo Sans 300" w:eastAsia="Times New Roman" w:hAnsi="Museo Sans 300" w:cs="Calibri Light"/>
          <w:i/>
          <w:lang w:eastAsia="es-ES"/>
        </w:rPr>
        <w:t xml:space="preserve">, una solicitud de información debe recaer sobre </w:t>
      </w:r>
      <w:r w:rsidRPr="005E25F2">
        <w:rPr>
          <w:rFonts w:ascii="Museo Sans 300" w:eastAsia="Times New Roman" w:hAnsi="Museo Sans 300" w:cs="Calibri Light"/>
          <w:b/>
          <w:i/>
          <w:u w:val="single"/>
          <w:lang w:eastAsia="es-ES"/>
        </w:rPr>
        <w:t>documentos, archivos, datos, bases de datos, comunicaciones y todo tipo de registros que documenten el ejercicio de sus facultades o actividades, que consten en cualquier medio, ya sea impreso, óptico o electrónico</w:t>
      </w:r>
      <w:r w:rsidRPr="00996B20">
        <w:rPr>
          <w:rFonts w:ascii="Museo Sans 300" w:eastAsia="Times New Roman" w:hAnsi="Museo Sans 300" w:cs="Calibri Light"/>
          <w:i/>
          <w:lang w:eastAsia="es-ES"/>
        </w:rPr>
        <w:t xml:space="preserve"> y no habiéndose generado </w:t>
      </w:r>
      <w:r w:rsidR="00F96F06">
        <w:rPr>
          <w:rFonts w:ascii="Museo Sans 300" w:eastAsia="Times New Roman" w:hAnsi="Museo Sans 300" w:cs="Calibri Light"/>
          <w:i/>
          <w:lang w:eastAsia="es-ES"/>
        </w:rPr>
        <w:t>información del producto de aleta de tiburón en  el periodo de tiempo solicitado en el Aeropuerto Internacional de El Salvador como en el Puerto de La Unión</w:t>
      </w:r>
      <w:r w:rsidRPr="00996B20">
        <w:rPr>
          <w:rFonts w:ascii="Museo Sans 300" w:eastAsia="Times New Roman" w:hAnsi="Museo Sans 300" w:cs="Calibri Light"/>
          <w:i/>
          <w:lang w:eastAsia="es-ES"/>
        </w:rPr>
        <w:t xml:space="preserve">, esto recae sobre las causales que conforman una información inexistente, por lo que de nuestra parte es procedente declarar </w:t>
      </w:r>
      <w:r>
        <w:rPr>
          <w:rFonts w:ascii="Museo Sans 300" w:eastAsia="Times New Roman" w:hAnsi="Museo Sans 300" w:cs="Calibri Light"/>
          <w:i/>
          <w:lang w:eastAsia="es-ES"/>
        </w:rPr>
        <w:t>inexistente</w:t>
      </w:r>
      <w:r w:rsidR="00F96F06">
        <w:rPr>
          <w:rFonts w:ascii="Museo Sans 300" w:eastAsia="Times New Roman" w:hAnsi="Museo Sans 300" w:cs="Calibri Light"/>
          <w:i/>
          <w:lang w:eastAsia="es-ES"/>
        </w:rPr>
        <w:t xml:space="preserve"> de manera parcial</w:t>
      </w:r>
      <w:r>
        <w:rPr>
          <w:rFonts w:ascii="Museo Sans 300" w:eastAsia="Times New Roman" w:hAnsi="Museo Sans 300" w:cs="Calibri Light"/>
          <w:i/>
          <w:lang w:eastAsia="es-ES"/>
        </w:rPr>
        <w:t xml:space="preserve"> la información </w:t>
      </w:r>
      <w:r w:rsidR="00F96F06">
        <w:rPr>
          <w:rFonts w:ascii="Museo Sans 300" w:eastAsia="Times New Roman" w:hAnsi="Museo Sans 300" w:cs="Calibri Light"/>
          <w:i/>
          <w:lang w:eastAsia="es-ES"/>
        </w:rPr>
        <w:t>solicitada en esos dos lugares</w:t>
      </w:r>
      <w:r w:rsidRPr="00996B20">
        <w:rPr>
          <w:rFonts w:ascii="Museo Sans 300" w:eastAsia="Times New Roman" w:hAnsi="Museo Sans 300" w:cs="Calibri Light"/>
          <w:i/>
          <w:lang w:eastAsia="es-ES"/>
        </w:rPr>
        <w:t>.</w:t>
      </w:r>
    </w:p>
    <w:p w:rsidR="009E2DFF" w:rsidRDefault="009E2DFF" w:rsidP="009E2DFF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bCs/>
          <w:lang w:eastAsia="es-ES"/>
        </w:rPr>
      </w:pPr>
    </w:p>
    <w:p w:rsidR="009E2DFF" w:rsidRPr="005E25F2" w:rsidRDefault="009E2DFF" w:rsidP="009E2DFF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5E25F2">
        <w:rPr>
          <w:rFonts w:ascii="Museo Sans 300" w:eastAsia="Times New Roman" w:hAnsi="Museo Sans 300" w:cs="Calibri Light"/>
          <w:b/>
          <w:bCs/>
          <w:lang w:eastAsia="es-ES"/>
        </w:rPr>
        <w:t>III.</w:t>
      </w:r>
      <w:r w:rsidRPr="005E25F2">
        <w:rPr>
          <w:rFonts w:ascii="Museo Sans 300" w:eastAsia="Times New Roman" w:hAnsi="Museo Sans 300" w:cs="Calibri Light"/>
          <w:lang w:eastAsia="es-ES"/>
        </w:rPr>
        <w:t xml:space="preserve"> Con base a lo solicitado y a los artículos 3 letra a), 62 inciso segundo y 72 letra c) y 73, de la Ley de Acceso a la Información Pública -LAIP-, se </w:t>
      </w:r>
      <w:r w:rsidRPr="005E25F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5E25F2">
        <w:rPr>
          <w:rFonts w:ascii="Museo Sans 300" w:eastAsia="Times New Roman" w:hAnsi="Museo Sans 300" w:cs="Calibri Light"/>
          <w:b/>
          <w:lang w:eastAsia="es-ES"/>
        </w:rPr>
        <w:tab/>
      </w:r>
    </w:p>
    <w:p w:rsidR="009E2DFF" w:rsidRPr="005E25F2" w:rsidRDefault="009E2DFF" w:rsidP="009E2DFF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9E2DFF" w:rsidRPr="00F96F06" w:rsidRDefault="009E2DFF" w:rsidP="00F96F06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5E25F2">
        <w:rPr>
          <w:rFonts w:ascii="Museo Sans 300" w:eastAsia="Calibri" w:hAnsi="Museo Sans 300" w:cs="Calibri Light"/>
        </w:rPr>
        <w:t xml:space="preserve">Concédase la información requerida </w:t>
      </w:r>
      <w:r>
        <w:rPr>
          <w:rFonts w:ascii="Museo Sans 300" w:eastAsia="Calibri" w:hAnsi="Museo Sans 300" w:cs="Calibri Light"/>
        </w:rPr>
        <w:t xml:space="preserve">por </w:t>
      </w:r>
      <w:bookmarkStart w:id="0" w:name="_GoBack"/>
      <w:bookmarkEnd w:id="0"/>
      <w:r w:rsidRPr="00F96F06">
        <w:rPr>
          <w:rFonts w:ascii="Museo Sans 300" w:eastAsia="Calibri" w:hAnsi="Museo Sans 300" w:cs="Calibri Light"/>
        </w:rPr>
        <w:t xml:space="preserve">en formato físico, </w:t>
      </w:r>
      <w:r w:rsidR="00F96F06">
        <w:rPr>
          <w:rFonts w:ascii="Museo Sans 300" w:eastAsia="Calibri" w:hAnsi="Museo Sans 300" w:cs="Calibri Light"/>
        </w:rPr>
        <w:t>conforme a lo solicitado, respecto al Puerto de Acajutla</w:t>
      </w:r>
    </w:p>
    <w:p w:rsidR="009E2DFF" w:rsidRPr="005E25F2" w:rsidRDefault="009E2DFF" w:rsidP="009E2DFF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5E25F2">
        <w:rPr>
          <w:rFonts w:ascii="Museo Sans 300" w:eastAsia="Calibri" w:hAnsi="Museo Sans 300" w:cs="Calibri Light"/>
        </w:rPr>
        <w:t xml:space="preserve">Declárese inexistente </w:t>
      </w:r>
      <w:r>
        <w:rPr>
          <w:rFonts w:ascii="Museo Sans 300" w:eastAsia="Calibri" w:hAnsi="Museo Sans 300" w:cs="Calibri Light"/>
        </w:rPr>
        <w:t>la</w:t>
      </w:r>
      <w:r w:rsidR="00F96F06">
        <w:rPr>
          <w:rFonts w:ascii="Museo Sans 300" w:eastAsia="Calibri" w:hAnsi="Museo Sans 300" w:cs="Calibri Light"/>
        </w:rPr>
        <w:t xml:space="preserve"> información solicitada respecto al Aeropuerto Internacional de El Salvador San Óscar Arnulfo Romero y Galdámez y en el Puerto de La Unión</w:t>
      </w:r>
      <w:r w:rsidRPr="00996B20">
        <w:rPr>
          <w:rFonts w:ascii="Museo Sans 300" w:eastAsia="Times New Roman" w:hAnsi="Museo Sans 300" w:cs="Calibri Light"/>
          <w:i/>
          <w:lang w:eastAsia="es-ES"/>
        </w:rPr>
        <w:t>.</w:t>
      </w:r>
    </w:p>
    <w:p w:rsidR="009E2DFF" w:rsidRPr="00717362" w:rsidRDefault="009E2DFF" w:rsidP="009E2DFF">
      <w:pPr>
        <w:spacing w:line="276" w:lineRule="auto"/>
        <w:rPr>
          <w:rFonts w:ascii="Museo Sans 300" w:eastAsia="Calibri" w:hAnsi="Museo Sans 300" w:cs="Calibri Light"/>
        </w:rPr>
      </w:pPr>
      <w:r w:rsidRPr="00717362">
        <w:rPr>
          <w:rFonts w:ascii="Museo Sans 300" w:eastAsia="Times New Roman" w:hAnsi="Museo Sans 300" w:cs="Calibri Light"/>
          <w:lang w:eastAsia="es-ES"/>
        </w:rPr>
        <w:tab/>
      </w:r>
    </w:p>
    <w:p w:rsidR="009E2DFF" w:rsidRPr="00717362" w:rsidRDefault="009E2DFF" w:rsidP="009E2DFF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9E2DFF" w:rsidRPr="00717362" w:rsidRDefault="009E2DFF" w:rsidP="009E2DFF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9E2DFF" w:rsidRPr="00717362" w:rsidRDefault="009E2DFF" w:rsidP="009E2DFF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9E2DFF" w:rsidRPr="00717362" w:rsidRDefault="009E2DFF" w:rsidP="009E2DFF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9E2DFF" w:rsidRPr="00717362" w:rsidRDefault="009E2DFF" w:rsidP="009E2DFF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9E2DFF" w:rsidRPr="00717362" w:rsidRDefault="009E2DFF" w:rsidP="009E2DFF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9E2DFF" w:rsidRDefault="009E2DFF" w:rsidP="009E2DFF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740E48" w:rsidRDefault="00740E48" w:rsidP="009E2DFF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9E2DFF" w:rsidRDefault="009E2DFF" w:rsidP="009E2DFF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9E2DFF" w:rsidRPr="00717362" w:rsidRDefault="009E2DFF" w:rsidP="009E2DFF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9E2DFF" w:rsidRPr="00717362" w:rsidRDefault="009E2DFF" w:rsidP="009E2DFF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9E2DFF" w:rsidRDefault="009E2DFF" w:rsidP="009E2DFF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p w:rsidR="009E2DFF" w:rsidRDefault="009E2DFF" w:rsidP="009E2DFF"/>
    <w:p w:rsidR="001E4113" w:rsidRDefault="00B82F28"/>
    <w:sectPr w:rsidR="001E4113" w:rsidSect="003271A6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2F28">
      <w:pPr>
        <w:spacing w:after="0" w:line="240" w:lineRule="auto"/>
      </w:pPr>
      <w:r>
        <w:separator/>
      </w:r>
    </w:p>
  </w:endnote>
  <w:endnote w:type="continuationSeparator" w:id="0">
    <w:p w:rsidR="00000000" w:rsidRDefault="00B8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A6" w:rsidRPr="00F71578" w:rsidRDefault="00F67188" w:rsidP="003271A6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2F28">
      <w:pPr>
        <w:spacing w:after="0" w:line="240" w:lineRule="auto"/>
      </w:pPr>
      <w:r>
        <w:separator/>
      </w:r>
    </w:p>
  </w:footnote>
  <w:footnote w:type="continuationSeparator" w:id="0">
    <w:p w:rsidR="00000000" w:rsidRDefault="00B8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1A6" w:rsidRPr="00847FBB" w:rsidRDefault="00F67188" w:rsidP="003271A6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1BB7CCF" wp14:editId="00AFD58A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B535D"/>
    <w:multiLevelType w:val="hybridMultilevel"/>
    <w:tmpl w:val="E18A304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FF"/>
    <w:rsid w:val="00433B36"/>
    <w:rsid w:val="005B00DF"/>
    <w:rsid w:val="006A1B81"/>
    <w:rsid w:val="00740E48"/>
    <w:rsid w:val="009E2DFF"/>
    <w:rsid w:val="00B82F28"/>
    <w:rsid w:val="00F67188"/>
    <w:rsid w:val="00F864D1"/>
    <w:rsid w:val="00F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FB3F0-2931-4972-9450-9FBEA13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E2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2DFF"/>
  </w:style>
  <w:style w:type="paragraph" w:styleId="Piedepgina">
    <w:name w:val="footer"/>
    <w:basedOn w:val="Normal"/>
    <w:link w:val="PiedepginaCar"/>
    <w:uiPriority w:val="99"/>
    <w:semiHidden/>
    <w:unhideWhenUsed/>
    <w:rsid w:val="009E2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2DFF"/>
  </w:style>
  <w:style w:type="paragraph" w:styleId="Prrafodelista">
    <w:name w:val="List Paragraph"/>
    <w:basedOn w:val="Normal"/>
    <w:uiPriority w:val="34"/>
    <w:qFormat/>
    <w:rsid w:val="009E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1008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2</cp:revision>
  <dcterms:created xsi:type="dcterms:W3CDTF">2020-08-19T16:04:00Z</dcterms:created>
  <dcterms:modified xsi:type="dcterms:W3CDTF">2020-10-26T21:36:00Z</dcterms:modified>
</cp:coreProperties>
</file>