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9F4" w:rsidRPr="00B31B67" w:rsidRDefault="008929F4" w:rsidP="008929F4">
      <w:pPr>
        <w:spacing w:after="0" w:line="360" w:lineRule="auto"/>
        <w:rPr>
          <w:rFonts w:eastAsiaTheme="minorEastAsia" w:cstheme="majorHAnsi"/>
          <w:b/>
          <w:lang w:eastAsia="es-ES"/>
        </w:rPr>
      </w:pPr>
    </w:p>
    <w:p w:rsidR="008929F4" w:rsidRPr="00B31B67" w:rsidRDefault="008929F4" w:rsidP="008929F4">
      <w:pPr>
        <w:spacing w:after="0" w:line="360" w:lineRule="auto"/>
        <w:jc w:val="right"/>
        <w:rPr>
          <w:rFonts w:eastAsiaTheme="minorEastAsia" w:cstheme="majorHAnsi"/>
          <w:b/>
          <w:lang w:eastAsia="es-ES"/>
        </w:rPr>
      </w:pPr>
      <w:r w:rsidRPr="00B31B67">
        <w:rPr>
          <w:rFonts w:eastAsiaTheme="minorEastAsia" w:cstheme="majorHAnsi"/>
          <w:b/>
          <w:lang w:eastAsia="es-ES"/>
        </w:rPr>
        <w:t>Res_UAIP_</w:t>
      </w:r>
      <w:r>
        <w:rPr>
          <w:rFonts w:eastAsiaTheme="minorEastAsia" w:cstheme="majorHAnsi"/>
          <w:b/>
          <w:lang w:eastAsia="es-ES"/>
        </w:rPr>
        <w:t>1</w:t>
      </w:r>
      <w:r w:rsidR="00DA469E">
        <w:rPr>
          <w:rFonts w:eastAsiaTheme="minorEastAsia" w:cstheme="majorHAnsi"/>
          <w:b/>
          <w:lang w:eastAsia="es-ES"/>
        </w:rPr>
        <w:t>7</w:t>
      </w:r>
      <w:r>
        <w:rPr>
          <w:rFonts w:eastAsiaTheme="minorEastAsia" w:cstheme="majorHAnsi"/>
          <w:b/>
          <w:lang w:eastAsia="es-ES"/>
        </w:rPr>
        <w:t>4</w:t>
      </w:r>
      <w:r w:rsidRPr="00B31B67">
        <w:rPr>
          <w:rFonts w:eastAsiaTheme="minorEastAsia" w:cstheme="majorHAnsi"/>
          <w:b/>
          <w:lang w:eastAsia="es-ES"/>
        </w:rPr>
        <w:t>/2019</w:t>
      </w:r>
    </w:p>
    <w:p w:rsidR="008929F4" w:rsidRPr="00B31B67" w:rsidRDefault="008929F4" w:rsidP="008929F4">
      <w:pPr>
        <w:spacing w:after="0" w:line="360" w:lineRule="auto"/>
        <w:jc w:val="both"/>
        <w:rPr>
          <w:rFonts w:eastAsiaTheme="minorEastAsia" w:cstheme="majorHAnsi"/>
          <w:b/>
          <w:lang w:eastAsia="es-ES"/>
        </w:rPr>
      </w:pPr>
    </w:p>
    <w:p w:rsidR="008929F4" w:rsidRDefault="008929F4" w:rsidP="008929F4">
      <w:pPr>
        <w:spacing w:after="0" w:line="300" w:lineRule="auto"/>
        <w:jc w:val="both"/>
        <w:rPr>
          <w:rFonts w:eastAsiaTheme="minorEastAsia" w:cstheme="majorHAnsi"/>
          <w:lang w:eastAsia="es-ES"/>
        </w:rPr>
      </w:pPr>
      <w:r w:rsidRPr="00B31B67">
        <w:rPr>
          <w:rFonts w:eastAsia="Calibri" w:cstheme="majorHAnsi"/>
          <w:b/>
        </w:rPr>
        <w:t xml:space="preserve">UNIDAD DE ACCESO A LA INFORMACIÓN PUBLICA </w:t>
      </w:r>
      <w:r w:rsidRPr="00B31B67">
        <w:rPr>
          <w:rFonts w:eastAsia="Calibri" w:cstheme="majorHAnsi"/>
        </w:rPr>
        <w:t>de la</w:t>
      </w:r>
      <w:r w:rsidRPr="00B31B67">
        <w:rPr>
          <w:rFonts w:eastAsia="Calibri" w:cstheme="majorHAnsi"/>
          <w:b/>
        </w:rPr>
        <w:t xml:space="preserve"> COMISIÓN EJECUTIVA PORTUARIA AUTÓNOMA -CEPA-</w:t>
      </w:r>
      <w:r>
        <w:rPr>
          <w:rFonts w:eastAsia="Calibri" w:cstheme="majorHAnsi"/>
        </w:rPr>
        <w:t xml:space="preserve">; San Salvador, a las </w:t>
      </w:r>
      <w:r w:rsidR="008E43D4">
        <w:rPr>
          <w:rFonts w:eastAsia="Calibri" w:cstheme="majorHAnsi"/>
        </w:rPr>
        <w:t>catorce</w:t>
      </w:r>
      <w:r w:rsidRPr="00B31B67">
        <w:rPr>
          <w:rFonts w:eastAsia="Calibri" w:cstheme="majorHAnsi"/>
        </w:rPr>
        <w:t xml:space="preserve"> horas </w:t>
      </w:r>
      <w:r>
        <w:rPr>
          <w:rFonts w:eastAsia="Calibri" w:cstheme="majorHAnsi"/>
        </w:rPr>
        <w:t xml:space="preserve">y </w:t>
      </w:r>
      <w:r w:rsidR="008E43D4">
        <w:rPr>
          <w:rFonts w:eastAsia="Calibri" w:cstheme="majorHAnsi"/>
        </w:rPr>
        <w:t>veinticinco</w:t>
      </w:r>
      <w:r>
        <w:rPr>
          <w:rFonts w:eastAsia="Calibri" w:cstheme="majorHAnsi"/>
        </w:rPr>
        <w:t xml:space="preserve"> minutos </w:t>
      </w:r>
      <w:r w:rsidRPr="00B31B67">
        <w:rPr>
          <w:rFonts w:eastAsia="Calibri" w:cstheme="majorHAnsi"/>
        </w:rPr>
        <w:t xml:space="preserve">del día </w:t>
      </w:r>
      <w:r>
        <w:rPr>
          <w:rFonts w:eastAsia="Calibri" w:cstheme="majorHAnsi"/>
        </w:rPr>
        <w:t>veinti</w:t>
      </w:r>
      <w:r w:rsidR="008E43D4">
        <w:rPr>
          <w:rFonts w:eastAsia="Calibri" w:cstheme="majorHAnsi"/>
        </w:rPr>
        <w:t>siete</w:t>
      </w:r>
      <w:r>
        <w:rPr>
          <w:rFonts w:eastAsia="Calibri" w:cstheme="majorHAnsi"/>
        </w:rPr>
        <w:t xml:space="preserve"> de</w:t>
      </w:r>
      <w:r w:rsidR="008E43D4">
        <w:rPr>
          <w:rFonts w:eastAsia="Calibri" w:cstheme="majorHAnsi"/>
        </w:rPr>
        <w:t xml:space="preserve"> noviem</w:t>
      </w:r>
      <w:r>
        <w:rPr>
          <w:rFonts w:eastAsia="Calibri" w:cstheme="majorHAnsi"/>
        </w:rPr>
        <w:t>bre</w:t>
      </w:r>
      <w:r w:rsidRPr="00B31B67">
        <w:rPr>
          <w:rFonts w:eastAsia="Calibri" w:cstheme="majorHAnsi"/>
        </w:rPr>
        <w:t xml:space="preserve"> del año dos mil diecinueve, Dicha solicitud ha sido recibida mediante</w:t>
      </w:r>
      <w:r>
        <w:rPr>
          <w:rFonts w:eastAsia="Calibri" w:cstheme="majorHAnsi"/>
        </w:rPr>
        <w:t xml:space="preserve"> correo electrónico</w:t>
      </w:r>
      <w:r>
        <w:rPr>
          <w:rFonts w:eastAsiaTheme="minorEastAsia" w:cstheme="majorHAnsi"/>
          <w:lang w:eastAsia="es-ES"/>
        </w:rPr>
        <w:t xml:space="preserve"> del día </w:t>
      </w:r>
      <w:r w:rsidR="008E43D4">
        <w:rPr>
          <w:rFonts w:eastAsiaTheme="minorEastAsia" w:cstheme="majorHAnsi"/>
          <w:lang w:eastAsia="es-ES"/>
        </w:rPr>
        <w:t>viernes veintidós de noviembre</w:t>
      </w:r>
      <w:r>
        <w:rPr>
          <w:rFonts w:eastAsiaTheme="minorEastAsia" w:cstheme="majorHAnsi"/>
          <w:lang w:eastAsia="es-ES"/>
        </w:rPr>
        <w:t xml:space="preserve"> de dos mil diecinueve, </w:t>
      </w:r>
      <w:r w:rsidRPr="00B31B67">
        <w:rPr>
          <w:rFonts w:eastAsiaTheme="minorEastAsia" w:cstheme="majorHAnsi"/>
          <w:lang w:eastAsia="es-ES"/>
        </w:rPr>
        <w:t>la cual fue generada en el sistema de solicitudes del Instituto de Acceso a la Información Pública (IAIP)</w:t>
      </w:r>
      <w:r>
        <w:rPr>
          <w:rFonts w:eastAsiaTheme="minorEastAsia" w:cstheme="majorHAnsi"/>
          <w:lang w:eastAsia="es-ES"/>
        </w:rPr>
        <w:t xml:space="preserve"> requiriendo lo siguiente:</w:t>
      </w:r>
    </w:p>
    <w:p w:rsidR="008929F4" w:rsidRDefault="008929F4" w:rsidP="008929F4">
      <w:pPr>
        <w:spacing w:after="0" w:line="300" w:lineRule="auto"/>
        <w:jc w:val="both"/>
        <w:rPr>
          <w:rFonts w:eastAsiaTheme="minorEastAsia" w:cstheme="majorHAnsi"/>
          <w:lang w:eastAsia="es-ES"/>
        </w:rPr>
      </w:pPr>
    </w:p>
    <w:p w:rsidR="008929F4" w:rsidRDefault="008929F4" w:rsidP="008929F4">
      <w:pPr>
        <w:pStyle w:val="Prrafodelista"/>
        <w:numPr>
          <w:ilvl w:val="0"/>
          <w:numId w:val="2"/>
        </w:numPr>
        <w:spacing w:after="0" w:line="300" w:lineRule="auto"/>
        <w:jc w:val="both"/>
        <w:rPr>
          <w:rFonts w:eastAsiaTheme="minorEastAsia" w:cstheme="majorHAnsi"/>
          <w:lang w:eastAsia="es-ES"/>
        </w:rPr>
      </w:pPr>
      <w:r w:rsidRPr="008E43D4">
        <w:rPr>
          <w:rFonts w:eastAsiaTheme="minorEastAsia" w:cstheme="majorHAnsi"/>
          <w:lang w:eastAsia="es-ES"/>
        </w:rPr>
        <w:t>“</w:t>
      </w:r>
      <w:r w:rsidR="008E43D4">
        <w:rPr>
          <w:rFonts w:eastAsiaTheme="minorEastAsia" w:cstheme="majorHAnsi"/>
          <w:lang w:eastAsia="es-ES"/>
        </w:rPr>
        <w:t>Constancia de antecedentes penales”</w:t>
      </w:r>
    </w:p>
    <w:p w:rsidR="008E43D4" w:rsidRPr="008E43D4" w:rsidRDefault="008E43D4" w:rsidP="008E43D4">
      <w:pPr>
        <w:pStyle w:val="Prrafodelista"/>
        <w:spacing w:after="0" w:line="300" w:lineRule="auto"/>
        <w:jc w:val="both"/>
        <w:rPr>
          <w:rFonts w:eastAsiaTheme="minorEastAsia" w:cstheme="majorHAnsi"/>
          <w:lang w:eastAsia="es-ES"/>
        </w:rPr>
      </w:pPr>
    </w:p>
    <w:p w:rsidR="008929F4" w:rsidRPr="00B31B67" w:rsidRDefault="008929F4" w:rsidP="008929F4">
      <w:pPr>
        <w:tabs>
          <w:tab w:val="left" w:pos="4080"/>
        </w:tabs>
        <w:spacing w:after="0" w:line="360" w:lineRule="auto"/>
        <w:jc w:val="both"/>
        <w:rPr>
          <w:rFonts w:eastAsiaTheme="minorEastAsia" w:cstheme="majorHAnsi"/>
          <w:lang w:eastAsia="es-ES"/>
        </w:rPr>
      </w:pPr>
      <w:r w:rsidRPr="00B31B67">
        <w:rPr>
          <w:rFonts w:eastAsiaTheme="minorEastAsia" w:cstheme="majorHAnsi"/>
          <w:lang w:eastAsia="es-ES"/>
        </w:rPr>
        <w:t>Para pronunciarse sobre la admisibilidad del escrito presentado, se analizará el escrito de la siguiente manera: (I) Breve referencia al Derecho de Acceso a la Información Pública; (II) Análisis del caso planteado entorno a los requisitos que debe contener la solicitud de información; y (III) determinación sobre la procedencia de admisión</w:t>
      </w:r>
      <w:r w:rsidR="00D13DFB">
        <w:rPr>
          <w:rFonts w:eastAsiaTheme="minorEastAsia" w:cstheme="majorHAnsi"/>
          <w:lang w:eastAsia="es-ES"/>
        </w:rPr>
        <w:t xml:space="preserve"> respecto a la información solicitada</w:t>
      </w:r>
      <w:r w:rsidRPr="00B31B67">
        <w:rPr>
          <w:rFonts w:eastAsiaTheme="minorEastAsia" w:cstheme="majorHAnsi"/>
          <w:lang w:eastAsia="es-ES"/>
        </w:rPr>
        <w:t xml:space="preserve">. </w:t>
      </w:r>
    </w:p>
    <w:p w:rsidR="008929F4" w:rsidRPr="00B31B67" w:rsidRDefault="008929F4" w:rsidP="008929F4">
      <w:pPr>
        <w:tabs>
          <w:tab w:val="left" w:pos="4080"/>
        </w:tabs>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r w:rsidRPr="00B31B67">
        <w:rPr>
          <w:rFonts w:eastAsiaTheme="minorEastAsia" w:cstheme="majorHAnsi"/>
          <w:lang w:eastAsia="es-ES"/>
        </w:rPr>
        <w:tab/>
      </w:r>
      <w:r w:rsidRPr="00B31B67">
        <w:rPr>
          <w:rFonts w:eastAsiaTheme="minorEastAsia" w:cstheme="majorHAnsi"/>
          <w:b/>
          <w:lang w:eastAsia="es-ES"/>
        </w:rPr>
        <w:t>I.</w:t>
      </w:r>
      <w:r w:rsidRPr="00B31B67">
        <w:rPr>
          <w:rFonts w:eastAsiaTheme="minorEastAsia" w:cstheme="majorHAnsi"/>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8929F4" w:rsidRPr="00B31B67"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r w:rsidRPr="00B31B67">
        <w:rPr>
          <w:rFonts w:eastAsiaTheme="minorEastAsia" w:cstheme="majorHAnsi"/>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8929F4" w:rsidRPr="00B31B67"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r w:rsidRPr="00B31B67">
        <w:rPr>
          <w:rFonts w:eastAsiaTheme="minorEastAsia" w:cstheme="majorHAnsi"/>
          <w:lang w:eastAsia="es-ES"/>
        </w:rPr>
        <w:tab/>
        <w:t xml:space="preserve">La Ley de Acceso a la Información Pública, en adelante -LAIP-, brinda una definición de lo que deberá entenderse por “Información Pública”, estableciendo, que es aquella en poder de los </w:t>
      </w:r>
      <w:r w:rsidRPr="00B31B67">
        <w:rPr>
          <w:rFonts w:eastAsiaTheme="minorEastAsia" w:cstheme="majorHAnsi"/>
          <w:lang w:eastAsia="es-ES"/>
        </w:rPr>
        <w:lastRenderedPageBreak/>
        <w:t xml:space="preserve">entes obligados contenida en </w:t>
      </w:r>
      <w:r w:rsidRPr="00B31B67">
        <w:rPr>
          <w:rFonts w:eastAsiaTheme="minorEastAsia" w:cstheme="majorHAnsi"/>
          <w:b/>
          <w:i/>
          <w:lang w:eastAsia="es-ES"/>
        </w:rPr>
        <w:t>documentos, archivos, datos, bases de datos, comunicaciones y todo tipo de registros que documenten el ejercicio de sus facultades o actividades</w:t>
      </w:r>
      <w:r w:rsidRPr="00B31B67">
        <w:rPr>
          <w:rFonts w:eastAsiaTheme="minorEastAsia" w:cstheme="majorHAnsi"/>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8929F4" w:rsidRPr="00B31B67"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r w:rsidRPr="00B31B67">
        <w:rPr>
          <w:rFonts w:eastAsiaTheme="minorEastAsia" w:cstheme="majorHAnsi"/>
          <w:lang w:eastAsia="es-ES"/>
        </w:rPr>
        <w:tab/>
      </w:r>
      <w:r w:rsidRPr="00B31B67">
        <w:rPr>
          <w:rFonts w:eastAsiaTheme="minorEastAsia" w:cstheme="majorHAnsi"/>
          <w:b/>
          <w:lang w:eastAsia="es-ES"/>
        </w:rPr>
        <w:t>II.</w:t>
      </w:r>
      <w:r w:rsidRPr="00B31B67">
        <w:rPr>
          <w:rFonts w:eastAsiaTheme="minorEastAsia" w:cstheme="majorHAnsi"/>
          <w:lang w:eastAsia="es-ES"/>
        </w:rPr>
        <w:t xml:space="preserve"> La LAIP dispone en su artículo 66 inciso segundo, los requisitos que debe contener toda solicitud, siendo: </w:t>
      </w:r>
      <w:r w:rsidRPr="00B31B67">
        <w:rPr>
          <w:rFonts w:eastAsiaTheme="minorEastAsia" w:cstheme="majorHAnsi"/>
          <w:b/>
          <w:i/>
          <w:lang w:eastAsia="es-ES"/>
        </w:rPr>
        <w:t>a)</w:t>
      </w:r>
      <w:r w:rsidRPr="00B31B67">
        <w:rPr>
          <w:rFonts w:eastAsiaTheme="minorEastAsia" w:cstheme="majorHAnsi"/>
          <w:i/>
          <w:lang w:eastAsia="es-ES"/>
        </w:rPr>
        <w:t xml:space="preserve"> El nombre del solicitante, lugar o medio para recibir notificaciones, fax o correo electrónico, o la autorización para que se le notifique por cartelera, y en su caso los datos del representante; </w:t>
      </w:r>
      <w:r w:rsidRPr="00B31B67">
        <w:rPr>
          <w:rFonts w:eastAsiaTheme="minorEastAsia" w:cstheme="majorHAnsi"/>
          <w:b/>
          <w:i/>
          <w:lang w:eastAsia="es-ES"/>
        </w:rPr>
        <w:t>b)</w:t>
      </w:r>
      <w:r w:rsidRPr="00B31B67">
        <w:rPr>
          <w:rFonts w:eastAsiaTheme="minorEastAsia" w:cstheme="majorHAnsi"/>
          <w:i/>
          <w:lang w:eastAsia="es-ES"/>
        </w:rPr>
        <w:t xml:space="preserve"> La descripción clara y precisa de la información pública que solicita; </w:t>
      </w:r>
      <w:r w:rsidRPr="00B31B67">
        <w:rPr>
          <w:rFonts w:eastAsiaTheme="minorEastAsia" w:cstheme="majorHAnsi"/>
          <w:b/>
          <w:i/>
          <w:lang w:eastAsia="es-ES"/>
        </w:rPr>
        <w:t>c)</w:t>
      </w:r>
      <w:r w:rsidRPr="00B31B67">
        <w:rPr>
          <w:rFonts w:eastAsiaTheme="minorEastAsia" w:cstheme="majorHAnsi"/>
          <w:i/>
          <w:lang w:eastAsia="es-ES"/>
        </w:rPr>
        <w:t xml:space="preserve"> Cualquier otro dato que propicie su localización con objeto de facilitar la búsqueda; y </w:t>
      </w:r>
      <w:r w:rsidRPr="00B31B67">
        <w:rPr>
          <w:rFonts w:eastAsiaTheme="minorEastAsia" w:cstheme="majorHAnsi"/>
          <w:b/>
          <w:i/>
          <w:lang w:eastAsia="es-ES"/>
        </w:rPr>
        <w:t>d)</w:t>
      </w:r>
      <w:r w:rsidRPr="00B31B67">
        <w:rPr>
          <w:rFonts w:eastAsiaTheme="minorEastAsia" w:cstheme="majorHAnsi"/>
          <w:i/>
          <w:lang w:eastAsia="es-ES"/>
        </w:rPr>
        <w:t xml:space="preserve"> Opcionalmente, la modalidad en la que prefiere se otorgue el acceso a la información, ya sea mediante consulta directa, o que se expidan copias simples o certificadas u otro tipo de medio pertinente</w:t>
      </w:r>
      <w:r w:rsidRPr="00B31B67">
        <w:rPr>
          <w:rFonts w:eastAsiaTheme="minorEastAsia" w:cstheme="majorHAnsi"/>
          <w:lang w:eastAsia="es-ES"/>
        </w:rPr>
        <w:t>.</w:t>
      </w:r>
      <w:r>
        <w:rPr>
          <w:rFonts w:eastAsiaTheme="minorEastAsia" w:cstheme="majorHAnsi"/>
          <w:lang w:eastAsia="es-ES"/>
        </w:rPr>
        <w:t xml:space="preserve"> Así mismo en el inciso cuarto, se determina la obligatoriedad de los solicitantes a presentar documento de identidad.</w:t>
      </w:r>
    </w:p>
    <w:p w:rsidR="008929F4" w:rsidRPr="00B31B67" w:rsidRDefault="008929F4" w:rsidP="008929F4">
      <w:pPr>
        <w:spacing w:after="0" w:line="360" w:lineRule="auto"/>
        <w:jc w:val="both"/>
        <w:rPr>
          <w:rFonts w:eastAsiaTheme="minorEastAsia" w:cstheme="majorHAnsi"/>
          <w:lang w:eastAsia="es-ES"/>
        </w:rPr>
      </w:pPr>
    </w:p>
    <w:p w:rsidR="008929F4" w:rsidRDefault="00363C6A" w:rsidP="00D13DFB">
      <w:pPr>
        <w:spacing w:after="0" w:line="360" w:lineRule="auto"/>
        <w:jc w:val="both"/>
        <w:rPr>
          <w:rFonts w:eastAsiaTheme="minorEastAsia" w:cstheme="majorHAnsi"/>
          <w:lang w:eastAsia="es-ES"/>
        </w:rPr>
      </w:pPr>
      <w:r>
        <w:rPr>
          <w:rFonts w:eastAsiaTheme="minorEastAsia" w:cstheme="majorHAnsi"/>
          <w:lang w:eastAsia="es-ES"/>
        </w:rPr>
        <w:t xml:space="preserve">La solicitud de información que nos ocupa, cumple con los requisitos </w:t>
      </w:r>
      <w:r w:rsidR="00D13DFB">
        <w:rPr>
          <w:rFonts w:eastAsiaTheme="minorEastAsia" w:cstheme="majorHAnsi"/>
          <w:lang w:eastAsia="es-ES"/>
        </w:rPr>
        <w:t>formales para su admisibilidad y de esta forma darle tramite a la información solicitada, sin embargo e</w:t>
      </w:r>
      <w:r w:rsidR="008929F4">
        <w:rPr>
          <w:rFonts w:eastAsiaTheme="minorEastAsia" w:cstheme="majorHAnsi"/>
          <w:lang w:eastAsia="es-ES"/>
        </w:rPr>
        <w:t xml:space="preserve">l </w:t>
      </w:r>
      <w:r w:rsidR="00D13DFB">
        <w:rPr>
          <w:rFonts w:eastAsiaTheme="minorEastAsia" w:cstheme="majorHAnsi"/>
          <w:lang w:eastAsia="es-ES"/>
        </w:rPr>
        <w:t>artículo</w:t>
      </w:r>
      <w:r w:rsidR="008929F4">
        <w:rPr>
          <w:rFonts w:eastAsiaTheme="minorEastAsia" w:cstheme="majorHAnsi"/>
          <w:lang w:eastAsia="es-ES"/>
        </w:rPr>
        <w:t xml:space="preserve"> 2 de la Ley de Acceso a la Información Pública, establece que toda persona tiene derecho a solicitar y recibir </w:t>
      </w:r>
      <w:r w:rsidR="008929F4" w:rsidRPr="00D13DFB">
        <w:rPr>
          <w:rFonts w:eastAsiaTheme="minorEastAsia" w:cstheme="majorHAnsi"/>
          <w:b/>
          <w:lang w:eastAsia="es-ES"/>
        </w:rPr>
        <w:t>información generada, administrada o en poder de las instituciones públicas  y demás entes obligados de manera oportuna y veraz</w:t>
      </w:r>
      <w:r w:rsidR="008929F4">
        <w:rPr>
          <w:rFonts w:eastAsiaTheme="minorEastAsia" w:cstheme="majorHAnsi"/>
          <w:lang w:eastAsia="es-ES"/>
        </w:rPr>
        <w:t>, es decir que para ejercer el derecho de acceso a la información pública es necesario que la información exista y que haya sido generada o administrada o que se encuentre en poder de un ente obligado por la ley y en el artículo seis de la misma ley, particularmente en el literal c, expresa que se entenderá como información pública a aquella que se encuentre contenida en documentos, archivos, datos, bases de datos, comunicaciones y todo tipo de registro que documenten en el ejercicio de sus facultades o actividades, que consten en cualquier medio, ya sea impreso, óptico, o electrónico.</w:t>
      </w:r>
    </w:p>
    <w:p w:rsidR="008929F4" w:rsidRDefault="008929F4" w:rsidP="008929F4">
      <w:pPr>
        <w:spacing w:after="0" w:line="360" w:lineRule="auto"/>
        <w:ind w:firstLine="708"/>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p>
    <w:p w:rsidR="00D13DFB" w:rsidRDefault="008929F4" w:rsidP="008929F4">
      <w:pPr>
        <w:spacing w:after="0" w:line="360" w:lineRule="auto"/>
        <w:ind w:firstLine="709"/>
        <w:jc w:val="both"/>
        <w:rPr>
          <w:rFonts w:eastAsiaTheme="minorEastAsia" w:cstheme="majorHAnsi"/>
          <w:lang w:eastAsia="es-ES"/>
        </w:rPr>
      </w:pPr>
      <w:r w:rsidRPr="00B31B67">
        <w:rPr>
          <w:rFonts w:eastAsiaTheme="minorEastAsia" w:cstheme="majorHAnsi"/>
          <w:b/>
          <w:lang w:eastAsia="es-ES"/>
        </w:rPr>
        <w:lastRenderedPageBreak/>
        <w:t>III.</w:t>
      </w:r>
      <w:r w:rsidRPr="00B31B67">
        <w:rPr>
          <w:rFonts w:eastAsiaTheme="minorEastAsia" w:cstheme="majorHAnsi"/>
          <w:lang w:eastAsia="es-ES"/>
        </w:rPr>
        <w:t xml:space="preserve"> </w:t>
      </w:r>
      <w:r w:rsidR="00D13DFB">
        <w:rPr>
          <w:rFonts w:eastAsiaTheme="minorEastAsia" w:cstheme="majorHAnsi"/>
          <w:lang w:eastAsia="es-ES"/>
        </w:rPr>
        <w:t xml:space="preserve">Para poder compartir la información, esta debe estar disponible en la institución solicitada y el artículo </w:t>
      </w:r>
      <w:r w:rsidR="00F515F0">
        <w:rPr>
          <w:rFonts w:eastAsiaTheme="minorEastAsia" w:cstheme="majorHAnsi"/>
          <w:lang w:eastAsia="es-ES"/>
        </w:rPr>
        <w:t>68 de la misma ley determina que, cuando la solicitud de información sea dirigida a un ente obligado distinto del competente, éste (el oficial de información) deberá informar al interesado la entidad a la que debe dirigirse.</w:t>
      </w:r>
    </w:p>
    <w:p w:rsidR="00F515F0" w:rsidRDefault="00F515F0" w:rsidP="008929F4">
      <w:pPr>
        <w:spacing w:after="0" w:line="360" w:lineRule="auto"/>
        <w:ind w:firstLine="709"/>
        <w:jc w:val="both"/>
        <w:rPr>
          <w:rFonts w:eastAsiaTheme="minorEastAsia" w:cstheme="majorHAnsi"/>
          <w:lang w:eastAsia="es-ES"/>
        </w:rPr>
      </w:pPr>
    </w:p>
    <w:p w:rsidR="00F515F0" w:rsidRDefault="00F515F0" w:rsidP="008929F4">
      <w:pPr>
        <w:spacing w:after="0" w:line="360" w:lineRule="auto"/>
        <w:ind w:firstLine="709"/>
        <w:jc w:val="both"/>
        <w:rPr>
          <w:rFonts w:eastAsiaTheme="minorEastAsia" w:cstheme="majorHAnsi"/>
          <w:lang w:eastAsia="es-ES"/>
        </w:rPr>
      </w:pPr>
      <w:r>
        <w:rPr>
          <w:rFonts w:eastAsiaTheme="minorEastAsia" w:cstheme="majorHAnsi"/>
          <w:lang w:eastAsia="es-ES"/>
        </w:rPr>
        <w:t xml:space="preserve">El documento solicitado no se encuentra en poder de la Comisión Ejecutiva Portuaria Autónoma (CEPA) por lo que cabe categorizarse como información inexistente, ya que no </w:t>
      </w:r>
      <w:proofErr w:type="spellStart"/>
      <w:r>
        <w:rPr>
          <w:rFonts w:eastAsiaTheme="minorEastAsia" w:cstheme="majorHAnsi"/>
          <w:lang w:eastAsia="es-ES"/>
        </w:rPr>
        <w:t>esta</w:t>
      </w:r>
      <w:proofErr w:type="spellEnd"/>
      <w:r>
        <w:rPr>
          <w:rFonts w:eastAsiaTheme="minorEastAsia" w:cstheme="majorHAnsi"/>
          <w:lang w:eastAsia="es-ES"/>
        </w:rPr>
        <w:t xml:space="preserve"> dentro de sus competencias el registro de antecedentes penales de los ciudadanos en El Salvador, sino que es una función que le corresponde a la Dirección General de Centros Penales, dependencia perteneciente al Ministerio de Justicia y  Seguridad Pública, por lo tanto es a ellos a quien compete la generación de documentos como el solicitado</w:t>
      </w:r>
    </w:p>
    <w:p w:rsidR="00D13DFB" w:rsidRDefault="00D13DFB" w:rsidP="008929F4">
      <w:pPr>
        <w:spacing w:after="0" w:line="360" w:lineRule="auto"/>
        <w:ind w:firstLine="709"/>
        <w:jc w:val="both"/>
        <w:rPr>
          <w:rFonts w:eastAsiaTheme="minorEastAsia" w:cstheme="majorHAnsi"/>
          <w:lang w:eastAsia="es-ES"/>
        </w:rPr>
      </w:pPr>
    </w:p>
    <w:p w:rsidR="008929F4" w:rsidRPr="00B866C2" w:rsidRDefault="008929F4" w:rsidP="008929F4">
      <w:pPr>
        <w:spacing w:after="0" w:line="360" w:lineRule="auto"/>
        <w:ind w:firstLine="709"/>
        <w:jc w:val="both"/>
        <w:rPr>
          <w:rFonts w:eastAsiaTheme="minorEastAsia" w:cstheme="majorHAnsi"/>
          <w:lang w:eastAsia="es-ES"/>
        </w:rPr>
      </w:pPr>
      <w:r w:rsidRPr="00B31B67">
        <w:rPr>
          <w:rFonts w:eastAsiaTheme="minorEastAsia" w:cstheme="majorHAnsi"/>
          <w:lang w:eastAsia="es-ES"/>
        </w:rPr>
        <w:t xml:space="preserve">Por tanto, con base a los argumentos expuestos, y </w:t>
      </w:r>
      <w:r w:rsidR="00F515F0">
        <w:rPr>
          <w:rFonts w:eastAsiaTheme="minorEastAsia" w:cstheme="majorHAnsi"/>
          <w:lang w:eastAsia="es-ES"/>
        </w:rPr>
        <w:t>en los artículos</w:t>
      </w:r>
      <w:r w:rsidR="00045406">
        <w:rPr>
          <w:rFonts w:eastAsiaTheme="minorEastAsia" w:cstheme="majorHAnsi"/>
          <w:lang w:eastAsia="es-ES"/>
        </w:rPr>
        <w:t>2,</w:t>
      </w:r>
      <w:r w:rsidR="00F515F0">
        <w:rPr>
          <w:rFonts w:eastAsiaTheme="minorEastAsia" w:cstheme="majorHAnsi"/>
          <w:lang w:eastAsia="es-ES"/>
        </w:rPr>
        <w:t xml:space="preserve"> </w:t>
      </w:r>
      <w:r w:rsidR="00045406">
        <w:rPr>
          <w:rFonts w:eastAsiaTheme="minorEastAsia" w:cstheme="majorHAnsi"/>
          <w:lang w:eastAsia="es-ES"/>
        </w:rPr>
        <w:t>6 literal c)</w:t>
      </w:r>
      <w:r>
        <w:rPr>
          <w:rFonts w:eastAsiaTheme="minorEastAsia" w:cstheme="majorHAnsi"/>
          <w:lang w:eastAsia="es-ES"/>
        </w:rPr>
        <w:t>,</w:t>
      </w:r>
      <w:r w:rsidRPr="00B31B67">
        <w:rPr>
          <w:rFonts w:eastAsiaTheme="minorEastAsia" w:cstheme="majorHAnsi"/>
          <w:lang w:eastAsia="es-ES"/>
        </w:rPr>
        <w:t xml:space="preserve"> </w:t>
      </w:r>
      <w:r w:rsidR="00045406">
        <w:rPr>
          <w:rFonts w:eastAsiaTheme="minorEastAsia" w:cstheme="majorHAnsi"/>
          <w:lang w:eastAsia="es-ES"/>
        </w:rPr>
        <w:t xml:space="preserve">68 inciso 2º., 73 y 74 literal c) </w:t>
      </w:r>
      <w:r w:rsidRPr="00B31B67">
        <w:rPr>
          <w:rFonts w:eastAsiaTheme="minorEastAsia" w:cstheme="majorHAnsi"/>
          <w:lang w:eastAsia="es-ES"/>
        </w:rPr>
        <w:t xml:space="preserve">de la Ley de Acceso a la Información Pública -LAIP-, se </w:t>
      </w:r>
      <w:r w:rsidRPr="00B31B67">
        <w:rPr>
          <w:rFonts w:eastAsiaTheme="minorEastAsia" w:cstheme="majorHAnsi"/>
          <w:b/>
          <w:lang w:eastAsia="es-ES"/>
        </w:rPr>
        <w:t>RESUELVE:</w:t>
      </w:r>
      <w:r w:rsidRPr="00B31B67">
        <w:rPr>
          <w:rFonts w:eastAsiaTheme="minorEastAsia" w:cstheme="majorHAnsi"/>
          <w:b/>
          <w:lang w:eastAsia="es-ES"/>
        </w:rPr>
        <w:tab/>
      </w:r>
    </w:p>
    <w:p w:rsidR="008929F4" w:rsidRDefault="008929F4" w:rsidP="008929F4">
      <w:pPr>
        <w:spacing w:after="0" w:line="360" w:lineRule="auto"/>
        <w:jc w:val="both"/>
        <w:rPr>
          <w:rFonts w:eastAsiaTheme="minorEastAsia" w:cstheme="majorHAnsi"/>
          <w:lang w:eastAsia="es-ES"/>
        </w:rPr>
      </w:pPr>
    </w:p>
    <w:p w:rsidR="008929F4" w:rsidRPr="00E8664B" w:rsidRDefault="008929F4" w:rsidP="008929F4">
      <w:pPr>
        <w:pStyle w:val="Prrafodelista"/>
        <w:numPr>
          <w:ilvl w:val="0"/>
          <w:numId w:val="1"/>
        </w:numPr>
        <w:spacing w:after="0" w:line="360" w:lineRule="auto"/>
        <w:jc w:val="both"/>
        <w:rPr>
          <w:rFonts w:eastAsiaTheme="minorEastAsia" w:cstheme="majorHAnsi"/>
          <w:lang w:eastAsia="es-ES"/>
        </w:rPr>
      </w:pPr>
      <w:r>
        <w:rPr>
          <w:rFonts w:eastAsiaTheme="minorEastAsia" w:cstheme="majorHAnsi"/>
          <w:lang w:eastAsia="es-ES"/>
        </w:rPr>
        <w:t xml:space="preserve">Declárese inadmisible a trámite la solicitud de información </w:t>
      </w:r>
      <w:r>
        <w:rPr>
          <w:rFonts w:eastAsia="Calibri" w:cstheme="majorHAnsi"/>
        </w:rPr>
        <w:t>Sol_UAIP_0</w:t>
      </w:r>
      <w:r w:rsidR="00045406">
        <w:rPr>
          <w:rFonts w:eastAsia="Calibri" w:cstheme="majorHAnsi"/>
        </w:rPr>
        <w:t>98</w:t>
      </w:r>
      <w:r>
        <w:rPr>
          <w:rFonts w:eastAsia="Calibri" w:cstheme="majorHAnsi"/>
        </w:rPr>
        <w:t xml:space="preserve">/2019, por </w:t>
      </w:r>
      <w:r w:rsidR="00045406">
        <w:rPr>
          <w:rFonts w:eastAsia="Calibri" w:cstheme="majorHAnsi"/>
        </w:rPr>
        <w:t>ser una</w:t>
      </w:r>
      <w:r>
        <w:rPr>
          <w:rFonts w:eastAsia="Calibri" w:cstheme="majorHAnsi"/>
        </w:rPr>
        <w:t xml:space="preserve"> solicitud de acceso a la información pública,</w:t>
      </w:r>
      <w:r w:rsidR="00045406">
        <w:rPr>
          <w:rFonts w:eastAsia="Calibri" w:cstheme="majorHAnsi"/>
        </w:rPr>
        <w:t xml:space="preserve"> respecto a información que no se encuentra en poder o que ha sido generada,</w:t>
      </w:r>
      <w:r w:rsidR="00045406" w:rsidRPr="00045406">
        <w:rPr>
          <w:rFonts w:eastAsiaTheme="minorEastAsia" w:cstheme="majorHAnsi"/>
          <w:lang w:eastAsia="es-ES"/>
        </w:rPr>
        <w:t xml:space="preserve"> </w:t>
      </w:r>
      <w:r w:rsidR="00045406" w:rsidRPr="00B31B67">
        <w:rPr>
          <w:rFonts w:eastAsiaTheme="minorEastAsia" w:cstheme="majorHAnsi"/>
          <w:lang w:eastAsia="es-ES"/>
        </w:rPr>
        <w:t>obtenida, transformada o conservada</w:t>
      </w:r>
      <w:r w:rsidR="00045406">
        <w:rPr>
          <w:rFonts w:eastAsiaTheme="minorEastAsia" w:cstheme="majorHAnsi"/>
          <w:lang w:eastAsia="es-ES"/>
        </w:rPr>
        <w:t xml:space="preserve"> por parte de CEPA, sino que corresponde a otra institución gubernamental la generación de ese tipo de documentos, por lo que esta debe ser solicitada a la Dirección General de Centros </w:t>
      </w:r>
      <w:proofErr w:type="gramStart"/>
      <w:r w:rsidR="00045406">
        <w:rPr>
          <w:rFonts w:eastAsiaTheme="minorEastAsia" w:cstheme="majorHAnsi"/>
          <w:lang w:eastAsia="es-ES"/>
        </w:rPr>
        <w:t>Penales</w:t>
      </w:r>
      <w:r w:rsidR="00045406">
        <w:rPr>
          <w:rFonts w:eastAsia="Calibri" w:cstheme="majorHAnsi"/>
        </w:rPr>
        <w:t xml:space="preserve"> .</w:t>
      </w:r>
      <w:proofErr w:type="gramEnd"/>
    </w:p>
    <w:p w:rsidR="008929F4" w:rsidRPr="00E8664B" w:rsidRDefault="008929F4" w:rsidP="008929F4">
      <w:pPr>
        <w:pStyle w:val="Prrafodelista"/>
        <w:numPr>
          <w:ilvl w:val="0"/>
          <w:numId w:val="1"/>
        </w:numPr>
        <w:spacing w:after="0" w:line="360" w:lineRule="auto"/>
        <w:jc w:val="both"/>
        <w:rPr>
          <w:rFonts w:eastAsiaTheme="minorEastAsia" w:cstheme="majorHAnsi"/>
          <w:lang w:eastAsia="es-ES"/>
        </w:rPr>
      </w:pPr>
      <w:r>
        <w:rPr>
          <w:rFonts w:eastAsiaTheme="minorEastAsia" w:cstheme="majorHAnsi"/>
          <w:lang w:eastAsia="es-ES"/>
        </w:rPr>
        <w:t xml:space="preserve">Téngase por finalizado el proceso de solicitud de información </w:t>
      </w:r>
      <w:r>
        <w:rPr>
          <w:rFonts w:eastAsia="Calibri" w:cstheme="majorHAnsi"/>
        </w:rPr>
        <w:t>Sol_UAIP_0</w:t>
      </w:r>
      <w:r w:rsidR="00045406">
        <w:rPr>
          <w:rFonts w:eastAsia="Calibri" w:cstheme="majorHAnsi"/>
        </w:rPr>
        <w:t>98</w:t>
      </w:r>
      <w:r>
        <w:rPr>
          <w:rFonts w:eastAsia="Calibri" w:cstheme="majorHAnsi"/>
        </w:rPr>
        <w:t>/2019 y archívese definitivamente.</w:t>
      </w:r>
    </w:p>
    <w:p w:rsidR="008929F4" w:rsidRPr="00B1549F" w:rsidRDefault="008929F4" w:rsidP="008929F4">
      <w:pPr>
        <w:pStyle w:val="Prrafodelista"/>
        <w:numPr>
          <w:ilvl w:val="0"/>
          <w:numId w:val="1"/>
        </w:numPr>
        <w:spacing w:after="0" w:line="360" w:lineRule="auto"/>
        <w:jc w:val="both"/>
        <w:rPr>
          <w:rFonts w:eastAsiaTheme="minorEastAsia" w:cstheme="majorHAnsi"/>
          <w:lang w:eastAsia="es-ES"/>
        </w:rPr>
      </w:pPr>
      <w:r>
        <w:rPr>
          <w:rFonts w:eastAsiaTheme="minorEastAsia" w:cstheme="majorHAnsi"/>
          <w:lang w:eastAsia="es-ES"/>
        </w:rPr>
        <w:t>Hágase saber a</w:t>
      </w:r>
      <w:r w:rsidR="00045406">
        <w:rPr>
          <w:rFonts w:eastAsiaTheme="minorEastAsia" w:cstheme="majorHAnsi"/>
          <w:lang w:eastAsia="es-ES"/>
        </w:rPr>
        <w:t>l</w:t>
      </w:r>
      <w:r w:rsidR="00FC09AD">
        <w:rPr>
          <w:rFonts w:eastAsiaTheme="minorEastAsia" w:cstheme="majorHAnsi"/>
          <w:lang w:eastAsia="es-ES"/>
        </w:rPr>
        <w:t xml:space="preserve"> solicitante</w:t>
      </w:r>
      <w:bookmarkStart w:id="0" w:name="_GoBack"/>
      <w:bookmarkEnd w:id="0"/>
      <w:r>
        <w:rPr>
          <w:rFonts w:eastAsiaTheme="minorEastAsia" w:cstheme="majorHAnsi"/>
          <w:lang w:eastAsia="es-ES"/>
        </w:rPr>
        <w:t>, de la presente resolución e infórmese que queda expedito su derecho de acceso a la información pública, el cual podrá ejercer, a través de la Unidad de Acceso a la Información Pública de la Comisión Ejecutiva Portuaria Autónoma (CEPA), cuando lo estime pertinente, debiéndose sujetar a los requisitos de ley.</w:t>
      </w:r>
    </w:p>
    <w:p w:rsidR="008929F4" w:rsidRPr="00B31B67"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p>
    <w:p w:rsidR="008929F4" w:rsidRDefault="008929F4" w:rsidP="008929F4">
      <w:pPr>
        <w:spacing w:after="0" w:line="360" w:lineRule="auto"/>
        <w:jc w:val="both"/>
        <w:rPr>
          <w:rFonts w:eastAsiaTheme="minorEastAsia" w:cstheme="majorHAnsi"/>
          <w:b/>
          <w:i/>
          <w:lang w:eastAsia="es-ES"/>
        </w:rPr>
      </w:pPr>
      <w:r w:rsidRPr="00B31B67">
        <w:rPr>
          <w:rFonts w:eastAsiaTheme="minorEastAsia" w:cstheme="majorHAnsi"/>
          <w:b/>
          <w:i/>
          <w:lang w:eastAsia="es-ES"/>
        </w:rPr>
        <w:t xml:space="preserve">Notifíquese. </w:t>
      </w:r>
      <w:r w:rsidR="00045406">
        <w:rPr>
          <w:rFonts w:eastAsiaTheme="minorEastAsia" w:cstheme="majorHAnsi"/>
          <w:b/>
          <w:i/>
          <w:lang w:eastAsia="es-ES"/>
        </w:rPr>
        <w:t>–</w:t>
      </w:r>
    </w:p>
    <w:p w:rsidR="00045406" w:rsidRPr="00B31B67" w:rsidRDefault="00045406" w:rsidP="008929F4">
      <w:pPr>
        <w:spacing w:after="0" w:line="360" w:lineRule="auto"/>
        <w:jc w:val="both"/>
        <w:rPr>
          <w:rFonts w:eastAsiaTheme="minorEastAsia" w:cstheme="majorHAnsi"/>
          <w:b/>
          <w:i/>
          <w:lang w:eastAsia="es-ES"/>
        </w:rPr>
      </w:pPr>
    </w:p>
    <w:p w:rsidR="008929F4" w:rsidRPr="00B31B67" w:rsidRDefault="008929F4" w:rsidP="008929F4">
      <w:pPr>
        <w:spacing w:after="0" w:line="360" w:lineRule="auto"/>
        <w:jc w:val="both"/>
        <w:rPr>
          <w:rFonts w:eastAsiaTheme="minorEastAsia" w:cstheme="majorHAnsi"/>
          <w:lang w:eastAsia="es-ES"/>
        </w:rPr>
      </w:pPr>
      <w:r w:rsidRPr="00B31B67">
        <w:rPr>
          <w:rFonts w:eastAsiaTheme="minorEastAsia" w:cstheme="majorHAnsi"/>
          <w:lang w:eastAsia="es-ES"/>
        </w:rPr>
        <w:t>Se informa que podrá consultar información pública en el Portal de Transparencia, acce</w:t>
      </w:r>
      <w:r>
        <w:rPr>
          <w:rFonts w:eastAsiaTheme="minorEastAsia" w:cstheme="majorHAnsi"/>
          <w:lang w:eastAsia="es-ES"/>
        </w:rPr>
        <w:t>diend</w:t>
      </w:r>
      <w:r w:rsidRPr="00B31B67">
        <w:rPr>
          <w:rFonts w:eastAsiaTheme="minorEastAsia" w:cstheme="majorHAnsi"/>
          <w:lang w:eastAsia="es-ES"/>
        </w:rPr>
        <w:t xml:space="preserve">o a la página Web </w:t>
      </w:r>
      <w:r w:rsidRPr="00B31B67">
        <w:rPr>
          <w:rFonts w:eastAsiaTheme="minorEastAsia" w:cstheme="majorHAnsi"/>
          <w:color w:val="0563C1"/>
          <w:u w:val="single"/>
          <w:lang w:eastAsia="es-ES"/>
        </w:rPr>
        <w:t>http://www.transparencia.gob.sv,</w:t>
      </w:r>
      <w:r w:rsidRPr="00B31B67">
        <w:rPr>
          <w:rFonts w:eastAsiaTheme="minorEastAsia" w:cstheme="majorHAnsi"/>
          <w:lang w:eastAsia="es-ES"/>
        </w:rPr>
        <w:t xml:space="preserve"> mediante “Comisión Ejecutiva Portuaria Autónoma”.</w:t>
      </w:r>
    </w:p>
    <w:p w:rsidR="008929F4" w:rsidRPr="00B31B67"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p>
    <w:p w:rsidR="008929F4" w:rsidRDefault="008929F4" w:rsidP="008929F4">
      <w:pPr>
        <w:spacing w:after="0" w:line="360" w:lineRule="auto"/>
        <w:jc w:val="both"/>
        <w:rPr>
          <w:rFonts w:eastAsiaTheme="minorEastAsia" w:cstheme="majorHAnsi"/>
          <w:lang w:eastAsia="es-ES"/>
        </w:rPr>
      </w:pPr>
    </w:p>
    <w:p w:rsidR="008929F4"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360" w:lineRule="auto"/>
        <w:jc w:val="both"/>
        <w:rPr>
          <w:rFonts w:eastAsiaTheme="minorEastAsia" w:cstheme="majorHAnsi"/>
          <w:lang w:eastAsia="es-ES"/>
        </w:rPr>
      </w:pPr>
    </w:p>
    <w:p w:rsidR="008929F4" w:rsidRPr="00B31B67" w:rsidRDefault="008929F4" w:rsidP="008929F4">
      <w:pPr>
        <w:spacing w:after="0" w:line="240" w:lineRule="auto"/>
        <w:jc w:val="center"/>
        <w:rPr>
          <w:rFonts w:eastAsiaTheme="minorEastAsia" w:cstheme="majorHAnsi"/>
          <w:lang w:eastAsia="es-ES"/>
        </w:rPr>
      </w:pPr>
      <w:r w:rsidRPr="00B31B67">
        <w:rPr>
          <w:rFonts w:eastAsiaTheme="minorEastAsia" w:cstheme="majorHAnsi"/>
          <w:lang w:eastAsia="es-ES"/>
        </w:rPr>
        <w:t>Ricardo Alfonso Alas Hernández</w:t>
      </w:r>
    </w:p>
    <w:p w:rsidR="008929F4" w:rsidRDefault="008929F4" w:rsidP="008929F4">
      <w:pPr>
        <w:spacing w:after="0" w:line="240" w:lineRule="auto"/>
        <w:jc w:val="center"/>
      </w:pPr>
      <w:r w:rsidRPr="00B31B67">
        <w:rPr>
          <w:rFonts w:eastAsiaTheme="minorEastAsia" w:cstheme="majorHAnsi"/>
          <w:lang w:eastAsia="es-ES"/>
        </w:rPr>
        <w:t xml:space="preserve">Oficial de Información </w:t>
      </w:r>
    </w:p>
    <w:p w:rsidR="008929F4" w:rsidRDefault="008929F4" w:rsidP="008929F4"/>
    <w:p w:rsidR="008929F4" w:rsidRDefault="008929F4" w:rsidP="008929F4"/>
    <w:p w:rsidR="008929F4" w:rsidRDefault="008929F4" w:rsidP="008929F4"/>
    <w:p w:rsidR="008929F4" w:rsidRDefault="008929F4" w:rsidP="008929F4"/>
    <w:p w:rsidR="00644D1C" w:rsidRDefault="00B167CD"/>
    <w:sectPr w:rsidR="00644D1C" w:rsidSect="0022506A">
      <w:headerReference w:type="default" r:id="rId8"/>
      <w:footerReference w:type="default" r:id="rId9"/>
      <w:pgSz w:w="12240" w:h="15840"/>
      <w:pgMar w:top="1843"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CD" w:rsidRDefault="00B167CD">
      <w:pPr>
        <w:spacing w:after="0" w:line="240" w:lineRule="auto"/>
      </w:pPr>
      <w:r>
        <w:separator/>
      </w:r>
    </w:p>
  </w:endnote>
  <w:endnote w:type="continuationSeparator" w:id="0">
    <w:p w:rsidR="00B167CD" w:rsidRDefault="00B1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24" w:rsidRPr="00743DE2" w:rsidRDefault="00815021" w:rsidP="00743DE2">
    <w:pPr>
      <w:pStyle w:val="Piedepgina"/>
      <w:jc w:val="center"/>
      <w:rPr>
        <w:b/>
      </w:rPr>
    </w:pPr>
    <w:r w:rsidRPr="00743DE2">
      <w:rPr>
        <w:b/>
        <w:noProof/>
        <w:lang w:eastAsia="es-SV"/>
      </w:rPr>
      <w:drawing>
        <wp:anchor distT="0" distB="0" distL="114300" distR="114300" simplePos="0" relativeHeight="251662336" behindDoc="1" locked="0" layoutInCell="1" allowOverlap="1" wp14:anchorId="0FDCC999" wp14:editId="242EA888">
          <wp:simplePos x="0" y="0"/>
          <wp:positionH relativeFrom="column">
            <wp:posOffset>1885950</wp:posOffset>
          </wp:positionH>
          <wp:positionV relativeFrom="paragraph">
            <wp:posOffset>9053195</wp:posOffset>
          </wp:positionV>
          <wp:extent cx="3990975" cy="725170"/>
          <wp:effectExtent l="0" t="0" r="9525" b="0"/>
          <wp:wrapNone/>
          <wp:docPr id="2" name="Imagen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1312" behindDoc="1" locked="0" layoutInCell="1" allowOverlap="1" wp14:anchorId="2D043ADB" wp14:editId="1652A80C">
          <wp:simplePos x="0" y="0"/>
          <wp:positionH relativeFrom="column">
            <wp:posOffset>1885950</wp:posOffset>
          </wp:positionH>
          <wp:positionV relativeFrom="paragraph">
            <wp:posOffset>9053195</wp:posOffset>
          </wp:positionV>
          <wp:extent cx="3990975" cy="725170"/>
          <wp:effectExtent l="0" t="0" r="9525" b="0"/>
          <wp:wrapNone/>
          <wp:docPr id="3" name="Imagen 3"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0288" behindDoc="1" locked="0" layoutInCell="1" allowOverlap="1" wp14:anchorId="7C058895" wp14:editId="7B55AD1E">
          <wp:simplePos x="0" y="0"/>
          <wp:positionH relativeFrom="column">
            <wp:posOffset>1885950</wp:posOffset>
          </wp:positionH>
          <wp:positionV relativeFrom="paragraph">
            <wp:posOffset>9053195</wp:posOffset>
          </wp:positionV>
          <wp:extent cx="3990975" cy="725170"/>
          <wp:effectExtent l="0" t="0" r="9525" b="0"/>
          <wp:wrapNone/>
          <wp:docPr id="4" name="Imagen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Pr>
        <w:b/>
        <w:noProof/>
        <w:lang w:eastAsia="es-SV"/>
      </w:rPr>
      <w:drawing>
        <wp:inline distT="0" distB="0" distL="0" distR="0" wp14:anchorId="20DF54CE" wp14:editId="32C534E2">
          <wp:extent cx="3999865" cy="733425"/>
          <wp:effectExtent l="0" t="0" r="63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9865" cy="7334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CD" w:rsidRDefault="00B167CD">
      <w:pPr>
        <w:spacing w:after="0" w:line="240" w:lineRule="auto"/>
      </w:pPr>
      <w:r>
        <w:separator/>
      </w:r>
    </w:p>
  </w:footnote>
  <w:footnote w:type="continuationSeparator" w:id="0">
    <w:p w:rsidR="00B167CD" w:rsidRDefault="00B16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24" w:rsidRPr="003B605E" w:rsidRDefault="00815021">
    <w:pPr>
      <w:pStyle w:val="Encabezado"/>
      <w:rPr>
        <w:rFonts w:cstheme="majorHAnsi"/>
        <w:b/>
        <w:i/>
      </w:rPr>
    </w:pPr>
    <w:r w:rsidRPr="003B605E">
      <w:rPr>
        <w:rFonts w:cstheme="majorHAnsi"/>
        <w:b/>
        <w:i/>
        <w:noProof/>
        <w:lang w:eastAsia="es-SV"/>
      </w:rPr>
      <w:drawing>
        <wp:anchor distT="0" distB="0" distL="114300" distR="114300" simplePos="0" relativeHeight="251659264" behindDoc="0" locked="0" layoutInCell="1" allowOverlap="1" wp14:anchorId="21AA35CD" wp14:editId="19DEB545">
          <wp:simplePos x="0" y="0"/>
          <wp:positionH relativeFrom="column">
            <wp:posOffset>4053840</wp:posOffset>
          </wp:positionH>
          <wp:positionV relativeFrom="paragraph">
            <wp:posOffset>-235585</wp:posOffset>
          </wp:positionV>
          <wp:extent cx="1628681" cy="673955"/>
          <wp:effectExtent l="0" t="0" r="0" b="0"/>
          <wp:wrapNone/>
          <wp:docPr id="1" name="Imagen 1" descr="Macintosh HD:Users:anibal.ramirez:Desktop:anibal back up:proyectocp:objetos:ce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ibal.ramirez:Desktop:anibal back up:proyectocp:objetos:cepa-logo.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28681" cy="673955"/>
                  </a:xfrm>
                  <a:prstGeom prst="rect">
                    <a:avLst/>
                  </a:prstGeom>
                  <a:noFill/>
                  <a:ln>
                    <a:noFill/>
                  </a:ln>
                </pic:spPr>
              </pic:pic>
            </a:graphicData>
          </a:graphic>
        </wp:anchor>
      </w:drawing>
    </w:r>
    <w:r w:rsidRPr="003B605E">
      <w:rPr>
        <w:rFonts w:cstheme="majorHAnsi"/>
        <w:b/>
        <w:i/>
      </w:rPr>
      <w:t>Comisión Ejecutiva Portuaria Autónoma</w:t>
    </w:r>
  </w:p>
  <w:p w:rsidR="00E60B24" w:rsidRPr="003B605E" w:rsidRDefault="00815021">
    <w:pPr>
      <w:pStyle w:val="Encabezado"/>
      <w:rPr>
        <w:rFonts w:cstheme="majorHAnsi"/>
        <w:i/>
      </w:rPr>
    </w:pPr>
    <w:r w:rsidRPr="003B605E">
      <w:rPr>
        <w:rFonts w:cstheme="majorHAnsi"/>
        <w:i/>
      </w:rPr>
      <w:t>Unidad de Acceso a la Información Pública</w:t>
    </w:r>
  </w:p>
  <w:p w:rsidR="00E60B24" w:rsidRDefault="00B167CD" w:rsidP="007C716E">
    <w:pPr>
      <w:pStyle w:val="Encabezado"/>
      <w:tabs>
        <w:tab w:val="left" w:pos="2661"/>
      </w:tabs>
      <w:rPr>
        <w:rStyle w:val="Hipervnculo"/>
        <w:rFonts w:cstheme="majorHAnsi"/>
        <w:i/>
      </w:rPr>
    </w:pPr>
    <w:hyperlink r:id="rId2" w:history="1">
      <w:r w:rsidR="00815021" w:rsidRPr="003B605E">
        <w:rPr>
          <w:rStyle w:val="Hipervnculo"/>
          <w:rFonts w:cstheme="majorHAnsi"/>
          <w:i/>
        </w:rPr>
        <w:t>www.cepa.gob.sv</w:t>
      </w:r>
    </w:hyperlink>
  </w:p>
  <w:p w:rsidR="003D4735" w:rsidRDefault="00B167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735EF"/>
    <w:multiLevelType w:val="hybridMultilevel"/>
    <w:tmpl w:val="CD2ED2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4625A7F"/>
    <w:multiLevelType w:val="hybridMultilevel"/>
    <w:tmpl w:val="5B12578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F4"/>
    <w:rsid w:val="00045406"/>
    <w:rsid w:val="00363C6A"/>
    <w:rsid w:val="00557017"/>
    <w:rsid w:val="006114F5"/>
    <w:rsid w:val="00815021"/>
    <w:rsid w:val="008929F4"/>
    <w:rsid w:val="008E43D4"/>
    <w:rsid w:val="00B167CD"/>
    <w:rsid w:val="00D13DFB"/>
    <w:rsid w:val="00DA469E"/>
    <w:rsid w:val="00F515F0"/>
    <w:rsid w:val="00FC09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9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9F4"/>
  </w:style>
  <w:style w:type="paragraph" w:styleId="Piedepgina">
    <w:name w:val="footer"/>
    <w:basedOn w:val="Normal"/>
    <w:link w:val="PiedepginaCar"/>
    <w:uiPriority w:val="99"/>
    <w:unhideWhenUsed/>
    <w:rsid w:val="008929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29F4"/>
  </w:style>
  <w:style w:type="character" w:styleId="Hipervnculo">
    <w:name w:val="Hyperlink"/>
    <w:basedOn w:val="Fuentedeprrafopredeter"/>
    <w:uiPriority w:val="99"/>
    <w:unhideWhenUsed/>
    <w:rsid w:val="008929F4"/>
    <w:rPr>
      <w:color w:val="0563C1"/>
      <w:u w:val="single"/>
    </w:rPr>
  </w:style>
  <w:style w:type="paragraph" w:styleId="Prrafodelista">
    <w:name w:val="List Paragraph"/>
    <w:basedOn w:val="Normal"/>
    <w:uiPriority w:val="34"/>
    <w:qFormat/>
    <w:rsid w:val="008929F4"/>
    <w:pPr>
      <w:ind w:left="720"/>
      <w:contextualSpacing/>
    </w:pPr>
  </w:style>
  <w:style w:type="paragraph" w:styleId="Textodeglobo">
    <w:name w:val="Balloon Text"/>
    <w:basedOn w:val="Normal"/>
    <w:link w:val="TextodegloboCar"/>
    <w:uiPriority w:val="99"/>
    <w:semiHidden/>
    <w:unhideWhenUsed/>
    <w:rsid w:val="000454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4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9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9F4"/>
  </w:style>
  <w:style w:type="paragraph" w:styleId="Piedepgina">
    <w:name w:val="footer"/>
    <w:basedOn w:val="Normal"/>
    <w:link w:val="PiedepginaCar"/>
    <w:uiPriority w:val="99"/>
    <w:unhideWhenUsed/>
    <w:rsid w:val="008929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29F4"/>
  </w:style>
  <w:style w:type="character" w:styleId="Hipervnculo">
    <w:name w:val="Hyperlink"/>
    <w:basedOn w:val="Fuentedeprrafopredeter"/>
    <w:uiPriority w:val="99"/>
    <w:unhideWhenUsed/>
    <w:rsid w:val="008929F4"/>
    <w:rPr>
      <w:color w:val="0563C1"/>
      <w:u w:val="single"/>
    </w:rPr>
  </w:style>
  <w:style w:type="paragraph" w:styleId="Prrafodelista">
    <w:name w:val="List Paragraph"/>
    <w:basedOn w:val="Normal"/>
    <w:uiPriority w:val="34"/>
    <w:qFormat/>
    <w:rsid w:val="008929F4"/>
    <w:pPr>
      <w:ind w:left="720"/>
      <w:contextualSpacing/>
    </w:pPr>
  </w:style>
  <w:style w:type="paragraph" w:styleId="Textodeglobo">
    <w:name w:val="Balloon Text"/>
    <w:basedOn w:val="Normal"/>
    <w:link w:val="TextodegloboCar"/>
    <w:uiPriority w:val="99"/>
    <w:semiHidden/>
    <w:unhideWhenUsed/>
    <w:rsid w:val="000454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cepa.gob.s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Gabriela Iraheta</cp:lastModifiedBy>
  <cp:revision>2</cp:revision>
  <cp:lastPrinted>2019-11-27T22:58:00Z</cp:lastPrinted>
  <dcterms:created xsi:type="dcterms:W3CDTF">2019-11-27T20:25:00Z</dcterms:created>
  <dcterms:modified xsi:type="dcterms:W3CDTF">2020-02-18T18:29:00Z</dcterms:modified>
</cp:coreProperties>
</file>