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27" w:rsidRPr="00B31B67" w:rsidRDefault="007C5727" w:rsidP="007C5727">
      <w:pPr>
        <w:spacing w:after="0" w:line="360" w:lineRule="auto"/>
        <w:rPr>
          <w:rFonts w:eastAsiaTheme="minorEastAsia" w:cstheme="majorHAnsi"/>
          <w:b/>
          <w:lang w:eastAsia="es-ES"/>
        </w:rPr>
      </w:pPr>
    </w:p>
    <w:p w:rsidR="007C5727" w:rsidRPr="00B31B67" w:rsidRDefault="007C5727" w:rsidP="007C5727">
      <w:pPr>
        <w:spacing w:after="0" w:line="360" w:lineRule="auto"/>
        <w:jc w:val="right"/>
        <w:rPr>
          <w:rFonts w:eastAsiaTheme="minorEastAsia" w:cstheme="majorHAnsi"/>
          <w:b/>
          <w:lang w:eastAsia="es-ES"/>
        </w:rPr>
      </w:pPr>
      <w:r w:rsidRPr="00B31B67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</w:t>
      </w:r>
      <w:r w:rsidR="00640D56">
        <w:rPr>
          <w:rFonts w:eastAsiaTheme="minorEastAsia" w:cstheme="majorHAnsi"/>
          <w:b/>
          <w:lang w:eastAsia="es-ES"/>
        </w:rPr>
        <w:t>83</w:t>
      </w:r>
      <w:r w:rsidRPr="00B31B67">
        <w:rPr>
          <w:rFonts w:eastAsiaTheme="minorEastAsia" w:cstheme="majorHAnsi"/>
          <w:b/>
          <w:lang w:eastAsia="es-ES"/>
        </w:rPr>
        <w:t>/2019</w:t>
      </w:r>
    </w:p>
    <w:p w:rsidR="007C5727" w:rsidRPr="00B31B67" w:rsidRDefault="007C5727" w:rsidP="007C5727">
      <w:pPr>
        <w:spacing w:after="0" w:line="360" w:lineRule="auto"/>
        <w:jc w:val="both"/>
        <w:rPr>
          <w:rFonts w:eastAsiaTheme="minorEastAsia" w:cstheme="majorHAnsi"/>
          <w:b/>
          <w:lang w:eastAsia="es-ES"/>
        </w:rPr>
      </w:pPr>
    </w:p>
    <w:p w:rsidR="007C5727" w:rsidRDefault="007C5727" w:rsidP="007C5727">
      <w:pPr>
        <w:spacing w:after="0" w:line="300" w:lineRule="auto"/>
        <w:jc w:val="both"/>
        <w:rPr>
          <w:rFonts w:eastAsia="Calibri" w:cstheme="majorHAnsi"/>
        </w:rPr>
      </w:pPr>
      <w:r w:rsidRPr="00B31B67">
        <w:rPr>
          <w:rFonts w:eastAsia="Calibri" w:cstheme="majorHAnsi"/>
          <w:b/>
        </w:rPr>
        <w:t xml:space="preserve">UNIDAD DE ACCESO A LA INFORMACIÓN PUBLICA </w:t>
      </w:r>
      <w:r w:rsidRPr="00B31B67">
        <w:rPr>
          <w:rFonts w:eastAsia="Calibri" w:cstheme="majorHAnsi"/>
        </w:rPr>
        <w:t>de la</w:t>
      </w:r>
      <w:r w:rsidRPr="00B31B67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>; San Salvador, a las catorce</w:t>
      </w:r>
      <w:r w:rsidRPr="00B31B67">
        <w:rPr>
          <w:rFonts w:eastAsia="Calibri" w:cstheme="majorHAnsi"/>
        </w:rPr>
        <w:t xml:space="preserve"> horas </w:t>
      </w:r>
      <w:r>
        <w:rPr>
          <w:rFonts w:eastAsia="Calibri" w:cstheme="majorHAnsi"/>
        </w:rPr>
        <w:t xml:space="preserve">y veintidós minutos </w:t>
      </w:r>
      <w:r w:rsidRPr="00B31B67">
        <w:rPr>
          <w:rFonts w:eastAsia="Calibri" w:cstheme="majorHAnsi"/>
        </w:rPr>
        <w:t xml:space="preserve">del día </w:t>
      </w:r>
      <w:r w:rsidR="00246F3B">
        <w:rPr>
          <w:rFonts w:eastAsia="Calibri" w:cstheme="majorHAnsi"/>
        </w:rPr>
        <w:t>nueve</w:t>
      </w:r>
      <w:r>
        <w:rPr>
          <w:rFonts w:eastAsia="Calibri" w:cstheme="majorHAnsi"/>
        </w:rPr>
        <w:t xml:space="preserve"> de </w:t>
      </w:r>
      <w:r w:rsidR="00640D56">
        <w:rPr>
          <w:rFonts w:eastAsia="Calibri" w:cstheme="majorHAnsi"/>
        </w:rPr>
        <w:t>dic</w:t>
      </w:r>
      <w:r>
        <w:rPr>
          <w:rFonts w:eastAsia="Calibri" w:cstheme="majorHAnsi"/>
        </w:rPr>
        <w:t>iembre</w:t>
      </w:r>
      <w:r w:rsidRPr="00B31B67">
        <w:rPr>
          <w:rFonts w:eastAsia="Calibri" w:cstheme="majorHAnsi"/>
        </w:rPr>
        <w:t xml:space="preserve"> del año dos mil diecinueve, con vista a</w:t>
      </w:r>
      <w:r>
        <w:rPr>
          <w:rFonts w:eastAsia="Calibri" w:cstheme="majorHAnsi"/>
        </w:rPr>
        <w:t xml:space="preserve"> la prevención realizada mediante resolución Res_UAIP_1</w:t>
      </w:r>
      <w:r w:rsidR="00640D56">
        <w:rPr>
          <w:rFonts w:eastAsia="Calibri" w:cstheme="majorHAnsi"/>
        </w:rPr>
        <w:t>71</w:t>
      </w:r>
      <w:r>
        <w:rPr>
          <w:rFonts w:eastAsia="Calibri" w:cstheme="majorHAnsi"/>
        </w:rPr>
        <w:t xml:space="preserve">/2019 de fecha </w:t>
      </w:r>
      <w:r w:rsidR="00640D56">
        <w:rPr>
          <w:rFonts w:eastAsia="Calibri" w:cstheme="majorHAnsi"/>
        </w:rPr>
        <w:t>veinticinco</w:t>
      </w:r>
      <w:r>
        <w:rPr>
          <w:rFonts w:eastAsia="Calibri" w:cstheme="majorHAnsi"/>
        </w:rPr>
        <w:t xml:space="preserve"> de noviembre de dos mil diecinue</w:t>
      </w:r>
      <w:r w:rsidR="00E20756">
        <w:rPr>
          <w:rFonts w:eastAsia="Calibri" w:cstheme="majorHAnsi"/>
        </w:rPr>
        <w:t>ve y notificada ese mismo día a</w:t>
      </w:r>
      <w:r>
        <w:rPr>
          <w:rFonts w:eastAsia="Calibri" w:cstheme="majorHAnsi"/>
        </w:rPr>
        <w:t>, al correo asignado en la solicitud de información con referencia Sol_UAIP_0</w:t>
      </w:r>
      <w:r w:rsidR="00640D56">
        <w:rPr>
          <w:rFonts w:eastAsia="Calibri" w:cstheme="majorHAnsi"/>
        </w:rPr>
        <w:t>96</w:t>
      </w:r>
      <w:r>
        <w:rPr>
          <w:rFonts w:eastAsia="Calibri" w:cstheme="majorHAnsi"/>
        </w:rPr>
        <w:t>/2019, en la que se resolvió:</w:t>
      </w:r>
    </w:p>
    <w:p w:rsidR="007C5727" w:rsidRDefault="007C5727" w:rsidP="007C5727">
      <w:pPr>
        <w:spacing w:after="0" w:line="300" w:lineRule="auto"/>
        <w:jc w:val="both"/>
        <w:rPr>
          <w:rFonts w:eastAsia="Calibri" w:cstheme="majorHAnsi"/>
        </w:rPr>
      </w:pPr>
    </w:p>
    <w:p w:rsidR="00640D56" w:rsidRPr="00640D56" w:rsidRDefault="00640D56" w:rsidP="00640D56">
      <w:pPr>
        <w:numPr>
          <w:ilvl w:val="0"/>
          <w:numId w:val="1"/>
        </w:numPr>
        <w:spacing w:after="0" w:line="360" w:lineRule="auto"/>
        <w:ind w:left="851"/>
        <w:jc w:val="both"/>
        <w:rPr>
          <w:rFonts w:eastAsia="Calibri" w:cstheme="majorHAnsi"/>
        </w:rPr>
      </w:pPr>
      <w:r w:rsidRPr="00640D56">
        <w:rPr>
          <w:rFonts w:eastAsia="Calibri" w:cstheme="majorHAnsi"/>
        </w:rPr>
        <w:t>Prevéngase al solicitante</w:t>
      </w:r>
      <w:r w:rsidR="00E20756">
        <w:rPr>
          <w:rFonts w:eastAsia="Calibri" w:cstheme="majorHAnsi"/>
        </w:rPr>
        <w:t>,</w:t>
      </w:r>
      <w:r w:rsidRPr="00640D56">
        <w:rPr>
          <w:rFonts w:eastAsia="Calibri" w:cstheme="majorHAnsi"/>
        </w:rPr>
        <w:t xml:space="preserve"> a efecto de que detalle de forma clara y precisa la información que requiere. </w:t>
      </w:r>
    </w:p>
    <w:p w:rsidR="00640D56" w:rsidRPr="00640D56" w:rsidRDefault="00640D56" w:rsidP="00640D56">
      <w:pPr>
        <w:numPr>
          <w:ilvl w:val="0"/>
          <w:numId w:val="1"/>
        </w:numPr>
        <w:spacing w:after="0" w:line="360" w:lineRule="auto"/>
        <w:ind w:left="851"/>
        <w:jc w:val="both"/>
        <w:rPr>
          <w:rFonts w:eastAsia="Calibri" w:cstheme="majorHAnsi"/>
        </w:rPr>
      </w:pPr>
      <w:r w:rsidRPr="00640D56">
        <w:rPr>
          <w:rFonts w:eastAsia="Calibri" w:cstheme="majorHAnsi"/>
        </w:rPr>
        <w:t>Interrúmpase el plazo de respuesta, hasta que el solicitante subsane en el legal término, so pena de finalizar el presente caso.</w:t>
      </w:r>
    </w:p>
    <w:p w:rsidR="00640D56" w:rsidRPr="00640D56" w:rsidRDefault="00640D56" w:rsidP="00640D56">
      <w:pPr>
        <w:numPr>
          <w:ilvl w:val="0"/>
          <w:numId w:val="1"/>
        </w:numPr>
        <w:spacing w:after="0" w:line="360" w:lineRule="auto"/>
        <w:ind w:left="851"/>
        <w:jc w:val="both"/>
        <w:rPr>
          <w:rFonts w:eastAsia="Calibri" w:cstheme="majorHAnsi"/>
          <w:i/>
        </w:rPr>
      </w:pPr>
      <w:r w:rsidRPr="00640D56">
        <w:rPr>
          <w:rFonts w:eastAsia="Calibri" w:cstheme="majorHAnsi"/>
        </w:rPr>
        <w:t xml:space="preserve">Concédase el plazo de diez días hábiles contados a partir de la notificación de este proveído, para que el solicitante subsane lo señalado. </w:t>
      </w:r>
    </w:p>
    <w:p w:rsidR="007C5727" w:rsidRDefault="007C5727" w:rsidP="007C5727">
      <w:pPr>
        <w:spacing w:after="0" w:line="300" w:lineRule="auto"/>
        <w:jc w:val="both"/>
        <w:rPr>
          <w:rFonts w:ascii="Calibri" w:eastAsia="Calibri" w:hAnsi="Calibri" w:cstheme="majorHAnsi"/>
          <w:i/>
        </w:rPr>
      </w:pPr>
    </w:p>
    <w:p w:rsidR="007C5727" w:rsidRPr="00B31B67" w:rsidRDefault="007C5727" w:rsidP="007C5727">
      <w:pPr>
        <w:spacing w:after="0" w:line="300" w:lineRule="auto"/>
        <w:jc w:val="both"/>
        <w:rPr>
          <w:rFonts w:ascii="Calibri" w:eastAsia="Calibri" w:hAnsi="Calibri" w:cstheme="majorHAnsi"/>
          <w:i/>
        </w:rPr>
      </w:pPr>
    </w:p>
    <w:p w:rsidR="007C5727" w:rsidRDefault="007C5727" w:rsidP="007C5727">
      <w:pPr>
        <w:spacing w:after="0" w:line="360" w:lineRule="auto"/>
        <w:jc w:val="both"/>
        <w:rPr>
          <w:rFonts w:eastAsiaTheme="minorEastAsia" w:cstheme="majorHAnsi"/>
          <w:b/>
          <w:lang w:eastAsia="es-ES"/>
        </w:rPr>
      </w:pPr>
      <w:r>
        <w:rPr>
          <w:rFonts w:eastAsiaTheme="minorEastAsia" w:cstheme="minorHAnsi"/>
          <w:lang w:eastAsia="es-ES"/>
        </w:rPr>
        <w:t>Habiendo transcurrido el término legal establecido sin que la solicitante subsanara las prevenciones realizadas a su solicitud de información, el suscrito Oficial de Información</w:t>
      </w:r>
      <w:r>
        <w:rPr>
          <w:rFonts w:eastAsiaTheme="minorEastAsia" w:cstheme="majorHAnsi"/>
          <w:lang w:eastAsia="es-ES"/>
        </w:rPr>
        <w:t xml:space="preserve"> </w:t>
      </w:r>
      <w:r w:rsidRPr="00B31B67">
        <w:rPr>
          <w:rFonts w:eastAsiaTheme="minorEastAsia" w:cstheme="majorHAnsi"/>
          <w:b/>
          <w:lang w:eastAsia="es-ES"/>
        </w:rPr>
        <w:t>RESUELVE:</w:t>
      </w:r>
      <w:r w:rsidRPr="00B31B67">
        <w:rPr>
          <w:rFonts w:eastAsiaTheme="minorEastAsia" w:cstheme="majorHAnsi"/>
          <w:b/>
          <w:lang w:eastAsia="es-ES"/>
        </w:rPr>
        <w:tab/>
      </w:r>
    </w:p>
    <w:p w:rsidR="007C5727" w:rsidRDefault="007C5727" w:rsidP="007C5727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7C5727" w:rsidRPr="00E8664B" w:rsidRDefault="007C5727" w:rsidP="007C572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 xml:space="preserve">Declárese inadmisible a trámite la solicitud de información </w:t>
      </w:r>
      <w:r>
        <w:rPr>
          <w:rFonts w:eastAsia="Calibri" w:cstheme="majorHAnsi"/>
        </w:rPr>
        <w:t>Sol_UAIP_0</w:t>
      </w:r>
      <w:r w:rsidR="00640D56">
        <w:rPr>
          <w:rFonts w:eastAsia="Calibri" w:cstheme="majorHAnsi"/>
        </w:rPr>
        <w:t>96</w:t>
      </w:r>
      <w:r>
        <w:rPr>
          <w:rFonts w:eastAsia="Calibri" w:cstheme="majorHAnsi"/>
        </w:rPr>
        <w:t>/2019, por no haber subsanado las observaciones realizadas de conformidad al artículo 66 inciso quinto de la Ley de Acceso a la Información Pública (LAIP).</w:t>
      </w:r>
    </w:p>
    <w:p w:rsidR="007C5727" w:rsidRPr="00640D56" w:rsidRDefault="007C5727" w:rsidP="007C572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 xml:space="preserve">Téngase por finalizado el proceso de solicitud de información </w:t>
      </w:r>
      <w:r>
        <w:rPr>
          <w:rFonts w:eastAsia="Calibri" w:cstheme="majorHAnsi"/>
        </w:rPr>
        <w:t>Sol_UAIP_0</w:t>
      </w:r>
      <w:r w:rsidR="00640D56">
        <w:rPr>
          <w:rFonts w:eastAsia="Calibri" w:cstheme="majorHAnsi"/>
        </w:rPr>
        <w:t>96</w:t>
      </w:r>
      <w:r>
        <w:rPr>
          <w:rFonts w:eastAsia="Calibri" w:cstheme="majorHAnsi"/>
        </w:rPr>
        <w:t>/2019 y archívese definitivamente.</w:t>
      </w:r>
    </w:p>
    <w:p w:rsidR="007C5727" w:rsidRPr="00640D56" w:rsidRDefault="007C5727" w:rsidP="00640D5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Theme="minorEastAsia" w:cstheme="majorHAnsi"/>
          <w:lang w:eastAsia="es-ES"/>
        </w:rPr>
      </w:pPr>
      <w:r w:rsidRPr="00640D56">
        <w:rPr>
          <w:rFonts w:eastAsiaTheme="minorEastAsia" w:cstheme="majorHAnsi"/>
          <w:lang w:eastAsia="es-ES"/>
        </w:rPr>
        <w:t>Hágase saber a</w:t>
      </w:r>
      <w:r w:rsidR="00640D56" w:rsidRPr="00640D56">
        <w:rPr>
          <w:rFonts w:eastAsiaTheme="minorEastAsia" w:cstheme="majorHAnsi"/>
          <w:lang w:eastAsia="es-ES"/>
        </w:rPr>
        <w:t>l</w:t>
      </w:r>
      <w:r w:rsidR="00E20756">
        <w:rPr>
          <w:rFonts w:eastAsiaTheme="minorEastAsia" w:cstheme="majorHAnsi"/>
          <w:lang w:eastAsia="es-ES"/>
        </w:rPr>
        <w:t xml:space="preserve"> solicitante</w:t>
      </w:r>
      <w:bookmarkStart w:id="0" w:name="_GoBack"/>
      <w:bookmarkEnd w:id="0"/>
      <w:r w:rsidRPr="00640D56">
        <w:rPr>
          <w:rFonts w:eastAsiaTheme="minorEastAsia" w:cstheme="majorHAnsi"/>
          <w:lang w:eastAsia="es-ES"/>
        </w:rPr>
        <w:t>, de la presente resolución e infórmese que queda expedito su derecho de acceso a la información pública, el cual podrá ejercer, a través de la Unidad de Acceso a la Información Pública de la Comisión Ejecutiva Portuaria Autónoma (CEPA), cuando lo estime pertinente, debiéndose sujetar a los requisitos de ley.</w:t>
      </w:r>
    </w:p>
    <w:p w:rsidR="007C5727" w:rsidRPr="00B31B67" w:rsidRDefault="007C5727" w:rsidP="007C5727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7C5727" w:rsidRPr="00B31B67" w:rsidRDefault="007C5727" w:rsidP="007C5727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7C5727" w:rsidRPr="00B31B67" w:rsidRDefault="007C5727" w:rsidP="007C5727">
      <w:pPr>
        <w:spacing w:after="0" w:line="360" w:lineRule="auto"/>
        <w:jc w:val="both"/>
        <w:rPr>
          <w:rFonts w:eastAsiaTheme="minorEastAsia" w:cstheme="majorHAnsi"/>
          <w:b/>
          <w:i/>
          <w:lang w:eastAsia="es-ES"/>
        </w:rPr>
      </w:pPr>
      <w:r w:rsidRPr="00B31B67">
        <w:rPr>
          <w:rFonts w:eastAsiaTheme="minorEastAsia" w:cstheme="majorHAnsi"/>
          <w:b/>
          <w:i/>
          <w:lang w:eastAsia="es-ES"/>
        </w:rPr>
        <w:t>Notifíquese. -</w:t>
      </w:r>
    </w:p>
    <w:p w:rsidR="007C5727" w:rsidRPr="00B31B67" w:rsidRDefault="007C5727" w:rsidP="007C5727">
      <w:pPr>
        <w:spacing w:after="0" w:line="360" w:lineRule="auto"/>
        <w:jc w:val="both"/>
        <w:rPr>
          <w:rFonts w:eastAsiaTheme="minorEastAsia" w:cstheme="majorHAnsi"/>
          <w:lang w:eastAsia="es-ES"/>
        </w:rPr>
      </w:pPr>
      <w:r w:rsidRPr="00B31B67">
        <w:rPr>
          <w:rFonts w:eastAsiaTheme="minorEastAsia" w:cstheme="majorHAnsi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lang w:eastAsia="es-ES"/>
        </w:rPr>
        <w:t>diend</w:t>
      </w:r>
      <w:r w:rsidRPr="00B31B67">
        <w:rPr>
          <w:rFonts w:eastAsiaTheme="minorEastAsia" w:cstheme="majorHAnsi"/>
          <w:lang w:eastAsia="es-ES"/>
        </w:rPr>
        <w:t xml:space="preserve">o a la página Web </w:t>
      </w:r>
      <w:r w:rsidRPr="00B31B67">
        <w:rPr>
          <w:rFonts w:eastAsiaTheme="minorEastAsia" w:cstheme="majorHAnsi"/>
          <w:color w:val="0563C1"/>
          <w:u w:val="single"/>
          <w:lang w:eastAsia="es-ES"/>
        </w:rPr>
        <w:t>http://www.transparencia.gob.sv,</w:t>
      </w:r>
      <w:r w:rsidRPr="00B31B67">
        <w:rPr>
          <w:rFonts w:eastAsiaTheme="minorEastAsia" w:cstheme="majorHAnsi"/>
          <w:lang w:eastAsia="es-ES"/>
        </w:rPr>
        <w:t xml:space="preserve"> mediante “Comisión Ejecutiva Portuaria Autónoma”.</w:t>
      </w:r>
    </w:p>
    <w:p w:rsidR="007C5727" w:rsidRPr="00B31B67" w:rsidRDefault="007C5727" w:rsidP="007C5727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7C5727" w:rsidRPr="00B31B67" w:rsidRDefault="007C5727" w:rsidP="007C5727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7C5727" w:rsidRDefault="007C5727" w:rsidP="007C5727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7C5727" w:rsidRDefault="007C5727" w:rsidP="007C5727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7C5727" w:rsidRPr="00B31B67" w:rsidRDefault="007C5727" w:rsidP="007C5727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7C5727" w:rsidRDefault="007C5727" w:rsidP="007C5727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640D56" w:rsidRDefault="00640D56" w:rsidP="007C5727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640D56" w:rsidRPr="00B31B67" w:rsidRDefault="00640D56" w:rsidP="007C5727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7C5727" w:rsidRPr="00B31B67" w:rsidRDefault="007C5727" w:rsidP="007C5727">
      <w:pPr>
        <w:spacing w:after="0" w:line="240" w:lineRule="auto"/>
        <w:jc w:val="center"/>
        <w:rPr>
          <w:rFonts w:eastAsiaTheme="minorEastAsia" w:cstheme="majorHAnsi"/>
          <w:lang w:eastAsia="es-ES"/>
        </w:rPr>
      </w:pPr>
      <w:r w:rsidRPr="00B31B67">
        <w:rPr>
          <w:rFonts w:eastAsiaTheme="minorEastAsia" w:cstheme="majorHAnsi"/>
          <w:lang w:eastAsia="es-ES"/>
        </w:rPr>
        <w:t>Ricardo Alfonso Alas Hernández</w:t>
      </w:r>
    </w:p>
    <w:p w:rsidR="007C5727" w:rsidRDefault="007C5727" w:rsidP="007C5727">
      <w:pPr>
        <w:spacing w:after="0" w:line="240" w:lineRule="auto"/>
        <w:jc w:val="center"/>
      </w:pPr>
      <w:r w:rsidRPr="00B31B67">
        <w:rPr>
          <w:rFonts w:eastAsiaTheme="minorEastAsia" w:cstheme="majorHAnsi"/>
          <w:lang w:eastAsia="es-ES"/>
        </w:rPr>
        <w:t xml:space="preserve">Oficial de Información </w:t>
      </w:r>
    </w:p>
    <w:p w:rsidR="007C5727" w:rsidRDefault="007C5727" w:rsidP="007C5727"/>
    <w:p w:rsidR="007C5727" w:rsidRDefault="007C5727" w:rsidP="007C5727"/>
    <w:p w:rsidR="007C5727" w:rsidRDefault="007C5727" w:rsidP="007C5727"/>
    <w:p w:rsidR="007C5727" w:rsidRDefault="007C5727" w:rsidP="007C5727"/>
    <w:p w:rsidR="007C5727" w:rsidRDefault="007C5727" w:rsidP="007C5727"/>
    <w:p w:rsidR="00644D1C" w:rsidRDefault="00BA74C8"/>
    <w:sectPr w:rsidR="00644D1C" w:rsidSect="0022506A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4C8" w:rsidRDefault="00BA74C8">
      <w:pPr>
        <w:spacing w:after="0" w:line="240" w:lineRule="auto"/>
      </w:pPr>
      <w:r>
        <w:separator/>
      </w:r>
    </w:p>
  </w:endnote>
  <w:endnote w:type="continuationSeparator" w:id="0">
    <w:p w:rsidR="00BA74C8" w:rsidRDefault="00BA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24" w:rsidRPr="00743DE2" w:rsidRDefault="00772816" w:rsidP="00743DE2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0F295F80" wp14:editId="4141729D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06D6C4F5" wp14:editId="784EAF43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7DA68962" wp14:editId="78F1721A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61B3593D" wp14:editId="38735480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4C8" w:rsidRDefault="00BA74C8">
      <w:pPr>
        <w:spacing w:after="0" w:line="240" w:lineRule="auto"/>
      </w:pPr>
      <w:r>
        <w:separator/>
      </w:r>
    </w:p>
  </w:footnote>
  <w:footnote w:type="continuationSeparator" w:id="0">
    <w:p w:rsidR="00BA74C8" w:rsidRDefault="00BA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24" w:rsidRPr="003B605E" w:rsidRDefault="00772816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637559CC" wp14:editId="2802D16F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E60B24" w:rsidRPr="003B605E" w:rsidRDefault="00772816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E60B24" w:rsidRDefault="00BA74C8" w:rsidP="007C716E">
    <w:pPr>
      <w:pStyle w:val="Encabezado"/>
      <w:tabs>
        <w:tab w:val="left" w:pos="2661"/>
      </w:tabs>
      <w:rPr>
        <w:rStyle w:val="Hipervnculo"/>
        <w:rFonts w:cstheme="majorHAnsi"/>
        <w:i/>
      </w:rPr>
    </w:pPr>
    <w:hyperlink r:id="rId2" w:history="1">
      <w:r w:rsidR="00772816" w:rsidRPr="003B605E">
        <w:rPr>
          <w:rStyle w:val="Hipervnculo"/>
          <w:rFonts w:cstheme="majorHAnsi"/>
          <w:i/>
        </w:rPr>
        <w:t>www.cepa.gob.sv</w:t>
      </w:r>
    </w:hyperlink>
  </w:p>
  <w:p w:rsidR="003D4735" w:rsidRDefault="00BA74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35EF"/>
    <w:multiLevelType w:val="hybridMultilevel"/>
    <w:tmpl w:val="CD2ED26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3788D"/>
    <w:multiLevelType w:val="hybridMultilevel"/>
    <w:tmpl w:val="FB9C3B84"/>
    <w:lvl w:ilvl="0" w:tplc="C590E358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27"/>
    <w:rsid w:val="00246F3B"/>
    <w:rsid w:val="00557017"/>
    <w:rsid w:val="006114F5"/>
    <w:rsid w:val="00640D56"/>
    <w:rsid w:val="00772816"/>
    <w:rsid w:val="007C5727"/>
    <w:rsid w:val="00BA74C8"/>
    <w:rsid w:val="00E2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7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7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727"/>
  </w:style>
  <w:style w:type="paragraph" w:styleId="Piedepgina">
    <w:name w:val="footer"/>
    <w:basedOn w:val="Normal"/>
    <w:link w:val="PiedepginaCar"/>
    <w:uiPriority w:val="99"/>
    <w:unhideWhenUsed/>
    <w:rsid w:val="007C57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727"/>
  </w:style>
  <w:style w:type="character" w:styleId="Hipervnculo">
    <w:name w:val="Hyperlink"/>
    <w:basedOn w:val="Fuentedeprrafopredeter"/>
    <w:uiPriority w:val="99"/>
    <w:unhideWhenUsed/>
    <w:rsid w:val="007C5727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C57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7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7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727"/>
  </w:style>
  <w:style w:type="paragraph" w:styleId="Piedepgina">
    <w:name w:val="footer"/>
    <w:basedOn w:val="Normal"/>
    <w:link w:val="PiedepginaCar"/>
    <w:uiPriority w:val="99"/>
    <w:unhideWhenUsed/>
    <w:rsid w:val="007C57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727"/>
  </w:style>
  <w:style w:type="character" w:styleId="Hipervnculo">
    <w:name w:val="Hyperlink"/>
    <w:basedOn w:val="Fuentedeprrafopredeter"/>
    <w:uiPriority w:val="99"/>
    <w:unhideWhenUsed/>
    <w:rsid w:val="007C5727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C57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3</cp:revision>
  <dcterms:created xsi:type="dcterms:W3CDTF">2019-12-09T20:21:00Z</dcterms:created>
  <dcterms:modified xsi:type="dcterms:W3CDTF">2020-02-18T18:25:00Z</dcterms:modified>
</cp:coreProperties>
</file>