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40" w:rsidRPr="00AB79A9" w:rsidRDefault="00200940" w:rsidP="00200940">
      <w:pPr>
        <w:spacing w:after="0" w:line="300" w:lineRule="auto"/>
        <w:jc w:val="right"/>
        <w:rPr>
          <w:rFonts w:eastAsiaTheme="minorEastAsia" w:cstheme="majorHAnsi"/>
          <w:b/>
          <w:lang w:eastAsia="es-ES"/>
        </w:rPr>
      </w:pPr>
      <w:r w:rsidRPr="00AB79A9">
        <w:rPr>
          <w:rFonts w:eastAsiaTheme="minorEastAsia" w:cstheme="majorHAnsi"/>
          <w:b/>
          <w:lang w:eastAsia="es-ES"/>
        </w:rPr>
        <w:t>Res_UAIP_</w:t>
      </w:r>
      <w:r>
        <w:rPr>
          <w:rFonts w:eastAsiaTheme="minorEastAsia" w:cstheme="majorHAnsi"/>
          <w:b/>
          <w:lang w:eastAsia="es-ES"/>
        </w:rPr>
        <w:t>167</w:t>
      </w:r>
      <w:r w:rsidRPr="00AB79A9">
        <w:rPr>
          <w:rFonts w:eastAsiaTheme="minorEastAsia" w:cstheme="majorHAnsi"/>
          <w:b/>
          <w:lang w:eastAsia="es-ES"/>
        </w:rPr>
        <w:t>/2019</w:t>
      </w:r>
    </w:p>
    <w:p w:rsidR="00200940" w:rsidRDefault="00200940" w:rsidP="00200940">
      <w:pPr>
        <w:spacing w:after="0" w:line="300" w:lineRule="auto"/>
        <w:jc w:val="both"/>
        <w:rPr>
          <w:rFonts w:eastAsiaTheme="minorEastAsia" w:cstheme="majorHAnsi"/>
          <w:b/>
          <w:lang w:eastAsia="es-ES"/>
        </w:rPr>
      </w:pPr>
    </w:p>
    <w:p w:rsidR="00245364" w:rsidRPr="00AB79A9" w:rsidRDefault="00245364" w:rsidP="00200940">
      <w:pPr>
        <w:spacing w:after="0" w:line="300" w:lineRule="auto"/>
        <w:jc w:val="both"/>
        <w:rPr>
          <w:rFonts w:eastAsiaTheme="minorEastAsia" w:cstheme="majorHAnsi"/>
          <w:b/>
          <w:lang w:eastAsia="es-ES"/>
        </w:rPr>
      </w:pPr>
    </w:p>
    <w:p w:rsidR="00200940" w:rsidRPr="00AB79A9" w:rsidRDefault="00200940" w:rsidP="00200940">
      <w:pPr>
        <w:spacing w:after="0" w:line="300" w:lineRule="auto"/>
        <w:jc w:val="both"/>
        <w:rPr>
          <w:rFonts w:eastAsiaTheme="minorEastAsia" w:cstheme="majorHAnsi"/>
          <w:lang w:eastAsia="es-ES"/>
        </w:rPr>
      </w:pPr>
      <w:r w:rsidRPr="00AB79A9">
        <w:rPr>
          <w:rFonts w:eastAsia="Calibri" w:cstheme="majorHAnsi"/>
          <w:b/>
        </w:rPr>
        <w:t xml:space="preserve">UNIDAD DE ACCESO A LA INFORMACIÓN PUBLICA </w:t>
      </w:r>
      <w:r w:rsidRPr="00AB79A9">
        <w:rPr>
          <w:rFonts w:eastAsia="Calibri" w:cstheme="majorHAnsi"/>
        </w:rPr>
        <w:t>de la</w:t>
      </w:r>
      <w:r w:rsidRPr="00AB79A9">
        <w:rPr>
          <w:rFonts w:eastAsia="Calibri" w:cstheme="majorHAnsi"/>
          <w:b/>
        </w:rPr>
        <w:t xml:space="preserve"> COMISIÓN EJECUTIVA PORTUARIA AUTÓNOMA -CEPA-</w:t>
      </w:r>
      <w:r>
        <w:rPr>
          <w:rFonts w:eastAsia="Calibri" w:cstheme="majorHAnsi"/>
        </w:rPr>
        <w:t>; San Salvador, a las quince horas con doce</w:t>
      </w:r>
      <w:r w:rsidRPr="00AB79A9">
        <w:rPr>
          <w:rFonts w:eastAsia="Calibri" w:cstheme="majorHAnsi"/>
        </w:rPr>
        <w:t xml:space="preserve"> minutos del día </w:t>
      </w:r>
      <w:r>
        <w:rPr>
          <w:rFonts w:eastAsia="Calibri" w:cstheme="majorHAnsi"/>
        </w:rPr>
        <w:t>veintidós de noviembre</w:t>
      </w:r>
      <w:r w:rsidRPr="00AB79A9">
        <w:rPr>
          <w:rFonts w:eastAsia="Calibri" w:cstheme="majorHAnsi"/>
        </w:rPr>
        <w:t xml:space="preserve"> del año dos mil diecinueve, con vista a la solicitud de acceso a la información, asignada bajo la referencia </w:t>
      </w:r>
      <w:r>
        <w:rPr>
          <w:rFonts w:eastAsia="Calibri" w:cstheme="majorHAnsi"/>
          <w:b/>
        </w:rPr>
        <w:t>Sol_UAIP_087</w:t>
      </w:r>
      <w:r w:rsidRPr="00AB79A9">
        <w:rPr>
          <w:rFonts w:eastAsia="Calibri" w:cstheme="majorHAnsi"/>
          <w:b/>
        </w:rPr>
        <w:t>/2019</w:t>
      </w:r>
      <w:r>
        <w:rPr>
          <w:rFonts w:eastAsia="Calibri" w:cstheme="majorHAnsi"/>
        </w:rPr>
        <w:t xml:space="preserve">, </w:t>
      </w:r>
      <w:r w:rsidRPr="00AB79A9">
        <w:rPr>
          <w:rFonts w:eastAsiaTheme="minorEastAsia" w:cstheme="majorHAnsi"/>
          <w:lang w:eastAsia="es-ES"/>
        </w:rPr>
        <w:t>requiriendo lo siguiente:</w:t>
      </w:r>
    </w:p>
    <w:p w:rsidR="00200940" w:rsidRPr="00AB79A9" w:rsidRDefault="00200940" w:rsidP="00200940">
      <w:pPr>
        <w:spacing w:after="0" w:line="300" w:lineRule="auto"/>
        <w:jc w:val="both"/>
        <w:rPr>
          <w:rFonts w:eastAsiaTheme="minorEastAsia" w:cstheme="majorHAnsi"/>
          <w:lang w:eastAsia="es-ES"/>
        </w:rPr>
      </w:pPr>
    </w:p>
    <w:p w:rsidR="00200940" w:rsidRPr="00AB79A9" w:rsidRDefault="00200940" w:rsidP="00200940">
      <w:pPr>
        <w:numPr>
          <w:ilvl w:val="0"/>
          <w:numId w:val="2"/>
        </w:numPr>
        <w:spacing w:after="0" w:line="300" w:lineRule="auto"/>
        <w:ind w:left="714" w:hanging="357"/>
        <w:jc w:val="both"/>
        <w:rPr>
          <w:rFonts w:ascii="Calibri" w:eastAsia="Calibri" w:hAnsi="Calibri" w:cstheme="majorHAnsi"/>
          <w:i/>
        </w:rPr>
      </w:pPr>
      <w:r w:rsidRPr="00AB79A9">
        <w:rPr>
          <w:rFonts w:ascii="Calibri" w:eastAsia="Calibri" w:hAnsi="Calibri" w:cstheme="majorHAnsi"/>
          <w:i/>
        </w:rPr>
        <w:t>“</w:t>
      </w:r>
      <w:r>
        <w:rPr>
          <w:rFonts w:ascii="Calibri" w:eastAsia="Calibri" w:hAnsi="Calibri" w:cstheme="majorHAnsi"/>
          <w:i/>
        </w:rPr>
        <w:t>Información sobre procedimientos para optar por una pasantía laboral dentro de la institución</w:t>
      </w:r>
      <w:r w:rsidRPr="00AB79A9">
        <w:rPr>
          <w:rFonts w:ascii="Calibri" w:eastAsia="Calibri" w:hAnsi="Calibri" w:cstheme="majorHAnsi"/>
          <w:i/>
        </w:rPr>
        <w:t>”</w:t>
      </w:r>
      <w:r>
        <w:rPr>
          <w:rFonts w:ascii="Calibri" w:eastAsia="Calibri" w:hAnsi="Calibri" w:cstheme="majorHAnsi"/>
          <w:i/>
        </w:rPr>
        <w:t>.</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Para pronunciarse sobre la procedencia de la solicitud de información, se analizará de la siguiente manera: (I) Breve referencia al Derecho de Acceso a la Información Pública; y (II) sobre la inexistencia de información.</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ab/>
      </w:r>
      <w:r w:rsidRPr="00AB79A9">
        <w:rPr>
          <w:rFonts w:eastAsiaTheme="minorEastAsia" w:cstheme="majorHAnsi"/>
          <w:b/>
          <w:i/>
          <w:lang w:eastAsia="es-ES"/>
        </w:rPr>
        <w:t>I.</w:t>
      </w:r>
      <w:r w:rsidRPr="00AB79A9">
        <w:rPr>
          <w:rFonts w:eastAsiaTheme="minorEastAsia" w:cstheme="majorHAnsi"/>
          <w: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La Ley de Acceso a la Información Pública, en adelante -LAIP-, brinda una definición de lo que se debe entender por “Información Pública”, estableciendo, que es aquella en poder de los entes obligados </w:t>
      </w:r>
      <w:r w:rsidRPr="00AB79A9">
        <w:rPr>
          <w:rFonts w:eastAsiaTheme="minorEastAsia" w:cstheme="majorHAnsi"/>
          <w:b/>
          <w:i/>
          <w:u w:val="single"/>
          <w:lang w:eastAsia="es-ES"/>
        </w:rPr>
        <w:t>contenida en documentos, archivos, datos, bases de datos, comunicaciones y todo tipo de registros que documenten el ejercicio de sus facultades o actividades, que consten en cualquier medio, ya sea impreso, óptico o electrónico</w:t>
      </w:r>
      <w:r w:rsidRPr="00AB79A9">
        <w:rPr>
          <w:rFonts w:eastAsiaTheme="minorEastAsia" w:cstheme="majorHAnsi"/>
          <w:i/>
          <w:lang w:eastAsia="es-ES"/>
        </w:rPr>
        <w:t>, independientemente de su fuente, fecha de elaboración, y que no sea confidencial. Dicha información podrá haber sido generada, obtenida, transformada o conservada por éstos a cualquier título.</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lastRenderedPageBreak/>
        <w:tab/>
      </w:r>
      <w:r w:rsidRPr="00AB79A9">
        <w:rPr>
          <w:rFonts w:eastAsiaTheme="minorEastAsia" w:cstheme="majorHAnsi"/>
          <w:b/>
          <w:i/>
          <w:lang w:eastAsia="es-ES"/>
        </w:rPr>
        <w:t>II.</w:t>
      </w:r>
      <w:r w:rsidRPr="00AB79A9">
        <w:rPr>
          <w:rFonts w:eastAsiaTheme="minorEastAsia" w:cstheme="majorHAnsi"/>
          <w:i/>
          <w:lang w:eastAsia="es-ES"/>
        </w:rPr>
        <w:t xml:space="preserve"> En cuanto a la inexistencia de información, el Instituto de Acceso a la Información Pública –IAIP-, ha sostenido en sus resoluciones que la figura procede, cuando se configuran alguna de las siguientes causales: </w:t>
      </w:r>
      <w:r w:rsidRPr="00AB79A9">
        <w:rPr>
          <w:rFonts w:eastAsiaTheme="minorEastAsia" w:cstheme="majorHAnsi"/>
          <w:b/>
          <w:i/>
          <w:lang w:eastAsia="es-ES"/>
        </w:rPr>
        <w:t>a) que nunca se haya generado el documento respectivo</w:t>
      </w:r>
      <w:r w:rsidRPr="00AB79A9">
        <w:rPr>
          <w:rFonts w:eastAsiaTheme="minorEastAsia" w:cstheme="majorHAnsi"/>
          <w:i/>
          <w:lang w:eastAsia="es-ES"/>
        </w:rPr>
        <w:t>, b) que el documento se encuentre en los archivos del ente obligado, pero se haya destruido por su antigüedad, fuerza mayor o caso fortuito; y c) que la información haya estado en los archivos de la dependencia o entidad.</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Vista la solicitud de información en cuanto a </w:t>
      </w:r>
      <w:r w:rsidRPr="00AB79A9">
        <w:rPr>
          <w:rFonts w:eastAsiaTheme="minorEastAsia" w:cstheme="majorHAnsi"/>
          <w:b/>
          <w:i/>
          <w:lang w:eastAsia="es-ES"/>
        </w:rPr>
        <w:t>“</w:t>
      </w:r>
      <w:r>
        <w:rPr>
          <w:rFonts w:eastAsiaTheme="minorEastAsia" w:cstheme="majorHAnsi"/>
          <w:b/>
          <w:i/>
          <w:lang w:eastAsia="es-ES"/>
        </w:rPr>
        <w:t>Información sobre procedimiento para optar por una pasantía laboral dentro de la institución</w:t>
      </w:r>
      <w:r w:rsidRPr="00AB79A9">
        <w:rPr>
          <w:rFonts w:eastAsiaTheme="minorEastAsia" w:cstheme="majorHAnsi"/>
          <w:b/>
          <w:i/>
          <w:lang w:eastAsia="es-ES"/>
        </w:rPr>
        <w:t>”</w:t>
      </w:r>
      <w:r w:rsidRPr="00AB79A9">
        <w:rPr>
          <w:rFonts w:eastAsiaTheme="minorEastAsia" w:cstheme="majorHAnsi"/>
          <w:i/>
          <w:lang w:eastAsia="es-ES"/>
        </w:rPr>
        <w:t>, esta recae sobre las causales que configuran una información inexistente, por lo que, se debe indicar a</w:t>
      </w:r>
      <w:r>
        <w:rPr>
          <w:rFonts w:eastAsiaTheme="minorEastAsia" w:cstheme="majorHAnsi"/>
          <w:i/>
          <w:lang w:eastAsia="es-ES"/>
        </w:rPr>
        <w:t xml:space="preserve"> la </w:t>
      </w:r>
      <w:r w:rsidRPr="00AB79A9">
        <w:rPr>
          <w:rFonts w:eastAsiaTheme="minorEastAsia" w:cstheme="majorHAnsi"/>
          <w:i/>
          <w:lang w:eastAsia="es-ES"/>
        </w:rPr>
        <w:t>ciudadan</w:t>
      </w:r>
      <w:r>
        <w:rPr>
          <w:rFonts w:eastAsiaTheme="minorEastAsia" w:cstheme="majorHAnsi"/>
          <w:i/>
          <w:lang w:eastAsia="es-ES"/>
        </w:rPr>
        <w:t>a</w:t>
      </w:r>
      <w:r w:rsidRPr="00AB79A9">
        <w:rPr>
          <w:rFonts w:eastAsiaTheme="minorEastAsia" w:cstheme="majorHAnsi"/>
          <w:i/>
          <w:lang w:eastAsia="es-ES"/>
        </w:rPr>
        <w:t xml:space="preserve"> que esta no ha sido producida por la Institución.</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ind w:firstLine="709"/>
        <w:jc w:val="both"/>
        <w:rPr>
          <w:rFonts w:eastAsiaTheme="minorEastAsia" w:cstheme="majorHAnsi"/>
          <w:i/>
          <w:lang w:eastAsia="es-ES"/>
        </w:rPr>
      </w:pPr>
      <w:r>
        <w:rPr>
          <w:rFonts w:eastAsiaTheme="minorEastAsia" w:cstheme="majorHAnsi"/>
          <w:i/>
          <w:lang w:eastAsia="es-ES"/>
        </w:rPr>
        <w:t>En la actualidad en la Comisión Ejecutiva Portuaria Autónoma (CEPA), no se cuenta con la modalidad de pasantías laborales.</w:t>
      </w:r>
    </w:p>
    <w:p w:rsidR="00200940" w:rsidRPr="00AB79A9" w:rsidRDefault="00200940" w:rsidP="00200940">
      <w:pPr>
        <w:spacing w:after="0" w:line="300" w:lineRule="auto"/>
        <w:jc w:val="both"/>
        <w:rPr>
          <w:rFonts w:eastAsiaTheme="minorEastAsia" w:cstheme="majorHAnsi"/>
          <w:i/>
          <w:lang w:eastAsia="es-ES"/>
        </w:rPr>
      </w:pPr>
    </w:p>
    <w:p w:rsidR="00200940" w:rsidRPr="00AB79A9" w:rsidRDefault="00200940" w:rsidP="00200940">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Por tanto, como se ha expresado en los romanos precedentes, una solicitud de información debe recaer sobre </w:t>
      </w:r>
      <w:r w:rsidRPr="00AB79A9">
        <w:rPr>
          <w:rFonts w:eastAsiaTheme="minorEastAsia" w:cstheme="majorHAnsi"/>
          <w:b/>
          <w:i/>
          <w:u w:val="single"/>
          <w:lang w:eastAsia="es-ES"/>
        </w:rPr>
        <w:t>documentos, archivos, datos, bases de datos, comunicaciones y todo tipo de registros que documenten el ejercicio de sus facultades o actividades, que consten en cualquier medio, ya sea impreso, óptico o electrónico</w:t>
      </w:r>
      <w:r w:rsidRPr="00AB79A9">
        <w:rPr>
          <w:rFonts w:eastAsiaTheme="minorEastAsia" w:cstheme="majorHAnsi"/>
          <w:i/>
          <w:lang w:eastAsia="es-ES"/>
        </w:rPr>
        <w:t>; y no habiéndose generado</w:t>
      </w:r>
      <w:r>
        <w:rPr>
          <w:rFonts w:eastAsiaTheme="minorEastAsia" w:cstheme="majorHAnsi"/>
          <w:i/>
          <w:lang w:eastAsia="es-ES"/>
        </w:rPr>
        <w:t xml:space="preserve"> la modalidad de pasantías laborales</w:t>
      </w:r>
      <w:r w:rsidRPr="00AB79A9">
        <w:rPr>
          <w:rFonts w:eastAsiaTheme="minorEastAsia" w:cstheme="majorHAnsi"/>
          <w:i/>
          <w:lang w:eastAsia="es-ES"/>
        </w:rPr>
        <w:t xml:space="preserve"> por parte de la Institución</w:t>
      </w:r>
      <w:r>
        <w:rPr>
          <w:rFonts w:eastAsiaTheme="minorEastAsia" w:cstheme="majorHAnsi"/>
          <w:i/>
          <w:lang w:eastAsia="es-ES"/>
        </w:rPr>
        <w:t>,</w:t>
      </w:r>
      <w:r w:rsidRPr="00AB79A9">
        <w:rPr>
          <w:rFonts w:eastAsiaTheme="minorEastAsia" w:cstheme="majorHAnsi"/>
          <w:i/>
          <w:lang w:eastAsia="es-ES"/>
        </w:rPr>
        <w:t xml:space="preserve"> es procedente declarar la solicitud de información inexisten</w:t>
      </w:r>
      <w:r>
        <w:rPr>
          <w:rFonts w:eastAsiaTheme="minorEastAsia" w:cstheme="majorHAnsi"/>
          <w:i/>
          <w:lang w:eastAsia="es-ES"/>
        </w:rPr>
        <w:t>te</w:t>
      </w:r>
    </w:p>
    <w:p w:rsidR="00200940" w:rsidRPr="00AB79A9" w:rsidRDefault="00200940" w:rsidP="00200940">
      <w:pPr>
        <w:tabs>
          <w:tab w:val="left" w:pos="4080"/>
        </w:tabs>
        <w:spacing w:after="0" w:line="300" w:lineRule="auto"/>
        <w:jc w:val="both"/>
        <w:rPr>
          <w:rFonts w:eastAsiaTheme="minorEastAsia" w:cstheme="majorHAnsi"/>
          <w:lang w:eastAsia="es-ES"/>
        </w:rPr>
      </w:pPr>
    </w:p>
    <w:p w:rsidR="00200940" w:rsidRDefault="00200940" w:rsidP="00200940">
      <w:pPr>
        <w:tabs>
          <w:tab w:val="left" w:pos="4080"/>
        </w:tabs>
        <w:spacing w:after="0" w:line="300" w:lineRule="auto"/>
        <w:jc w:val="both"/>
        <w:rPr>
          <w:rFonts w:eastAsiaTheme="minorEastAsia" w:cstheme="majorHAnsi"/>
          <w:b/>
          <w:lang w:eastAsia="es-ES"/>
        </w:rPr>
      </w:pPr>
      <w:r w:rsidRPr="00AB79A9">
        <w:rPr>
          <w:rFonts w:eastAsiaTheme="minorEastAsia" w:cstheme="majorHAnsi"/>
          <w:lang w:eastAsia="es-ES"/>
        </w:rPr>
        <w:t xml:space="preserve">Por lo anterior, con base a lo solicitado y de conformidad al artículo 73 de la Ley de Acceso a la Información Pública -LAIP-, el suscrito Oficial de Información </w:t>
      </w:r>
      <w:r w:rsidRPr="00AB79A9">
        <w:rPr>
          <w:rFonts w:eastAsiaTheme="minorEastAsia" w:cstheme="majorHAnsi"/>
          <w:b/>
          <w:lang w:eastAsia="es-ES"/>
        </w:rPr>
        <w:t>RESUELVE:</w:t>
      </w:r>
      <w:r w:rsidRPr="00AB79A9">
        <w:rPr>
          <w:rFonts w:eastAsiaTheme="minorEastAsia" w:cstheme="majorHAnsi"/>
          <w:b/>
          <w:lang w:eastAsia="es-ES"/>
        </w:rPr>
        <w:tab/>
      </w:r>
    </w:p>
    <w:p w:rsidR="00245364" w:rsidRPr="00AB79A9" w:rsidRDefault="00245364" w:rsidP="00200940">
      <w:pPr>
        <w:tabs>
          <w:tab w:val="left" w:pos="4080"/>
        </w:tabs>
        <w:spacing w:after="0" w:line="300" w:lineRule="auto"/>
        <w:jc w:val="both"/>
        <w:rPr>
          <w:rFonts w:eastAsiaTheme="minorEastAsia" w:cstheme="majorHAnsi"/>
          <w:b/>
          <w:lang w:eastAsia="es-ES"/>
        </w:rPr>
      </w:pPr>
    </w:p>
    <w:p w:rsidR="00200940" w:rsidRPr="00AB79A9" w:rsidRDefault="00200940" w:rsidP="00200940">
      <w:pPr>
        <w:spacing w:after="0" w:line="300" w:lineRule="auto"/>
        <w:jc w:val="both"/>
        <w:rPr>
          <w:rFonts w:eastAsiaTheme="minorEastAsia" w:cstheme="majorHAnsi"/>
          <w:lang w:eastAsia="es-ES"/>
        </w:rPr>
      </w:pPr>
    </w:p>
    <w:p w:rsidR="00200940" w:rsidRDefault="00200940" w:rsidP="00200940">
      <w:pPr>
        <w:numPr>
          <w:ilvl w:val="0"/>
          <w:numId w:val="1"/>
        </w:numPr>
        <w:spacing w:after="0" w:line="300" w:lineRule="auto"/>
        <w:ind w:left="851"/>
        <w:jc w:val="both"/>
        <w:rPr>
          <w:rFonts w:eastAsia="Calibri" w:cstheme="majorHAnsi"/>
        </w:rPr>
      </w:pPr>
      <w:r w:rsidRPr="00AB79A9">
        <w:rPr>
          <w:rFonts w:eastAsia="Calibri" w:cstheme="majorHAnsi"/>
        </w:rPr>
        <w:t>Declarar inexistent</w:t>
      </w:r>
      <w:r w:rsidR="00F43F1F">
        <w:rPr>
          <w:rFonts w:eastAsia="Calibri" w:cstheme="majorHAnsi"/>
        </w:rPr>
        <w:t>e la información solicitada por</w:t>
      </w:r>
      <w:bookmarkStart w:id="0" w:name="_GoBack"/>
      <w:bookmarkEnd w:id="0"/>
      <w:r w:rsidRPr="00AB79A9">
        <w:rPr>
          <w:rFonts w:eastAsia="Calibri" w:cstheme="majorHAnsi"/>
        </w:rPr>
        <w:t>, relativo a “</w:t>
      </w:r>
      <w:r>
        <w:rPr>
          <w:rFonts w:ascii="Calibri" w:eastAsia="Calibri" w:hAnsi="Calibri" w:cstheme="majorHAnsi"/>
          <w:i/>
        </w:rPr>
        <w:t>Información sobre procedimiento para optar por una pasantía laboral dentro de la institución</w:t>
      </w:r>
      <w:r w:rsidRPr="00AB79A9">
        <w:rPr>
          <w:rFonts w:ascii="Calibri" w:eastAsia="Calibri" w:hAnsi="Calibri" w:cstheme="majorHAnsi"/>
          <w:i/>
        </w:rPr>
        <w:t>”</w:t>
      </w:r>
      <w:r w:rsidRPr="00AB79A9">
        <w:rPr>
          <w:rFonts w:eastAsia="Calibri" w:cstheme="majorHAnsi"/>
        </w:rPr>
        <w:t>, debido a que la institución no generó la información respectiva.</w:t>
      </w:r>
    </w:p>
    <w:p w:rsidR="00245364" w:rsidRDefault="00245364" w:rsidP="00245364">
      <w:pPr>
        <w:spacing w:after="0" w:line="300" w:lineRule="auto"/>
        <w:ind w:left="851"/>
        <w:jc w:val="both"/>
        <w:rPr>
          <w:rFonts w:eastAsia="Calibri" w:cstheme="majorHAnsi"/>
        </w:rPr>
      </w:pPr>
    </w:p>
    <w:p w:rsidR="00200940" w:rsidRPr="00AB79A9" w:rsidRDefault="00245364" w:rsidP="00200940">
      <w:pPr>
        <w:numPr>
          <w:ilvl w:val="0"/>
          <w:numId w:val="1"/>
        </w:numPr>
        <w:spacing w:after="0" w:line="300" w:lineRule="auto"/>
        <w:ind w:left="851"/>
        <w:jc w:val="both"/>
        <w:rPr>
          <w:rFonts w:eastAsia="Calibri" w:cstheme="majorHAnsi"/>
        </w:rPr>
      </w:pPr>
      <w:r>
        <w:rPr>
          <w:rFonts w:eastAsia="Calibri" w:cstheme="majorHAnsi"/>
        </w:rPr>
        <w:t>Entréguese</w:t>
      </w:r>
      <w:r w:rsidR="00200940">
        <w:rPr>
          <w:rFonts w:eastAsia="Calibri" w:cstheme="majorHAnsi"/>
        </w:rPr>
        <w:t xml:space="preserve"> las respuestas de las áreas a las que se requirió la información expresando que </w:t>
      </w:r>
      <w:r>
        <w:rPr>
          <w:rFonts w:eastAsia="Calibri" w:cstheme="majorHAnsi"/>
        </w:rPr>
        <w:t>“CEPA no cuenta con la modalidad de pasantías laborales”.</w:t>
      </w:r>
    </w:p>
    <w:p w:rsidR="00200940" w:rsidRDefault="00200940" w:rsidP="00200940">
      <w:pPr>
        <w:spacing w:after="0" w:line="300" w:lineRule="auto"/>
        <w:ind w:left="720"/>
        <w:rPr>
          <w:rFonts w:eastAsia="Calibri" w:cstheme="majorHAnsi"/>
          <w:i/>
        </w:rPr>
      </w:pPr>
    </w:p>
    <w:p w:rsidR="00245364" w:rsidRDefault="00245364" w:rsidP="00200940">
      <w:pPr>
        <w:spacing w:after="0" w:line="300" w:lineRule="auto"/>
        <w:ind w:left="720"/>
        <w:rPr>
          <w:rFonts w:eastAsia="Calibri" w:cstheme="majorHAnsi"/>
          <w:i/>
        </w:rPr>
      </w:pPr>
    </w:p>
    <w:p w:rsidR="00245364" w:rsidRPr="00AB79A9" w:rsidRDefault="00245364" w:rsidP="00200940">
      <w:pPr>
        <w:spacing w:after="0" w:line="300" w:lineRule="auto"/>
        <w:ind w:left="720"/>
        <w:rPr>
          <w:rFonts w:eastAsia="Calibri" w:cstheme="majorHAnsi"/>
          <w:i/>
        </w:rPr>
      </w:pPr>
    </w:p>
    <w:p w:rsidR="00200940" w:rsidRPr="00AB79A9" w:rsidRDefault="00200940" w:rsidP="00200940">
      <w:pPr>
        <w:spacing w:after="0" w:line="300" w:lineRule="auto"/>
        <w:jc w:val="both"/>
        <w:rPr>
          <w:rFonts w:eastAsiaTheme="minorEastAsia" w:cstheme="majorHAnsi"/>
          <w:b/>
          <w:i/>
          <w:lang w:eastAsia="es-ES"/>
        </w:rPr>
      </w:pPr>
      <w:r w:rsidRPr="00AB79A9">
        <w:rPr>
          <w:rFonts w:eastAsiaTheme="minorEastAsia" w:cstheme="majorHAnsi"/>
          <w:b/>
          <w:i/>
          <w:lang w:eastAsia="es-ES"/>
        </w:rPr>
        <w:t>Notifíquese. -</w:t>
      </w:r>
    </w:p>
    <w:p w:rsidR="00245364" w:rsidRDefault="00245364" w:rsidP="00200940">
      <w:pPr>
        <w:spacing w:after="0" w:line="300" w:lineRule="auto"/>
        <w:jc w:val="both"/>
        <w:rPr>
          <w:rFonts w:eastAsiaTheme="minorEastAsia" w:cstheme="majorHAnsi"/>
          <w:i/>
          <w:sz w:val="20"/>
          <w:lang w:eastAsia="es-ES"/>
        </w:rPr>
      </w:pPr>
    </w:p>
    <w:p w:rsidR="00200940" w:rsidRPr="00AB79A9" w:rsidRDefault="00200940" w:rsidP="00200940">
      <w:pPr>
        <w:spacing w:after="0" w:line="300" w:lineRule="auto"/>
        <w:jc w:val="both"/>
        <w:rPr>
          <w:rFonts w:eastAsiaTheme="minorEastAsia" w:cstheme="majorHAnsi"/>
          <w:i/>
          <w:sz w:val="20"/>
          <w:lang w:eastAsia="es-ES"/>
        </w:rPr>
      </w:pPr>
      <w:r w:rsidRPr="00AB79A9">
        <w:rPr>
          <w:rFonts w:eastAsiaTheme="minorEastAsia" w:cstheme="majorHAnsi"/>
          <w:i/>
          <w:sz w:val="20"/>
          <w:lang w:eastAsia="es-ES"/>
        </w:rPr>
        <w:lastRenderedPageBreak/>
        <w:t>Se informa que podrá consultar información pública en el Portal de Transparencia, acce</w:t>
      </w:r>
      <w:r>
        <w:rPr>
          <w:rFonts w:eastAsiaTheme="minorEastAsia" w:cstheme="majorHAnsi"/>
          <w:i/>
          <w:sz w:val="20"/>
          <w:lang w:eastAsia="es-ES"/>
        </w:rPr>
        <w:t>diendo</w:t>
      </w:r>
      <w:r w:rsidRPr="00AB79A9">
        <w:rPr>
          <w:rFonts w:eastAsiaTheme="minorEastAsia" w:cstheme="majorHAnsi"/>
          <w:i/>
          <w:sz w:val="20"/>
          <w:lang w:eastAsia="es-ES"/>
        </w:rPr>
        <w:t xml:space="preserve"> a la página Web </w:t>
      </w:r>
      <w:r w:rsidRPr="00AB79A9">
        <w:rPr>
          <w:rFonts w:eastAsiaTheme="minorEastAsia" w:cstheme="majorHAnsi"/>
          <w:i/>
          <w:color w:val="0563C1"/>
          <w:sz w:val="20"/>
          <w:u w:val="single"/>
          <w:lang w:eastAsia="es-ES"/>
        </w:rPr>
        <w:t>http://www.transparencia.gob.sv,</w:t>
      </w:r>
      <w:r w:rsidRPr="00AB79A9">
        <w:rPr>
          <w:rFonts w:eastAsiaTheme="minorEastAsia" w:cstheme="majorHAnsi"/>
          <w:i/>
          <w:sz w:val="20"/>
          <w:lang w:eastAsia="es-ES"/>
        </w:rPr>
        <w:t xml:space="preserve"> mediante “Comisión Ejecutiva Portuaria Autónoma”.</w:t>
      </w:r>
    </w:p>
    <w:p w:rsidR="00200940" w:rsidRPr="00AB79A9" w:rsidRDefault="00200940" w:rsidP="00200940">
      <w:pPr>
        <w:spacing w:after="0" w:line="300" w:lineRule="auto"/>
        <w:jc w:val="both"/>
        <w:rPr>
          <w:rFonts w:eastAsiaTheme="minorEastAsia" w:cstheme="majorHAnsi"/>
          <w:lang w:eastAsia="es-ES"/>
        </w:rPr>
      </w:pPr>
    </w:p>
    <w:p w:rsidR="00200940" w:rsidRPr="00AB79A9" w:rsidRDefault="00200940" w:rsidP="00200940">
      <w:pPr>
        <w:spacing w:after="0" w:line="300" w:lineRule="auto"/>
        <w:jc w:val="center"/>
        <w:rPr>
          <w:rFonts w:eastAsiaTheme="minorEastAsia" w:cstheme="majorHAnsi"/>
          <w:lang w:eastAsia="es-ES"/>
        </w:rPr>
      </w:pPr>
    </w:p>
    <w:p w:rsidR="00200940" w:rsidRPr="00AB79A9" w:rsidRDefault="00200940" w:rsidP="00200940">
      <w:pPr>
        <w:spacing w:after="0" w:line="300" w:lineRule="auto"/>
        <w:jc w:val="center"/>
        <w:rPr>
          <w:rFonts w:eastAsiaTheme="minorEastAsia" w:cstheme="majorHAnsi"/>
          <w:lang w:eastAsia="es-ES"/>
        </w:rPr>
      </w:pPr>
    </w:p>
    <w:p w:rsidR="00200940" w:rsidRPr="00AB79A9" w:rsidRDefault="00200940" w:rsidP="00200940">
      <w:pPr>
        <w:spacing w:after="0" w:line="300" w:lineRule="auto"/>
        <w:rPr>
          <w:rFonts w:eastAsiaTheme="minorEastAsia" w:cstheme="majorHAnsi"/>
          <w:lang w:eastAsia="es-ES"/>
        </w:rPr>
      </w:pPr>
    </w:p>
    <w:p w:rsidR="00200940" w:rsidRPr="00AB79A9" w:rsidRDefault="00200940" w:rsidP="00200940">
      <w:pPr>
        <w:spacing w:after="0" w:line="300" w:lineRule="auto"/>
        <w:jc w:val="center"/>
        <w:rPr>
          <w:rFonts w:eastAsiaTheme="minorEastAsia" w:cstheme="majorHAnsi"/>
          <w:lang w:eastAsia="es-ES"/>
        </w:rPr>
      </w:pPr>
    </w:p>
    <w:p w:rsidR="00200940" w:rsidRPr="00AB79A9" w:rsidRDefault="00200940" w:rsidP="00200940">
      <w:pPr>
        <w:spacing w:after="0" w:line="240" w:lineRule="auto"/>
        <w:jc w:val="center"/>
        <w:rPr>
          <w:rFonts w:eastAsiaTheme="minorEastAsia" w:cstheme="majorHAnsi"/>
          <w:lang w:eastAsia="es-ES"/>
        </w:rPr>
      </w:pPr>
      <w:r w:rsidRPr="00AB79A9">
        <w:rPr>
          <w:rFonts w:eastAsiaTheme="minorEastAsia" w:cstheme="majorHAnsi"/>
          <w:lang w:eastAsia="es-ES"/>
        </w:rPr>
        <w:t>Ricardo Alfonso Alas Hernández</w:t>
      </w:r>
    </w:p>
    <w:p w:rsidR="00200940" w:rsidRDefault="00200940" w:rsidP="00200940">
      <w:pPr>
        <w:spacing w:after="0" w:line="240" w:lineRule="auto"/>
        <w:jc w:val="center"/>
      </w:pPr>
      <w:r w:rsidRPr="00AB79A9">
        <w:rPr>
          <w:rFonts w:eastAsiaTheme="minorEastAsia" w:cstheme="majorHAnsi"/>
          <w:lang w:eastAsia="es-ES"/>
        </w:rPr>
        <w:t>Oficial de Información.</w:t>
      </w:r>
      <w:r w:rsidRPr="00AB79A9">
        <w:rPr>
          <w:rFonts w:eastAsiaTheme="minorEastAsia"/>
          <w:sz w:val="24"/>
          <w:szCs w:val="24"/>
          <w:lang w:eastAsia="es-ES"/>
        </w:rPr>
        <w:t xml:space="preserve"> </w:t>
      </w:r>
    </w:p>
    <w:p w:rsidR="00644D1C" w:rsidRDefault="00B15C5F"/>
    <w:sectPr w:rsidR="00644D1C" w:rsidSect="00607C1F">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5F" w:rsidRDefault="00B15C5F">
      <w:pPr>
        <w:spacing w:after="0" w:line="240" w:lineRule="auto"/>
      </w:pPr>
      <w:r>
        <w:separator/>
      </w:r>
    </w:p>
  </w:endnote>
  <w:endnote w:type="continuationSeparator" w:id="0">
    <w:p w:rsidR="00B15C5F" w:rsidRDefault="00B1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FB" w:rsidRPr="00743DE2" w:rsidRDefault="00245364" w:rsidP="00743DE2">
    <w:pPr>
      <w:pStyle w:val="Piedepgina"/>
      <w:jc w:val="center"/>
      <w:rPr>
        <w:b/>
      </w:rPr>
    </w:pPr>
    <w:r w:rsidRPr="00743DE2">
      <w:rPr>
        <w:b/>
        <w:noProof/>
        <w:lang w:eastAsia="es-SV"/>
      </w:rPr>
      <w:drawing>
        <wp:anchor distT="0" distB="0" distL="114300" distR="114300" simplePos="0" relativeHeight="251662336" behindDoc="1" locked="0" layoutInCell="1" allowOverlap="1" wp14:anchorId="76893D39" wp14:editId="09FEBB08">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14:sizeRelH relativeFrom="page">
            <wp14:pctWidth>0</wp14:pctWidth>
          </wp14:sizeRelH>
          <wp14:sizeRelV relativeFrom="page">
            <wp14:pctHeight>0</wp14:pctHeight>
          </wp14:sizeRelV>
        </wp:anchor>
      </w:drawing>
    </w:r>
    <w:r w:rsidRPr="00743DE2">
      <w:rPr>
        <w:b/>
        <w:noProof/>
        <w:lang w:eastAsia="es-SV"/>
      </w:rPr>
      <w:drawing>
        <wp:anchor distT="0" distB="0" distL="114300" distR="114300" simplePos="0" relativeHeight="251661312" behindDoc="1" locked="0" layoutInCell="1" allowOverlap="1" wp14:anchorId="0C59D72F" wp14:editId="6DA0DF2B">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14:sizeRelH relativeFrom="page">
            <wp14:pctWidth>0</wp14:pctWidth>
          </wp14:sizeRelH>
          <wp14:sizeRelV relativeFrom="page">
            <wp14:pctHeight>0</wp14:pctHeight>
          </wp14:sizeRelV>
        </wp:anchor>
      </w:drawing>
    </w:r>
    <w:r w:rsidRPr="00743DE2">
      <w:rPr>
        <w:b/>
        <w:noProof/>
        <w:lang w:eastAsia="es-SV"/>
      </w:rPr>
      <w:drawing>
        <wp:anchor distT="0" distB="0" distL="114300" distR="114300" simplePos="0" relativeHeight="251660288" behindDoc="1" locked="0" layoutInCell="1" allowOverlap="1" wp14:anchorId="4F9E5E32" wp14:editId="09907B76">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es-SV"/>
      </w:rPr>
      <w:drawing>
        <wp:inline distT="0" distB="0" distL="0" distR="0" wp14:anchorId="06DD0270" wp14:editId="67B32860">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5F" w:rsidRDefault="00B15C5F">
      <w:pPr>
        <w:spacing w:after="0" w:line="240" w:lineRule="auto"/>
      </w:pPr>
      <w:r>
        <w:separator/>
      </w:r>
    </w:p>
  </w:footnote>
  <w:footnote w:type="continuationSeparator" w:id="0">
    <w:p w:rsidR="00B15C5F" w:rsidRDefault="00B15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FB" w:rsidRPr="003B605E" w:rsidRDefault="00245364">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72029622" wp14:editId="6846932E">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05E">
      <w:rPr>
        <w:rFonts w:cstheme="majorHAnsi"/>
        <w:b/>
        <w:i/>
      </w:rPr>
      <w:t>Comisión Ejecutiva Portuaria Autónoma</w:t>
    </w:r>
  </w:p>
  <w:p w:rsidR="007C716E" w:rsidRPr="003B605E" w:rsidRDefault="00245364">
    <w:pPr>
      <w:pStyle w:val="Encabezado"/>
      <w:rPr>
        <w:rFonts w:cstheme="majorHAnsi"/>
        <w:i/>
      </w:rPr>
    </w:pPr>
    <w:r w:rsidRPr="003B605E">
      <w:rPr>
        <w:rFonts w:cstheme="majorHAnsi"/>
        <w:i/>
      </w:rPr>
      <w:t>Unidad de Acceso a la Información Pública</w:t>
    </w:r>
  </w:p>
  <w:p w:rsidR="007C716E" w:rsidRPr="00AB215D" w:rsidRDefault="00B15C5F" w:rsidP="007C716E">
    <w:pPr>
      <w:pStyle w:val="Encabezado"/>
      <w:tabs>
        <w:tab w:val="left" w:pos="2661"/>
      </w:tabs>
      <w:rPr>
        <w:rFonts w:cstheme="majorHAnsi"/>
        <w:i/>
      </w:rPr>
    </w:pPr>
    <w:hyperlink r:id="rId2" w:history="1">
      <w:r w:rsidR="00245364" w:rsidRPr="003B605E">
        <w:rPr>
          <w:rStyle w:val="Hipervnculo"/>
          <w:rFonts w:cstheme="majorHAnsi"/>
          <w:i/>
        </w:rPr>
        <w:t>www.cepa.gob.sv</w:t>
      </w:r>
    </w:hyperlink>
  </w:p>
  <w:p w:rsidR="007C716E" w:rsidRPr="00AB215D" w:rsidRDefault="00B15C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358"/>
    <w:multiLevelType w:val="hybridMultilevel"/>
    <w:tmpl w:val="E9840A5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40"/>
    <w:rsid w:val="00200940"/>
    <w:rsid w:val="00245364"/>
    <w:rsid w:val="00557017"/>
    <w:rsid w:val="006114F5"/>
    <w:rsid w:val="00B15C5F"/>
    <w:rsid w:val="00F43F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00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00940"/>
  </w:style>
  <w:style w:type="paragraph" w:styleId="Piedepgina">
    <w:name w:val="footer"/>
    <w:basedOn w:val="Normal"/>
    <w:link w:val="PiedepginaCar"/>
    <w:uiPriority w:val="99"/>
    <w:semiHidden/>
    <w:unhideWhenUsed/>
    <w:rsid w:val="002009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00940"/>
  </w:style>
  <w:style w:type="character" w:styleId="Hipervnculo">
    <w:name w:val="Hyperlink"/>
    <w:basedOn w:val="Fuentedeprrafopredeter"/>
    <w:uiPriority w:val="99"/>
    <w:unhideWhenUsed/>
    <w:rsid w:val="00200940"/>
    <w:rPr>
      <w:color w:val="0563C1"/>
      <w:u w:val="single"/>
    </w:rPr>
  </w:style>
  <w:style w:type="paragraph" w:styleId="Textodeglobo">
    <w:name w:val="Balloon Text"/>
    <w:basedOn w:val="Normal"/>
    <w:link w:val="TextodegloboCar"/>
    <w:uiPriority w:val="99"/>
    <w:semiHidden/>
    <w:unhideWhenUsed/>
    <w:rsid w:val="00F43F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00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00940"/>
  </w:style>
  <w:style w:type="paragraph" w:styleId="Piedepgina">
    <w:name w:val="footer"/>
    <w:basedOn w:val="Normal"/>
    <w:link w:val="PiedepginaCar"/>
    <w:uiPriority w:val="99"/>
    <w:semiHidden/>
    <w:unhideWhenUsed/>
    <w:rsid w:val="002009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00940"/>
  </w:style>
  <w:style w:type="character" w:styleId="Hipervnculo">
    <w:name w:val="Hyperlink"/>
    <w:basedOn w:val="Fuentedeprrafopredeter"/>
    <w:uiPriority w:val="99"/>
    <w:unhideWhenUsed/>
    <w:rsid w:val="00200940"/>
    <w:rPr>
      <w:color w:val="0563C1"/>
      <w:u w:val="single"/>
    </w:rPr>
  </w:style>
  <w:style w:type="paragraph" w:styleId="Textodeglobo">
    <w:name w:val="Balloon Text"/>
    <w:basedOn w:val="Normal"/>
    <w:link w:val="TextodegloboCar"/>
    <w:uiPriority w:val="99"/>
    <w:semiHidden/>
    <w:unhideWhenUsed/>
    <w:rsid w:val="00F43F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Gabriela Iraheta</cp:lastModifiedBy>
  <cp:revision>2</cp:revision>
  <dcterms:created xsi:type="dcterms:W3CDTF">2019-11-22T21:22:00Z</dcterms:created>
  <dcterms:modified xsi:type="dcterms:W3CDTF">2020-02-18T17:54:00Z</dcterms:modified>
</cp:coreProperties>
</file>