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60" w:rsidRPr="00AB79A9" w:rsidRDefault="009E2B60" w:rsidP="009E2B60">
      <w:pPr>
        <w:spacing w:after="0" w:line="300" w:lineRule="auto"/>
        <w:jc w:val="right"/>
        <w:rPr>
          <w:rFonts w:eastAsiaTheme="minorEastAsia" w:cstheme="majorHAnsi"/>
          <w:b/>
          <w:lang w:eastAsia="es-ES"/>
        </w:rPr>
      </w:pPr>
      <w:r w:rsidRPr="00AB79A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</w:t>
      </w:r>
      <w:r w:rsidR="00D80FD4">
        <w:rPr>
          <w:rFonts w:eastAsiaTheme="minorEastAsia" w:cstheme="majorHAnsi"/>
          <w:b/>
          <w:lang w:eastAsia="es-ES"/>
        </w:rPr>
        <w:t>4</w:t>
      </w:r>
      <w:r>
        <w:rPr>
          <w:rFonts w:eastAsiaTheme="minorEastAsia" w:cstheme="majorHAnsi"/>
          <w:b/>
          <w:lang w:eastAsia="es-ES"/>
        </w:rPr>
        <w:t>5</w:t>
      </w:r>
      <w:r w:rsidRPr="00AB79A9">
        <w:rPr>
          <w:rFonts w:eastAsiaTheme="minorEastAsia" w:cstheme="majorHAnsi"/>
          <w:b/>
          <w:lang w:eastAsia="es-ES"/>
        </w:rPr>
        <w:t>/2019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b/>
          <w:lang w:eastAsia="es-ES"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lang w:eastAsia="es-ES"/>
        </w:rPr>
      </w:pPr>
      <w:r w:rsidRPr="00AB79A9">
        <w:rPr>
          <w:rFonts w:eastAsia="Calibri" w:cstheme="majorHAnsi"/>
          <w:b/>
        </w:rPr>
        <w:t xml:space="preserve">UNIDAD DE ACCESO A LA INFORMACIÓN PUBLICA </w:t>
      </w:r>
      <w:r w:rsidRPr="00AB79A9">
        <w:rPr>
          <w:rFonts w:eastAsia="Calibri" w:cstheme="majorHAnsi"/>
        </w:rPr>
        <w:t>de la</w:t>
      </w:r>
      <w:r w:rsidRPr="00AB79A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quince horas con </w:t>
      </w:r>
      <w:r w:rsidR="00D80FD4">
        <w:rPr>
          <w:rFonts w:eastAsia="Calibri" w:cstheme="majorHAnsi"/>
        </w:rPr>
        <w:t>diez</w:t>
      </w:r>
      <w:r>
        <w:rPr>
          <w:rFonts w:eastAsia="Calibri" w:cstheme="majorHAnsi"/>
        </w:rPr>
        <w:t xml:space="preserve"> </w:t>
      </w:r>
      <w:r w:rsidRPr="00AB79A9">
        <w:rPr>
          <w:rFonts w:eastAsia="Calibri" w:cstheme="majorHAnsi"/>
        </w:rPr>
        <w:t xml:space="preserve">minutos del día </w:t>
      </w:r>
      <w:r>
        <w:rPr>
          <w:rFonts w:eastAsia="Calibri" w:cstheme="majorHAnsi"/>
        </w:rPr>
        <w:t>diecinueve de septiembre</w:t>
      </w:r>
      <w:r w:rsidRPr="00AB79A9">
        <w:rPr>
          <w:rFonts w:eastAsia="Calibri" w:cstheme="majorHAnsi"/>
        </w:rPr>
        <w:t xml:space="preserve"> del año dos mil diecinueve, con vista a la solicitud de acceso a la información, asignada bajo la referencia </w:t>
      </w:r>
      <w:r>
        <w:rPr>
          <w:rFonts w:eastAsia="Calibri" w:cstheme="majorHAnsi"/>
          <w:b/>
        </w:rPr>
        <w:t>Sol_UAIP_0</w:t>
      </w:r>
      <w:r w:rsidR="00D80FD4">
        <w:rPr>
          <w:rFonts w:eastAsia="Calibri" w:cstheme="majorHAnsi"/>
          <w:b/>
        </w:rPr>
        <w:t>78</w:t>
      </w:r>
      <w:r w:rsidRPr="00AB79A9">
        <w:rPr>
          <w:rFonts w:eastAsia="Calibri" w:cstheme="majorHAnsi"/>
          <w:b/>
        </w:rPr>
        <w:t>/2019</w:t>
      </w:r>
      <w:r>
        <w:rPr>
          <w:rFonts w:eastAsia="Calibri" w:cstheme="majorHAnsi"/>
        </w:rPr>
        <w:t xml:space="preserve">, </w:t>
      </w:r>
      <w:r w:rsidRPr="00AB79A9">
        <w:rPr>
          <w:rFonts w:eastAsiaTheme="minorEastAsia" w:cstheme="majorHAnsi"/>
          <w:lang w:eastAsia="es-ES"/>
        </w:rPr>
        <w:t>requiriendo lo siguiente: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D80FD4" w:rsidRPr="00442D67" w:rsidRDefault="00D80FD4" w:rsidP="00D80FD4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bookmarkStart w:id="0" w:name="_Hlk23780872"/>
      <w:r>
        <w:rPr>
          <w:rFonts w:ascii="Calibri" w:eastAsia="Calibri" w:hAnsi="Calibri" w:cstheme="majorHAnsi"/>
          <w:i/>
        </w:rPr>
        <w:t>“Cronograma actual de la ampliación de la terminal de pasajeros en el Aeropuerto Internacional San Romero, en el cual se especifique la nueva fecha del proyecto a cargo</w:t>
      </w:r>
      <w:r w:rsidRPr="0032386D">
        <w:rPr>
          <w:rFonts w:ascii="Calibri" w:eastAsia="Calibri" w:hAnsi="Calibri" w:cstheme="majorHAnsi"/>
          <w:i/>
        </w:rPr>
        <w:t>”.</w:t>
      </w:r>
    </w:p>
    <w:p w:rsidR="00D80FD4" w:rsidRPr="0052435D" w:rsidRDefault="00D80FD4" w:rsidP="00D80FD4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“Costo actual de la ampliación de la terminal de pasajeros en el Aeropuerto Internacional San Romero. De existir una variación respecto al valor de $37,881,157.00 estipulados en el contrato inicial del proyecto, entregar el desglose de los motivos validados por la empresa CAABSA y CEPA que justifiquen la modificación”.</w:t>
      </w:r>
    </w:p>
    <w:p w:rsidR="00D80FD4" w:rsidRPr="00D47BAA" w:rsidRDefault="00D80FD4" w:rsidP="00D80FD4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“Plan de pago a la empresa CAABSA por la ampliación de la terminal de pasajeros, especificando cuanto ya se le efectuó del pago, cuanto se le adeuda, si existen retrasos y sanciones por incumplimiento a contratos”.</w:t>
      </w:r>
    </w:p>
    <w:p w:rsidR="00D80FD4" w:rsidRPr="00D47BAA" w:rsidRDefault="00D80FD4" w:rsidP="00D80FD4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Los informes realizados por UNOPS como la entidad a cargo de supervisar el proyecto de ampliación de la terminal de carga del Aeropuerto o cualquier otro informe sobre los retrasos y el avance de la construcción.</w:t>
      </w:r>
    </w:p>
    <w:p w:rsidR="00D80FD4" w:rsidRPr="0032386D" w:rsidRDefault="00D80FD4" w:rsidP="00D80FD4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ascii="Calibri" w:eastAsia="Calibri" w:hAnsi="Calibri" w:cstheme="majorHAnsi"/>
          <w:i/>
        </w:rPr>
        <w:t>Avance actual de la ampliación de la terminal de pasajeros en el Aeropuerto Internacional San Romero”.</w:t>
      </w:r>
      <w:r w:rsidRPr="0032386D">
        <w:rPr>
          <w:rFonts w:ascii="Calibri" w:eastAsia="Calibri" w:hAnsi="Calibri" w:cstheme="majorHAnsi"/>
          <w:i/>
        </w:rPr>
        <w:t xml:space="preserve">  </w:t>
      </w:r>
    </w:p>
    <w:bookmarkEnd w:id="0"/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>Para pronunciarse sobre la procedencia de la solicitud de información, se analizará de la siguiente manera: (I) Breve referencia al Derecho de Acceso a la Información Pública; y (II) sobre la inexistencia de información.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ab/>
      </w:r>
      <w:r w:rsidRPr="00AB79A9">
        <w:rPr>
          <w:rFonts w:eastAsiaTheme="minorEastAsia" w:cstheme="majorHAnsi"/>
          <w:b/>
          <w:i/>
          <w:lang w:eastAsia="es-ES"/>
        </w:rPr>
        <w:t>I.</w:t>
      </w:r>
      <w:r w:rsidRPr="00AB79A9">
        <w:rPr>
          <w:rFonts w:eastAsiaTheme="minorEastAsia" w:cstheme="majorHAnsi"/>
          <w:i/>
          <w:lang w:eastAsia="es-ES"/>
        </w:rPr>
        <w:t xml:space="preserve"> El Derecho de Acceso a la Información Pública (DAIP) es un derecho constitucional “implícito”; es decir, no regulado expresamente por la Constitución (Cn), pero que tiene una condición indiscutible de derecho fundamental surgida del derecho a la libertad de expresión regulado en el artículo 6 de la Cn.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ab/>
        <w:t xml:space="preserve">El DAIP comprende la facultad de buscar, recibir y difundir datos, ideas o información de toda índole, pública o privada, que tengan “interés público”. Este “derecho a saber” se enmarca en el ámbito de las libertades individuales, aunque también tiene un carácter colectivo que adquiere relevancia para el fortalecimiento del Estado democrático de derecho, porque su ejercicio garantiza </w:t>
      </w:r>
      <w:r w:rsidRPr="00AB79A9">
        <w:rPr>
          <w:rFonts w:eastAsiaTheme="minorEastAsia" w:cstheme="majorHAnsi"/>
          <w:i/>
          <w:lang w:eastAsia="es-ES"/>
        </w:rPr>
        <w:lastRenderedPageBreak/>
        <w:t>la transparencia y permite a las personas acceder libremente a la información en poder de las instituciones del Estado, como mecanismo de control social a la gestión pública.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ab/>
        <w:t xml:space="preserve">La Ley de Acceso a la Información Pública, en adelante -LAIP-, brinda una definición de lo que se debe entender por “Información Pública”, estableciendo, que es aquella en poder de los entes obligados </w:t>
      </w:r>
      <w:r w:rsidRPr="00AB79A9">
        <w:rPr>
          <w:rFonts w:eastAsiaTheme="minorEastAsia" w:cstheme="majorHAnsi"/>
          <w:b/>
          <w:i/>
          <w:u w:val="single"/>
          <w:lang w:eastAsia="es-ES"/>
        </w:rPr>
        <w:t>contenida en documentos, archivos, datos, bases de datos, comunicaciones y todo tipo de registros que documenten el ejercicio de sus facultades o actividades, que consten en cualquier medio, ya sea impreso, óptico o electrónico</w:t>
      </w:r>
      <w:r w:rsidRPr="00AB79A9">
        <w:rPr>
          <w:rFonts w:eastAsiaTheme="minorEastAsia" w:cstheme="majorHAnsi"/>
          <w:i/>
          <w:lang w:eastAsia="es-ES"/>
        </w:rPr>
        <w:t>, independientemente de su fuente, fecha de elaboración, y que no sea confidencial. Dicha información podrá haber sido generada, obtenida, transformada o conservada por éstos a cualquier título.</w:t>
      </w:r>
    </w:p>
    <w:p w:rsidR="00886C7C" w:rsidRDefault="00886C7C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886C7C" w:rsidRDefault="00694231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>
        <w:rPr>
          <w:rFonts w:eastAsiaTheme="minorEastAsia" w:cstheme="majorHAnsi"/>
          <w:i/>
          <w:lang w:eastAsia="es-ES"/>
        </w:rPr>
        <w:t xml:space="preserve">Respecto al goce de este derecho es que se tiene a bien </w:t>
      </w:r>
      <w:r w:rsidR="00E43896">
        <w:rPr>
          <w:rFonts w:eastAsiaTheme="minorEastAsia" w:cstheme="majorHAnsi"/>
          <w:i/>
          <w:lang w:eastAsia="es-ES"/>
        </w:rPr>
        <w:t>compartir</w:t>
      </w:r>
      <w:r>
        <w:rPr>
          <w:rFonts w:eastAsiaTheme="minorEastAsia" w:cstheme="majorHAnsi"/>
          <w:i/>
          <w:lang w:eastAsia="es-ES"/>
        </w:rPr>
        <w:t xml:space="preserve"> la siguiente información:</w:t>
      </w:r>
    </w:p>
    <w:p w:rsidR="00694231" w:rsidRDefault="00694231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694231" w:rsidRDefault="00694231" w:rsidP="009C5C44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Programa de trabajo aprobado en la Modificativa 3, vigente</w:t>
      </w:r>
      <w:r>
        <w:rPr>
          <w:color w:val="000000"/>
        </w:rPr>
        <w:t xml:space="preserve"> en formato PDF, en el cual se </w:t>
      </w:r>
      <w:r w:rsidR="00247695">
        <w:rPr>
          <w:color w:val="000000"/>
        </w:rPr>
        <w:t>encuentra la planificación del proyecto conforme a la ampliación del plazo contractual en el programa Project Manager en el que se determina la nueva fecha de entrega del proyecto</w:t>
      </w:r>
      <w:r w:rsidR="00E43896">
        <w:rPr>
          <w:color w:val="000000"/>
        </w:rPr>
        <w:t>.</w:t>
      </w:r>
    </w:p>
    <w:p w:rsidR="00E43896" w:rsidRDefault="00E43896" w:rsidP="00E43896">
      <w:pPr>
        <w:pStyle w:val="Prrafodelista"/>
        <w:spacing w:after="0" w:line="240" w:lineRule="auto"/>
        <w:ind w:left="770"/>
        <w:contextualSpacing w:val="0"/>
        <w:jc w:val="both"/>
        <w:rPr>
          <w:color w:val="000000"/>
        </w:rPr>
      </w:pPr>
    </w:p>
    <w:p w:rsidR="00694231" w:rsidRDefault="00694231" w:rsidP="009C5C44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Programa de Flujo Financiero aprobado en la Modificativa 3, vigente</w:t>
      </w:r>
      <w:r w:rsidR="00247695">
        <w:rPr>
          <w:color w:val="000000"/>
        </w:rPr>
        <w:t xml:space="preserve">, en el cual se determina el </w:t>
      </w:r>
      <w:r w:rsidR="00806957">
        <w:rPr>
          <w:color w:val="000000"/>
        </w:rPr>
        <w:t>flujo financiero del proyecto de la obra conforme al monto contractual y plazo actualizados.</w:t>
      </w:r>
    </w:p>
    <w:p w:rsidR="00E43896" w:rsidRPr="00E43896" w:rsidRDefault="00E43896" w:rsidP="00E43896">
      <w:pPr>
        <w:spacing w:after="0" w:line="240" w:lineRule="auto"/>
        <w:jc w:val="both"/>
        <w:rPr>
          <w:color w:val="000000"/>
        </w:rPr>
      </w:pPr>
    </w:p>
    <w:p w:rsidR="00694231" w:rsidRDefault="00694231" w:rsidP="009C5C44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Tres (3) modificativas de contrato, con las cuales se modifica el monto del Proyecto, Modificativas 2, 3 y 4.</w:t>
      </w:r>
      <w:r w:rsidR="00E43896">
        <w:rPr>
          <w:color w:val="000000"/>
        </w:rPr>
        <w:t xml:space="preserve"> (Las motivaciones a los mismos se encuentran contemplados en las Actas de Junta Directiva donde fueron aprobad</w:t>
      </w:r>
      <w:r w:rsidR="00AC6671">
        <w:rPr>
          <w:color w:val="000000"/>
        </w:rPr>
        <w:t>as las modificaciones: Punto cuarto de acta 2963 de fecha 16 de octubre de dos mil dieciocho; punto séptimo de acta 2991 del día 26 de febrero de dos mil diecinueve; punto decimoprimero del acta número 3004 del 14 de mayo de dos mil diecinueve y punto noveno del acta 3016 de fecha 29 de agosto de dos mil diecinueve, todas publicadas en el  portal de transparencia de CEPA en el apartado “Actas de Concejo”)</w:t>
      </w:r>
    </w:p>
    <w:p w:rsidR="00E43896" w:rsidRPr="00E43896" w:rsidRDefault="00E43896" w:rsidP="00E43896">
      <w:pPr>
        <w:spacing w:after="0" w:line="240" w:lineRule="auto"/>
        <w:jc w:val="both"/>
        <w:rPr>
          <w:color w:val="000000"/>
        </w:rPr>
      </w:pPr>
    </w:p>
    <w:p w:rsidR="00694231" w:rsidRDefault="00694231" w:rsidP="009C5C44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Una tabla de Excel, de control interno donde se detallan las cantidades pagadas por cada estimación a la fecha y el Anticipo.</w:t>
      </w:r>
    </w:p>
    <w:p w:rsidR="00E43896" w:rsidRPr="00E43896" w:rsidRDefault="00E43896" w:rsidP="00E43896">
      <w:pPr>
        <w:spacing w:after="0" w:line="240" w:lineRule="auto"/>
        <w:jc w:val="both"/>
        <w:rPr>
          <w:color w:val="000000"/>
        </w:rPr>
      </w:pPr>
    </w:p>
    <w:p w:rsidR="00694231" w:rsidRDefault="00694231" w:rsidP="009C5C44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Resolución de la Gerencia Legal, donde se detallan las penalidades impuestas al Contratista y que están en proceso de pago.</w:t>
      </w:r>
    </w:p>
    <w:p w:rsidR="00E43896" w:rsidRPr="00E43896" w:rsidRDefault="00E43896" w:rsidP="00E43896">
      <w:pPr>
        <w:spacing w:after="0" w:line="240" w:lineRule="auto"/>
        <w:jc w:val="both"/>
        <w:rPr>
          <w:color w:val="000000"/>
        </w:rPr>
      </w:pPr>
    </w:p>
    <w:p w:rsidR="00694231" w:rsidRPr="009C5C44" w:rsidRDefault="00806957" w:rsidP="009C5C44">
      <w:pPr>
        <w:pStyle w:val="Prrafodelista"/>
        <w:numPr>
          <w:ilvl w:val="0"/>
          <w:numId w:val="4"/>
        </w:numPr>
        <w:spacing w:after="0" w:line="300" w:lineRule="auto"/>
        <w:contextualSpacing w:val="0"/>
        <w:jc w:val="both"/>
        <w:rPr>
          <w:rFonts w:eastAsiaTheme="minorEastAsia" w:cstheme="majorHAnsi"/>
          <w:i/>
          <w:lang w:eastAsia="es-ES"/>
        </w:rPr>
      </w:pPr>
      <w:bookmarkStart w:id="1" w:name="_Hlk23779084"/>
      <w:r w:rsidRPr="009C5C44">
        <w:rPr>
          <w:color w:val="000000"/>
        </w:rPr>
        <w:t xml:space="preserve">Memorando </w:t>
      </w:r>
      <w:r w:rsidR="009C5C44" w:rsidRPr="009C5C44">
        <w:rPr>
          <w:color w:val="000000"/>
        </w:rPr>
        <w:t xml:space="preserve">de fecha </w:t>
      </w:r>
      <w:bookmarkStart w:id="2" w:name="_Hlk23779302"/>
      <w:r w:rsidR="009C5C44" w:rsidRPr="009C5C44">
        <w:rPr>
          <w:color w:val="000000"/>
        </w:rPr>
        <w:t xml:space="preserve">29 de octubre de dos mil diecinueve, girado a esta Unidad de Acceso a la Información Pública de CEPA por parte del jefe del departamento de mantenimiento del Aeropuerto Internacional de El Salvador San Oscar Arnulfo Romero y Galdámez, </w:t>
      </w:r>
      <w:bookmarkEnd w:id="1"/>
      <w:r w:rsidR="009C5C44">
        <w:rPr>
          <w:color w:val="000000"/>
        </w:rPr>
        <w:t xml:space="preserve">en el </w:t>
      </w:r>
      <w:r w:rsidR="009C5C44">
        <w:rPr>
          <w:color w:val="000000"/>
        </w:rPr>
        <w:lastRenderedPageBreak/>
        <w:t>que hace constar el avance real que se tiene en las obras del proyecto de ampliación de la terminal de pasajeros en el aeropuerto.</w:t>
      </w:r>
    </w:p>
    <w:bookmarkEnd w:id="2"/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ab/>
      </w:r>
      <w:r w:rsidRPr="00AB79A9">
        <w:rPr>
          <w:rFonts w:eastAsiaTheme="minorEastAsia" w:cstheme="majorHAnsi"/>
          <w:b/>
          <w:i/>
          <w:lang w:eastAsia="es-ES"/>
        </w:rPr>
        <w:t>II.</w:t>
      </w:r>
      <w:r w:rsidRPr="00AB79A9">
        <w:rPr>
          <w:rFonts w:eastAsiaTheme="minorEastAsia" w:cstheme="majorHAnsi"/>
          <w:i/>
          <w:lang w:eastAsia="es-ES"/>
        </w:rPr>
        <w:t xml:space="preserve"> En cuanto a la inexistencia de información, el Instituto de Acceso a la Información Pública –IAIP-, ha sostenido en sus resoluciones que la figura procede, cuando se configuran alguna de las siguientes causales: </w:t>
      </w:r>
      <w:r w:rsidRPr="00AB79A9">
        <w:rPr>
          <w:rFonts w:eastAsiaTheme="minorEastAsia" w:cstheme="majorHAnsi"/>
          <w:b/>
          <w:i/>
          <w:lang w:eastAsia="es-ES"/>
        </w:rPr>
        <w:t>a) que nunca se haya generado el documento respectivo</w:t>
      </w:r>
      <w:r w:rsidRPr="00AB79A9">
        <w:rPr>
          <w:rFonts w:eastAsiaTheme="minorEastAsia" w:cstheme="majorHAnsi"/>
          <w:i/>
          <w:lang w:eastAsia="es-ES"/>
        </w:rPr>
        <w:t>, b) que el documento se encuentre en los archivos del ente obligado, pero se haya destruido por su antigüedad, fuerza mayor o caso fortuito; y c) que la información haya estado en los archivos de la dependencia o entidad.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9E2B60" w:rsidRDefault="009E2B60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  <w:r w:rsidRPr="00AB79A9">
        <w:rPr>
          <w:rFonts w:eastAsiaTheme="minorEastAsia" w:cstheme="majorHAnsi"/>
          <w:i/>
          <w:lang w:eastAsia="es-ES"/>
        </w:rPr>
        <w:tab/>
        <w:t xml:space="preserve">Vista la solicitud de información en cuanto a </w:t>
      </w:r>
      <w:r>
        <w:rPr>
          <w:rFonts w:eastAsiaTheme="minorEastAsia" w:cstheme="majorHAnsi"/>
          <w:b/>
          <w:i/>
          <w:lang w:eastAsia="es-ES"/>
        </w:rPr>
        <w:t>“</w:t>
      </w:r>
      <w:r w:rsidR="00D80FD4">
        <w:rPr>
          <w:rFonts w:eastAsiaTheme="minorEastAsia" w:cstheme="majorHAnsi"/>
          <w:b/>
          <w:i/>
          <w:lang w:eastAsia="es-ES"/>
        </w:rPr>
        <w:t>Los informes realizados por UNOPS como la entidad a cargo de supervisar el proyecto de ampliación de la terminal de carga del aeropuerto o de cualquier otro informe sobre los retrasos y el avance de la construcción</w:t>
      </w:r>
      <w:r w:rsidRPr="00AB79A9">
        <w:rPr>
          <w:rFonts w:eastAsiaTheme="minorEastAsia" w:cstheme="majorHAnsi"/>
          <w:b/>
          <w:i/>
          <w:lang w:eastAsia="es-ES"/>
        </w:rPr>
        <w:t>”</w:t>
      </w:r>
      <w:r w:rsidRPr="00AB79A9">
        <w:rPr>
          <w:rFonts w:eastAsiaTheme="minorEastAsia" w:cstheme="majorHAnsi"/>
          <w:i/>
          <w:lang w:eastAsia="es-ES"/>
        </w:rPr>
        <w:t>, esta recae sobre las causales que configuran una información inexistente, por lo que, se debe indicar al ciudadano que esta no ha sido producida por la Institución.</w:t>
      </w:r>
    </w:p>
    <w:p w:rsidR="00D80FD4" w:rsidRDefault="00D80FD4" w:rsidP="009E2B60">
      <w:pPr>
        <w:spacing w:after="0" w:line="300" w:lineRule="auto"/>
        <w:jc w:val="both"/>
        <w:rPr>
          <w:rFonts w:eastAsiaTheme="minorEastAsia" w:cstheme="majorHAnsi"/>
          <w:i/>
          <w:lang w:eastAsia="es-ES"/>
        </w:rPr>
      </w:pPr>
    </w:p>
    <w:p w:rsidR="00D80FD4" w:rsidRDefault="00D80FD4" w:rsidP="006F1617">
      <w:pPr>
        <w:spacing w:after="0" w:line="300" w:lineRule="auto"/>
        <w:ind w:firstLine="708"/>
        <w:jc w:val="both"/>
        <w:rPr>
          <w:rFonts w:eastAsiaTheme="minorEastAsia" w:cstheme="majorHAnsi"/>
          <w:i/>
          <w:lang w:eastAsia="es-ES"/>
        </w:rPr>
      </w:pPr>
      <w:r>
        <w:rPr>
          <w:rFonts w:eastAsiaTheme="minorEastAsia" w:cstheme="majorHAnsi"/>
          <w:i/>
          <w:lang w:eastAsia="es-ES"/>
        </w:rPr>
        <w:t>La ampliación de la terminal de carga</w:t>
      </w:r>
      <w:r w:rsidR="006F1617">
        <w:rPr>
          <w:rFonts w:eastAsiaTheme="minorEastAsia" w:cstheme="majorHAnsi"/>
          <w:i/>
          <w:lang w:eastAsia="es-ES"/>
        </w:rPr>
        <w:t xml:space="preserve"> en Aeropuerto Internacional San Óscar Arnulfo Romero y Galdámez,</w:t>
      </w:r>
      <w:r>
        <w:rPr>
          <w:rFonts w:eastAsiaTheme="minorEastAsia" w:cstheme="majorHAnsi"/>
          <w:i/>
          <w:lang w:eastAsia="es-ES"/>
        </w:rPr>
        <w:t xml:space="preserve"> es un proyecto que </w:t>
      </w:r>
      <w:r w:rsidR="006F1617">
        <w:rPr>
          <w:rFonts w:eastAsiaTheme="minorEastAsia" w:cstheme="majorHAnsi"/>
          <w:i/>
          <w:lang w:eastAsia="es-ES"/>
        </w:rPr>
        <w:t>está</w:t>
      </w:r>
      <w:r>
        <w:rPr>
          <w:rFonts w:eastAsiaTheme="minorEastAsia" w:cstheme="majorHAnsi"/>
          <w:i/>
          <w:lang w:eastAsia="es-ES"/>
        </w:rPr>
        <w:t xml:space="preserve"> todavía en </w:t>
      </w:r>
      <w:r w:rsidR="006F1617">
        <w:rPr>
          <w:rFonts w:eastAsiaTheme="minorEastAsia" w:cstheme="majorHAnsi"/>
          <w:i/>
          <w:lang w:eastAsia="es-ES"/>
        </w:rPr>
        <w:t xml:space="preserve">la fase de adquisición de bases de licitación por parte de posibles participantes </w:t>
      </w:r>
      <w:r w:rsidR="007F6D66">
        <w:rPr>
          <w:rFonts w:eastAsiaTheme="minorEastAsia" w:cstheme="majorHAnsi"/>
          <w:i/>
          <w:lang w:eastAsia="es-ES"/>
        </w:rPr>
        <w:t>en</w:t>
      </w:r>
      <w:r w:rsidR="006F1617">
        <w:rPr>
          <w:rFonts w:eastAsiaTheme="minorEastAsia" w:cstheme="majorHAnsi"/>
          <w:i/>
          <w:lang w:eastAsia="es-ES"/>
        </w:rPr>
        <w:t xml:space="preserve"> la licitación </w:t>
      </w:r>
      <w:r w:rsidR="007F6D66">
        <w:rPr>
          <w:rFonts w:eastAsiaTheme="minorEastAsia" w:cstheme="majorHAnsi"/>
          <w:i/>
          <w:lang w:eastAsia="es-ES"/>
        </w:rPr>
        <w:t>para</w:t>
      </w:r>
      <w:r w:rsidR="006F1617">
        <w:rPr>
          <w:rFonts w:eastAsiaTheme="minorEastAsia" w:cstheme="majorHAnsi"/>
          <w:i/>
          <w:lang w:eastAsia="es-ES"/>
        </w:rPr>
        <w:t xml:space="preserve"> la ejecución de la ampliación de dicha terminal, por lo que no existen contratos para la ejecución de obras de dicho proyecto y por tanto </w:t>
      </w:r>
      <w:r w:rsidR="007F6D66">
        <w:rPr>
          <w:rFonts w:eastAsiaTheme="minorEastAsia" w:cstheme="majorHAnsi"/>
          <w:i/>
          <w:lang w:eastAsia="es-ES"/>
        </w:rPr>
        <w:t xml:space="preserve">no </w:t>
      </w:r>
      <w:r w:rsidR="006F1617">
        <w:rPr>
          <w:rFonts w:eastAsiaTheme="minorEastAsia" w:cstheme="majorHAnsi"/>
          <w:i/>
          <w:lang w:eastAsia="es-ES"/>
        </w:rPr>
        <w:t>existen informes de supervisión de obras que aún no están contratadas.</w:t>
      </w:r>
    </w:p>
    <w:p w:rsidR="009C5C44" w:rsidRDefault="009C5C44" w:rsidP="006F1617">
      <w:pPr>
        <w:spacing w:after="0" w:line="300" w:lineRule="auto"/>
        <w:ind w:firstLine="708"/>
        <w:jc w:val="both"/>
        <w:rPr>
          <w:rFonts w:eastAsiaTheme="minorEastAsia" w:cstheme="majorHAnsi"/>
          <w:i/>
          <w:lang w:eastAsia="es-ES"/>
        </w:rPr>
      </w:pPr>
    </w:p>
    <w:p w:rsidR="009C5C44" w:rsidRPr="00AB79A9" w:rsidRDefault="00E43896" w:rsidP="00E43896">
      <w:pPr>
        <w:spacing w:after="0" w:line="300" w:lineRule="auto"/>
        <w:ind w:firstLine="708"/>
        <w:jc w:val="both"/>
        <w:rPr>
          <w:rFonts w:eastAsiaTheme="minorEastAsia" w:cstheme="majorHAnsi"/>
          <w:i/>
          <w:lang w:eastAsia="es-ES"/>
        </w:rPr>
      </w:pPr>
      <w:r>
        <w:rPr>
          <w:rFonts w:eastAsiaTheme="minorEastAsia" w:cstheme="majorHAnsi"/>
          <w:i/>
          <w:lang w:eastAsia="es-ES"/>
        </w:rPr>
        <w:t xml:space="preserve">En el mismo memorando de fecha </w:t>
      </w:r>
      <w:r w:rsidRPr="00E43896">
        <w:rPr>
          <w:rFonts w:eastAsiaTheme="minorEastAsia" w:cstheme="majorHAnsi"/>
          <w:i/>
          <w:lang w:eastAsia="es-ES"/>
        </w:rPr>
        <w:t xml:space="preserve">29 de octubre de dos mil diecinueve, </w:t>
      </w:r>
      <w:r w:rsidR="007F6D66">
        <w:rPr>
          <w:rFonts w:eastAsiaTheme="minorEastAsia" w:cstheme="majorHAnsi"/>
          <w:i/>
          <w:lang w:eastAsia="es-ES"/>
        </w:rPr>
        <w:t>relacionado en la información a compartir</w:t>
      </w:r>
      <w:r w:rsidRPr="00E43896">
        <w:rPr>
          <w:rFonts w:eastAsiaTheme="minorEastAsia" w:cstheme="majorHAnsi"/>
          <w:i/>
          <w:lang w:eastAsia="es-ES"/>
        </w:rPr>
        <w:t xml:space="preserve">, </w:t>
      </w:r>
      <w:r>
        <w:rPr>
          <w:rFonts w:eastAsiaTheme="minorEastAsia" w:cstheme="majorHAnsi"/>
          <w:i/>
          <w:lang w:eastAsia="es-ES"/>
        </w:rPr>
        <w:t xml:space="preserve">hace constar que en la terminal de carga no se están ejecutando a la fecha ningún proyecto de ampliación, por lo </w:t>
      </w:r>
      <w:proofErr w:type="gramStart"/>
      <w:r>
        <w:rPr>
          <w:rFonts w:eastAsiaTheme="minorEastAsia" w:cstheme="majorHAnsi"/>
          <w:i/>
          <w:lang w:eastAsia="es-ES"/>
        </w:rPr>
        <w:t>tanto</w:t>
      </w:r>
      <w:proofErr w:type="gramEnd"/>
      <w:r>
        <w:rPr>
          <w:rFonts w:eastAsiaTheme="minorEastAsia" w:cstheme="majorHAnsi"/>
          <w:i/>
          <w:lang w:eastAsia="es-ES"/>
        </w:rPr>
        <w:t xml:space="preserve"> no existen informes de avance de supervisión</w:t>
      </w:r>
      <w:r w:rsidRPr="00E43896">
        <w:rPr>
          <w:rFonts w:eastAsiaTheme="minorEastAsia" w:cstheme="majorHAnsi"/>
          <w:i/>
          <w:lang w:eastAsia="es-ES"/>
        </w:rPr>
        <w:t>.</w:t>
      </w:r>
    </w:p>
    <w:p w:rsidR="009E2B60" w:rsidRDefault="009E2B60" w:rsidP="006F1617">
      <w:pPr>
        <w:spacing w:after="0" w:line="300" w:lineRule="auto"/>
        <w:jc w:val="both"/>
      </w:pPr>
    </w:p>
    <w:p w:rsidR="009E2B60" w:rsidRPr="00AB79A9" w:rsidRDefault="006F1617" w:rsidP="009E2B60">
      <w:pPr>
        <w:spacing w:after="0" w:line="300" w:lineRule="auto"/>
        <w:ind w:firstLine="709"/>
        <w:jc w:val="both"/>
        <w:rPr>
          <w:rFonts w:eastAsiaTheme="minorEastAsia" w:cstheme="majorHAnsi"/>
          <w:i/>
          <w:lang w:eastAsia="es-ES"/>
        </w:rPr>
      </w:pPr>
      <w:r>
        <w:rPr>
          <w:rFonts w:eastAsiaTheme="minorEastAsia" w:cstheme="majorHAnsi"/>
          <w:i/>
          <w:lang w:eastAsia="es-ES"/>
        </w:rPr>
        <w:t>C</w:t>
      </w:r>
      <w:r w:rsidR="009E2B60" w:rsidRPr="00AB79A9">
        <w:rPr>
          <w:rFonts w:eastAsiaTheme="minorEastAsia" w:cstheme="majorHAnsi"/>
          <w:i/>
          <w:lang w:eastAsia="es-ES"/>
        </w:rPr>
        <w:t xml:space="preserve">omo se ha expresado en los romanos precedentes, una solicitud de información debe recaer sobre </w:t>
      </w:r>
      <w:r w:rsidR="009E2B60" w:rsidRPr="00AB79A9">
        <w:rPr>
          <w:rFonts w:eastAsiaTheme="minorEastAsia" w:cstheme="majorHAnsi"/>
          <w:b/>
          <w:i/>
          <w:u w:val="single"/>
          <w:lang w:eastAsia="es-ES"/>
        </w:rPr>
        <w:t>documentos, archivos, datos, bases de datos, comunicaciones y todo tipo de registros que documenten el ejercicio de sus facultades o actividades, que consten en cualquier medio, ya sea impreso, óptico o electrónico</w:t>
      </w:r>
      <w:r w:rsidR="009E2B60" w:rsidRPr="00AB79A9">
        <w:rPr>
          <w:rFonts w:eastAsiaTheme="minorEastAsia" w:cstheme="majorHAnsi"/>
          <w:i/>
          <w:lang w:eastAsia="es-ES"/>
        </w:rPr>
        <w:t>; y no habiéndose generado el contrato por parte de la Institución</w:t>
      </w:r>
      <w:r>
        <w:rPr>
          <w:rFonts w:eastAsiaTheme="minorEastAsia" w:cstheme="majorHAnsi"/>
          <w:i/>
          <w:lang w:eastAsia="es-ES"/>
        </w:rPr>
        <w:t>, no existe la posibilidad de que se hayan generado informes de avance de obras y retrasos en la misma por parte de alguna entidad respecto a la supervisión del proyecto señalado, por lo que</w:t>
      </w:r>
      <w:r w:rsidR="009E2B60" w:rsidRPr="00AB79A9">
        <w:rPr>
          <w:rFonts w:eastAsiaTheme="minorEastAsia" w:cstheme="majorHAnsi"/>
          <w:i/>
          <w:lang w:eastAsia="es-ES"/>
        </w:rPr>
        <w:t xml:space="preserve"> es procedente declarar </w:t>
      </w:r>
      <w:r>
        <w:rPr>
          <w:rFonts w:eastAsiaTheme="minorEastAsia" w:cstheme="majorHAnsi"/>
          <w:i/>
          <w:lang w:eastAsia="es-ES"/>
        </w:rPr>
        <w:t xml:space="preserve">inexistente el punto cuatro dentro de la </w:t>
      </w:r>
      <w:r w:rsidR="009E2B60" w:rsidRPr="00AB79A9">
        <w:rPr>
          <w:rFonts w:eastAsiaTheme="minorEastAsia" w:cstheme="majorHAnsi"/>
          <w:i/>
          <w:lang w:eastAsia="es-ES"/>
        </w:rPr>
        <w:t>información</w:t>
      </w:r>
      <w:r>
        <w:rPr>
          <w:rFonts w:eastAsiaTheme="minorEastAsia" w:cstheme="majorHAnsi"/>
          <w:i/>
          <w:lang w:eastAsia="es-ES"/>
        </w:rPr>
        <w:t xml:space="preserve"> solicitada.</w:t>
      </w:r>
    </w:p>
    <w:p w:rsidR="009E2B60" w:rsidRPr="00AB79A9" w:rsidRDefault="009E2B60" w:rsidP="009E2B60">
      <w:pPr>
        <w:tabs>
          <w:tab w:val="left" w:pos="4080"/>
        </w:tabs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9E2B60" w:rsidRPr="00AB79A9" w:rsidRDefault="009E2B60" w:rsidP="009E2B60">
      <w:pPr>
        <w:tabs>
          <w:tab w:val="left" w:pos="4080"/>
        </w:tabs>
        <w:spacing w:after="0" w:line="300" w:lineRule="auto"/>
        <w:jc w:val="both"/>
        <w:rPr>
          <w:rFonts w:eastAsiaTheme="minorEastAsia" w:cstheme="majorHAnsi"/>
          <w:b/>
          <w:lang w:eastAsia="es-ES"/>
        </w:rPr>
      </w:pPr>
      <w:r w:rsidRPr="00AB79A9">
        <w:rPr>
          <w:rFonts w:eastAsiaTheme="minorEastAsia" w:cstheme="majorHAnsi"/>
          <w:lang w:eastAsia="es-ES"/>
        </w:rPr>
        <w:t xml:space="preserve">Por lo anterior, con base a lo solicitado y de conformidad al artículo 73 de la Ley de Acceso a la Información Pública -LAIP-, el suscrito Oficial de Información </w:t>
      </w:r>
      <w:r w:rsidRPr="00AB79A9">
        <w:rPr>
          <w:rFonts w:eastAsiaTheme="minorEastAsia" w:cstheme="majorHAnsi"/>
          <w:b/>
          <w:lang w:eastAsia="es-ES"/>
        </w:rPr>
        <w:t>RESUELVE:</w:t>
      </w:r>
      <w:r w:rsidRPr="00AB79A9">
        <w:rPr>
          <w:rFonts w:eastAsiaTheme="minorEastAsia" w:cstheme="majorHAnsi"/>
          <w:b/>
          <w:lang w:eastAsia="es-ES"/>
        </w:rPr>
        <w:tab/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7F6D66" w:rsidRPr="007F6D66" w:rsidRDefault="009E2B60" w:rsidP="007F6D66">
      <w:pPr>
        <w:numPr>
          <w:ilvl w:val="0"/>
          <w:numId w:val="1"/>
        </w:numPr>
        <w:spacing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 en lo relativo a</w:t>
      </w:r>
      <w:r w:rsidR="007F6D66">
        <w:rPr>
          <w:rFonts w:eastAsia="Calibri" w:cstheme="majorHAnsi"/>
        </w:rPr>
        <w:t xml:space="preserve">: </w:t>
      </w:r>
      <w:r w:rsidR="007F6D66" w:rsidRPr="007F6D66">
        <w:rPr>
          <w:rFonts w:eastAsia="Calibri" w:cstheme="majorHAnsi"/>
          <w:i/>
        </w:rPr>
        <w:t>Cronograma actual de la ampliación de la terminal de pasajeros en el Aeropuerto Internacional San Romero, en el cual se especifique la nueva fecha del proyecto a cargo</w:t>
      </w:r>
      <w:r w:rsidR="007F6D66">
        <w:rPr>
          <w:rFonts w:eastAsia="Calibri" w:cstheme="majorHAnsi"/>
          <w:i/>
        </w:rPr>
        <w:t xml:space="preserve">; </w:t>
      </w:r>
      <w:r w:rsidR="007F6D66" w:rsidRPr="007F6D66">
        <w:rPr>
          <w:rFonts w:eastAsia="Calibri" w:cstheme="majorHAnsi"/>
          <w:i/>
        </w:rPr>
        <w:t>Costo actual de la ampliación de la terminal de pasajeros en el Aeropuerto Internacional San Romero. De existir una variación respecto al valor de $37,881,157.00 estipulados en el contrato inicial del proyecto, entregar el desglose de los motivos validados por la empresa CAABSA y CEPA que justifiquen la modificación</w:t>
      </w:r>
      <w:r w:rsidR="007F6D66">
        <w:rPr>
          <w:rFonts w:eastAsia="Calibri" w:cstheme="majorHAnsi"/>
          <w:i/>
        </w:rPr>
        <w:t xml:space="preserve">; </w:t>
      </w:r>
      <w:r w:rsidR="007F6D66" w:rsidRPr="007F6D66">
        <w:rPr>
          <w:rFonts w:eastAsia="Calibri" w:cstheme="majorHAnsi"/>
          <w:i/>
        </w:rPr>
        <w:t>Plan de pago a la empresa CAABSA por la ampliación de la terminal de pasajeros, especificando cuanto ya se le efectuó del pago, cuanto se le adeuda, si existen retrasos y sanciones por incumplimiento a contratos</w:t>
      </w:r>
      <w:r w:rsidR="007F6D66">
        <w:rPr>
          <w:rFonts w:eastAsia="Calibri" w:cstheme="majorHAnsi"/>
          <w:i/>
        </w:rPr>
        <w:t xml:space="preserve">; </w:t>
      </w:r>
      <w:r w:rsidR="007F6D66" w:rsidRPr="007F6D66">
        <w:rPr>
          <w:rFonts w:eastAsia="Calibri" w:cstheme="majorHAnsi"/>
          <w:i/>
        </w:rPr>
        <w:t xml:space="preserve">Avance actual de la ampliación de la terminal de pasajeros en el Aeropuerto Internacional San Romero”.  </w:t>
      </w:r>
    </w:p>
    <w:p w:rsidR="009E2B60" w:rsidRPr="007F6D66" w:rsidRDefault="009E2B60" w:rsidP="007F6D66">
      <w:pPr>
        <w:spacing w:after="0" w:line="276" w:lineRule="auto"/>
        <w:jc w:val="both"/>
        <w:rPr>
          <w:rFonts w:eastAsia="Calibri" w:cstheme="majorHAnsi"/>
        </w:rPr>
      </w:pPr>
    </w:p>
    <w:p w:rsidR="006F1617" w:rsidRPr="001D7313" w:rsidRDefault="006F1617" w:rsidP="007F6D66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1D7313">
        <w:rPr>
          <w:rFonts w:eastAsia="Calibri" w:cstheme="majorHAnsi"/>
        </w:rPr>
        <w:t>Declarar inexistente la información relativo a “</w:t>
      </w:r>
      <w:r w:rsidR="001D7313">
        <w:rPr>
          <w:rFonts w:ascii="Calibri" w:eastAsia="Calibri" w:hAnsi="Calibri" w:cstheme="majorHAnsi"/>
          <w:i/>
        </w:rPr>
        <w:t>Los informes realizados por UNOPS</w:t>
      </w:r>
      <w:r w:rsidR="00E43896">
        <w:rPr>
          <w:rFonts w:ascii="Calibri" w:eastAsia="Calibri" w:hAnsi="Calibri" w:cstheme="majorHAnsi"/>
          <w:i/>
        </w:rPr>
        <w:t xml:space="preserve">, </w:t>
      </w:r>
      <w:r w:rsidR="001D7313">
        <w:rPr>
          <w:rFonts w:ascii="Calibri" w:eastAsia="Calibri" w:hAnsi="Calibri" w:cstheme="majorHAnsi"/>
          <w:i/>
        </w:rPr>
        <w:t>como la entidad a cargo de supervisar el proyecto de ampliación de la terminal de carga del aeropuerto o cualquier otro informe sobre los retrasos y el avance de la construcción</w:t>
      </w:r>
      <w:r w:rsidRPr="001D7313">
        <w:rPr>
          <w:rFonts w:ascii="Calibri" w:eastAsia="Calibri" w:hAnsi="Calibri" w:cstheme="majorHAnsi"/>
          <w:i/>
        </w:rPr>
        <w:t>”</w:t>
      </w:r>
      <w:r w:rsidRPr="001D7313">
        <w:rPr>
          <w:rFonts w:eastAsia="Calibri" w:cstheme="majorHAnsi"/>
        </w:rPr>
        <w:t xml:space="preserve">, debido a que la institución no </w:t>
      </w:r>
      <w:r w:rsidR="00E43896">
        <w:rPr>
          <w:rFonts w:eastAsia="Calibri" w:cstheme="majorHAnsi"/>
        </w:rPr>
        <w:t>ha generado</w:t>
      </w:r>
      <w:r w:rsidRPr="001D7313">
        <w:rPr>
          <w:rFonts w:eastAsia="Calibri" w:cstheme="majorHAnsi"/>
        </w:rPr>
        <w:t xml:space="preserve"> la información.</w:t>
      </w:r>
    </w:p>
    <w:p w:rsidR="006F1617" w:rsidRPr="00212A59" w:rsidRDefault="006F1617" w:rsidP="007F6D66">
      <w:pPr>
        <w:spacing w:after="0" w:line="276" w:lineRule="auto"/>
        <w:ind w:left="491"/>
        <w:jc w:val="both"/>
        <w:rPr>
          <w:rFonts w:eastAsia="Calibri" w:cstheme="majorHAnsi"/>
        </w:rPr>
      </w:pPr>
    </w:p>
    <w:p w:rsidR="009E2B60" w:rsidRPr="00AB79A9" w:rsidRDefault="009E2B60" w:rsidP="007F6D66">
      <w:pPr>
        <w:spacing w:after="0" w:line="300" w:lineRule="auto"/>
        <w:ind w:left="720"/>
        <w:jc w:val="both"/>
        <w:rPr>
          <w:rFonts w:eastAsia="Calibri" w:cstheme="majorHAnsi"/>
          <w:i/>
        </w:rPr>
      </w:pP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b/>
          <w:i/>
          <w:lang w:eastAsia="es-ES"/>
        </w:rPr>
      </w:pPr>
      <w:r w:rsidRPr="00AB79A9">
        <w:rPr>
          <w:rFonts w:eastAsiaTheme="minorEastAsia" w:cstheme="majorHAnsi"/>
          <w:b/>
          <w:i/>
          <w:lang w:eastAsia="es-ES"/>
        </w:rPr>
        <w:t>Notifíquese. -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i/>
          <w:sz w:val="20"/>
          <w:lang w:eastAsia="es-ES"/>
        </w:rPr>
      </w:pPr>
      <w:r w:rsidRPr="00AB79A9">
        <w:rPr>
          <w:rFonts w:eastAsiaTheme="minorEastAsia" w:cstheme="majorHAnsi"/>
          <w:i/>
          <w:sz w:val="20"/>
          <w:lang w:eastAsia="es-ES"/>
        </w:rPr>
        <w:t>Se informa que podrá consultar información pública en el Portal de Transparencia, acce</w:t>
      </w:r>
      <w:r w:rsidR="00E43896">
        <w:rPr>
          <w:rFonts w:eastAsiaTheme="minorEastAsia" w:cstheme="majorHAnsi"/>
          <w:i/>
          <w:sz w:val="20"/>
          <w:lang w:eastAsia="es-ES"/>
        </w:rPr>
        <w:t>dien</w:t>
      </w:r>
      <w:r w:rsidRPr="00AB79A9">
        <w:rPr>
          <w:rFonts w:eastAsiaTheme="minorEastAsia" w:cstheme="majorHAnsi"/>
          <w:i/>
          <w:sz w:val="20"/>
          <w:lang w:eastAsia="es-ES"/>
        </w:rPr>
        <w:t xml:space="preserve">do a la página Web </w:t>
      </w:r>
      <w:r w:rsidRPr="00AB79A9">
        <w:rPr>
          <w:rFonts w:eastAsiaTheme="minorEastAsia" w:cstheme="majorHAnsi"/>
          <w:i/>
          <w:color w:val="0563C1"/>
          <w:sz w:val="20"/>
          <w:u w:val="single"/>
          <w:lang w:eastAsia="es-ES"/>
        </w:rPr>
        <w:t>http://www.transparencia.gob.sv,</w:t>
      </w:r>
      <w:r w:rsidRPr="00AB79A9">
        <w:rPr>
          <w:rFonts w:eastAsiaTheme="minorEastAsia" w:cstheme="majorHAnsi"/>
          <w:i/>
          <w:sz w:val="20"/>
          <w:lang w:eastAsia="es-ES"/>
        </w:rPr>
        <w:t xml:space="preserve"> mediante “Comisión Ejecutiva Portuaria Autónoma”.</w:t>
      </w:r>
    </w:p>
    <w:p w:rsidR="009E2B60" w:rsidRPr="00AB79A9" w:rsidRDefault="009E2B60" w:rsidP="009E2B60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9E2B60" w:rsidRPr="00AB79A9" w:rsidRDefault="009E2B60" w:rsidP="009E2B60">
      <w:pPr>
        <w:spacing w:after="0" w:line="300" w:lineRule="auto"/>
        <w:jc w:val="center"/>
        <w:rPr>
          <w:rFonts w:eastAsiaTheme="minorEastAsia" w:cstheme="majorHAnsi"/>
          <w:lang w:eastAsia="es-ES"/>
        </w:rPr>
      </w:pPr>
    </w:p>
    <w:p w:rsidR="009E2B60" w:rsidRPr="00AB79A9" w:rsidRDefault="009E2B60" w:rsidP="009E2B60">
      <w:pPr>
        <w:spacing w:after="0" w:line="300" w:lineRule="auto"/>
        <w:jc w:val="center"/>
        <w:rPr>
          <w:rFonts w:eastAsiaTheme="minorEastAsia" w:cstheme="majorHAnsi"/>
          <w:lang w:eastAsia="es-ES"/>
        </w:rPr>
      </w:pPr>
    </w:p>
    <w:p w:rsidR="009E2B60" w:rsidRPr="00AB79A9" w:rsidRDefault="009E2B60" w:rsidP="009E2B60">
      <w:pPr>
        <w:spacing w:after="0" w:line="300" w:lineRule="auto"/>
        <w:rPr>
          <w:rFonts w:eastAsiaTheme="minorEastAsia" w:cstheme="majorHAnsi"/>
          <w:lang w:eastAsia="es-ES"/>
        </w:rPr>
      </w:pPr>
    </w:p>
    <w:p w:rsidR="009E2B60" w:rsidRDefault="009E2B60" w:rsidP="009E2B60">
      <w:pPr>
        <w:spacing w:after="0" w:line="300" w:lineRule="auto"/>
        <w:jc w:val="center"/>
        <w:rPr>
          <w:rFonts w:eastAsiaTheme="minorEastAsia" w:cstheme="majorHAnsi"/>
          <w:lang w:eastAsia="es-ES"/>
        </w:rPr>
      </w:pPr>
    </w:p>
    <w:p w:rsidR="007F6D66" w:rsidRDefault="007F6D66" w:rsidP="009E2B60">
      <w:pPr>
        <w:spacing w:after="0" w:line="300" w:lineRule="auto"/>
        <w:jc w:val="center"/>
        <w:rPr>
          <w:rFonts w:eastAsiaTheme="minorEastAsia" w:cstheme="majorHAnsi"/>
          <w:lang w:eastAsia="es-ES"/>
        </w:rPr>
      </w:pPr>
    </w:p>
    <w:p w:rsidR="007F6D66" w:rsidRPr="00AB79A9" w:rsidRDefault="007F6D66" w:rsidP="009E2B60">
      <w:pPr>
        <w:spacing w:after="0" w:line="300" w:lineRule="auto"/>
        <w:jc w:val="center"/>
        <w:rPr>
          <w:rFonts w:eastAsiaTheme="minorEastAsia" w:cstheme="majorHAnsi"/>
          <w:lang w:eastAsia="es-ES"/>
        </w:rPr>
      </w:pPr>
      <w:bookmarkStart w:id="3" w:name="_GoBack"/>
      <w:bookmarkEnd w:id="3"/>
    </w:p>
    <w:p w:rsidR="009E2B60" w:rsidRPr="00AB79A9" w:rsidRDefault="009E2B60" w:rsidP="009E2B60">
      <w:pPr>
        <w:spacing w:after="0" w:line="240" w:lineRule="auto"/>
        <w:jc w:val="center"/>
        <w:rPr>
          <w:rFonts w:eastAsiaTheme="minorEastAsia" w:cstheme="majorHAnsi"/>
          <w:lang w:eastAsia="es-ES"/>
        </w:rPr>
      </w:pPr>
      <w:r w:rsidRPr="00AB79A9">
        <w:rPr>
          <w:rFonts w:eastAsiaTheme="minorEastAsia" w:cstheme="majorHAnsi"/>
          <w:lang w:eastAsia="es-ES"/>
        </w:rPr>
        <w:t>Ricardo Alfonso Alas Hernández</w:t>
      </w:r>
    </w:p>
    <w:p w:rsidR="009E2B60" w:rsidRDefault="009E2B60" w:rsidP="009E2B60">
      <w:pPr>
        <w:spacing w:after="0" w:line="240" w:lineRule="auto"/>
        <w:jc w:val="center"/>
      </w:pPr>
      <w:r w:rsidRPr="00AB79A9">
        <w:rPr>
          <w:rFonts w:eastAsiaTheme="minorEastAsia" w:cstheme="majorHAnsi"/>
          <w:lang w:eastAsia="es-ES"/>
        </w:rPr>
        <w:t>Oficial de Información.</w:t>
      </w:r>
      <w:r w:rsidRPr="00AB79A9">
        <w:rPr>
          <w:rFonts w:eastAsiaTheme="minorEastAsia"/>
          <w:sz w:val="24"/>
          <w:szCs w:val="24"/>
          <w:lang w:eastAsia="es-ES"/>
        </w:rPr>
        <w:t xml:space="preserve"> </w:t>
      </w:r>
    </w:p>
    <w:p w:rsidR="009E2B60" w:rsidRDefault="009E2B60" w:rsidP="009E2B60"/>
    <w:p w:rsidR="001D7313" w:rsidRDefault="001D7313"/>
    <w:sectPr w:rsidR="001D7313" w:rsidSect="001D7313">
      <w:headerReference w:type="default" r:id="rId5"/>
      <w:footerReference w:type="default" r:id="rId6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3" w:rsidRPr="00743DE2" w:rsidRDefault="001D7313" w:rsidP="001D7313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2A9938A8" wp14:editId="531F559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7422F2B8" wp14:editId="7BC66285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04BE74E4" wp14:editId="199709F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SV"/>
      </w:rPr>
      <w:drawing>
        <wp:inline distT="0" distB="0" distL="0" distR="0" wp14:anchorId="52656ED1" wp14:editId="185922F7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3" w:rsidRPr="003B605E" w:rsidRDefault="001D7313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3DAFB2D9" wp14:editId="186D0D05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1D7313" w:rsidRPr="003B605E" w:rsidRDefault="001D7313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1D7313" w:rsidRPr="00AB215D" w:rsidRDefault="001D7313" w:rsidP="001D7313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Pr="003B605E">
        <w:rPr>
          <w:rStyle w:val="Hipervnculo"/>
          <w:rFonts w:cstheme="majorHAnsi"/>
          <w:i/>
        </w:rPr>
        <w:t>www.cepa.gob.sv</w:t>
      </w:r>
    </w:hyperlink>
  </w:p>
  <w:p w:rsidR="001D7313" w:rsidRPr="00AB215D" w:rsidRDefault="001D73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C1B"/>
    <w:multiLevelType w:val="hybridMultilevel"/>
    <w:tmpl w:val="D8D2A792"/>
    <w:lvl w:ilvl="0" w:tplc="440A000F">
      <w:start w:val="1"/>
      <w:numFmt w:val="decimal"/>
      <w:lvlText w:val="%1."/>
      <w:lvlJc w:val="left"/>
      <w:pPr>
        <w:ind w:left="770" w:hanging="360"/>
      </w:pPr>
    </w:lvl>
    <w:lvl w:ilvl="1" w:tplc="440A0019">
      <w:start w:val="1"/>
      <w:numFmt w:val="lowerLetter"/>
      <w:lvlText w:val="%2."/>
      <w:lvlJc w:val="left"/>
      <w:pPr>
        <w:ind w:left="1490" w:hanging="360"/>
      </w:pPr>
    </w:lvl>
    <w:lvl w:ilvl="2" w:tplc="440A001B">
      <w:start w:val="1"/>
      <w:numFmt w:val="lowerRoman"/>
      <w:lvlText w:val="%3."/>
      <w:lvlJc w:val="right"/>
      <w:pPr>
        <w:ind w:left="2210" w:hanging="180"/>
      </w:pPr>
    </w:lvl>
    <w:lvl w:ilvl="3" w:tplc="440A000F">
      <w:start w:val="1"/>
      <w:numFmt w:val="decimal"/>
      <w:lvlText w:val="%4."/>
      <w:lvlJc w:val="left"/>
      <w:pPr>
        <w:ind w:left="2930" w:hanging="360"/>
      </w:pPr>
    </w:lvl>
    <w:lvl w:ilvl="4" w:tplc="440A0019">
      <w:start w:val="1"/>
      <w:numFmt w:val="lowerLetter"/>
      <w:lvlText w:val="%5."/>
      <w:lvlJc w:val="left"/>
      <w:pPr>
        <w:ind w:left="3650" w:hanging="360"/>
      </w:pPr>
    </w:lvl>
    <w:lvl w:ilvl="5" w:tplc="440A001B">
      <w:start w:val="1"/>
      <w:numFmt w:val="lowerRoman"/>
      <w:lvlText w:val="%6."/>
      <w:lvlJc w:val="right"/>
      <w:pPr>
        <w:ind w:left="4370" w:hanging="180"/>
      </w:pPr>
    </w:lvl>
    <w:lvl w:ilvl="6" w:tplc="440A000F">
      <w:start w:val="1"/>
      <w:numFmt w:val="decimal"/>
      <w:lvlText w:val="%7."/>
      <w:lvlJc w:val="left"/>
      <w:pPr>
        <w:ind w:left="5090" w:hanging="360"/>
      </w:pPr>
    </w:lvl>
    <w:lvl w:ilvl="7" w:tplc="440A0019">
      <w:start w:val="1"/>
      <w:numFmt w:val="lowerLetter"/>
      <w:lvlText w:val="%8."/>
      <w:lvlJc w:val="left"/>
      <w:pPr>
        <w:ind w:left="5810" w:hanging="360"/>
      </w:pPr>
    </w:lvl>
    <w:lvl w:ilvl="8" w:tplc="440A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6976358"/>
    <w:multiLevelType w:val="hybridMultilevel"/>
    <w:tmpl w:val="E9840A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390"/>
    <w:multiLevelType w:val="hybridMultilevel"/>
    <w:tmpl w:val="D8D2A792"/>
    <w:lvl w:ilvl="0" w:tplc="440A000F">
      <w:start w:val="1"/>
      <w:numFmt w:val="decimal"/>
      <w:lvlText w:val="%1."/>
      <w:lvlJc w:val="left"/>
      <w:pPr>
        <w:ind w:left="770" w:hanging="360"/>
      </w:pPr>
    </w:lvl>
    <w:lvl w:ilvl="1" w:tplc="440A0019">
      <w:start w:val="1"/>
      <w:numFmt w:val="lowerLetter"/>
      <w:lvlText w:val="%2."/>
      <w:lvlJc w:val="left"/>
      <w:pPr>
        <w:ind w:left="1490" w:hanging="360"/>
      </w:pPr>
    </w:lvl>
    <w:lvl w:ilvl="2" w:tplc="440A001B">
      <w:start w:val="1"/>
      <w:numFmt w:val="lowerRoman"/>
      <w:lvlText w:val="%3."/>
      <w:lvlJc w:val="right"/>
      <w:pPr>
        <w:ind w:left="2210" w:hanging="180"/>
      </w:pPr>
    </w:lvl>
    <w:lvl w:ilvl="3" w:tplc="440A000F">
      <w:start w:val="1"/>
      <w:numFmt w:val="decimal"/>
      <w:lvlText w:val="%4."/>
      <w:lvlJc w:val="left"/>
      <w:pPr>
        <w:ind w:left="2930" w:hanging="360"/>
      </w:pPr>
    </w:lvl>
    <w:lvl w:ilvl="4" w:tplc="440A0019">
      <w:start w:val="1"/>
      <w:numFmt w:val="lowerLetter"/>
      <w:lvlText w:val="%5."/>
      <w:lvlJc w:val="left"/>
      <w:pPr>
        <w:ind w:left="3650" w:hanging="360"/>
      </w:pPr>
    </w:lvl>
    <w:lvl w:ilvl="5" w:tplc="440A001B">
      <w:start w:val="1"/>
      <w:numFmt w:val="lowerRoman"/>
      <w:lvlText w:val="%6."/>
      <w:lvlJc w:val="right"/>
      <w:pPr>
        <w:ind w:left="4370" w:hanging="180"/>
      </w:pPr>
    </w:lvl>
    <w:lvl w:ilvl="6" w:tplc="440A000F">
      <w:start w:val="1"/>
      <w:numFmt w:val="decimal"/>
      <w:lvlText w:val="%7."/>
      <w:lvlJc w:val="left"/>
      <w:pPr>
        <w:ind w:left="5090" w:hanging="360"/>
      </w:pPr>
    </w:lvl>
    <w:lvl w:ilvl="7" w:tplc="440A0019">
      <w:start w:val="1"/>
      <w:numFmt w:val="lowerLetter"/>
      <w:lvlText w:val="%8."/>
      <w:lvlJc w:val="left"/>
      <w:pPr>
        <w:ind w:left="5810" w:hanging="360"/>
      </w:pPr>
    </w:lvl>
    <w:lvl w:ilvl="8" w:tplc="440A001B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54951328"/>
    <w:multiLevelType w:val="hybridMultilevel"/>
    <w:tmpl w:val="429228A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3788D"/>
    <w:multiLevelType w:val="hybridMultilevel"/>
    <w:tmpl w:val="D750D540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60"/>
    <w:rsid w:val="001D7313"/>
    <w:rsid w:val="00247695"/>
    <w:rsid w:val="00557017"/>
    <w:rsid w:val="006114F5"/>
    <w:rsid w:val="00694231"/>
    <w:rsid w:val="006F1617"/>
    <w:rsid w:val="007F6D66"/>
    <w:rsid w:val="00806957"/>
    <w:rsid w:val="00886C7C"/>
    <w:rsid w:val="009C5C44"/>
    <w:rsid w:val="009E2B60"/>
    <w:rsid w:val="00AC6671"/>
    <w:rsid w:val="00D80FD4"/>
    <w:rsid w:val="00E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83C6A"/>
  <w15:chartTrackingRefBased/>
  <w15:docId w15:val="{3304EA44-B901-4E76-8145-C3A3FDF2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D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E2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2B60"/>
  </w:style>
  <w:style w:type="paragraph" w:styleId="Piedepgina">
    <w:name w:val="footer"/>
    <w:basedOn w:val="Normal"/>
    <w:link w:val="PiedepginaCar"/>
    <w:uiPriority w:val="99"/>
    <w:semiHidden/>
    <w:unhideWhenUsed/>
    <w:rsid w:val="009E2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2B60"/>
  </w:style>
  <w:style w:type="character" w:styleId="Hipervnculo">
    <w:name w:val="Hyperlink"/>
    <w:basedOn w:val="Fuentedeprrafopredeter"/>
    <w:uiPriority w:val="99"/>
    <w:unhideWhenUsed/>
    <w:rsid w:val="009E2B6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80F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Ricardo Alfonso Alas Hernandez</cp:lastModifiedBy>
  <cp:revision>2</cp:revision>
  <cp:lastPrinted>2019-11-04T23:33:00Z</cp:lastPrinted>
  <dcterms:created xsi:type="dcterms:W3CDTF">2019-11-04T20:01:00Z</dcterms:created>
  <dcterms:modified xsi:type="dcterms:W3CDTF">2019-11-04T23:46:00Z</dcterms:modified>
</cp:coreProperties>
</file>