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0F" w:rsidRDefault="00B8400F" w:rsidP="00767BF0">
      <w:pPr>
        <w:spacing w:after="17" w:line="259" w:lineRule="auto"/>
        <w:ind w:left="57" w:firstLine="0"/>
        <w:jc w:val="center"/>
      </w:pPr>
      <w:bookmarkStart w:id="0" w:name="_GoBack"/>
      <w:bookmarkEnd w:id="0"/>
    </w:p>
    <w:p w:rsidR="00B8400F" w:rsidRDefault="00E94EB7">
      <w:pPr>
        <w:tabs>
          <w:tab w:val="center" w:pos="708"/>
          <w:tab w:val="center" w:pos="1416"/>
          <w:tab w:val="center" w:pos="4304"/>
        </w:tabs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  <w:r>
        <w:tab/>
        <w:t xml:space="preserve"> </w:t>
      </w:r>
      <w:r>
        <w:tab/>
        <w:t xml:space="preserve">2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tabs>
          <w:tab w:val="center" w:pos="2833"/>
          <w:tab w:val="center" w:pos="3541"/>
          <w:tab w:val="center" w:pos="4249"/>
          <w:tab w:val="center" w:pos="5898"/>
        </w:tabs>
        <w:ind w:left="-15" w:firstLine="0"/>
        <w:jc w:val="left"/>
      </w:pPr>
      <w:r>
        <w:t xml:space="preserve">GERENCIA GENERAL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GERENCIA LEGAL </w:t>
      </w:r>
    </w:p>
    <w:p w:rsidR="00B8400F" w:rsidRDefault="00E94EB7">
      <w:pPr>
        <w:ind w:left="-5"/>
      </w:pPr>
      <w:r>
        <w:t xml:space="preserve">UACI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LG - ADMINISTRACION CEPA </w:t>
      </w:r>
    </w:p>
    <w:p w:rsidR="00B8400F" w:rsidRDefault="00E94EB7">
      <w:pPr>
        <w:ind w:left="-5"/>
      </w:pPr>
      <w:proofErr w:type="spellStart"/>
      <w:r>
        <w:t>Solicítase</w:t>
      </w:r>
      <w:proofErr w:type="spellEnd"/>
      <w:r>
        <w:t xml:space="preserve"> autorización para adjudicar la Libre Gestión CEPA LG-37/2019, “Servicio de </w:t>
      </w:r>
    </w:p>
    <w:p w:rsidR="00B8400F" w:rsidRDefault="00E94EB7">
      <w:pPr>
        <w:ind w:left="-5"/>
      </w:pPr>
      <w:r>
        <w:t>Transmisión de Mensajes por Televisión Nacional para la Comisión Ejecutiva Portuaria Autónoma (</w:t>
      </w:r>
      <w:r>
        <w:t xml:space="preserve">CEPA)”, a la UDP TCS, representada legalmente por Carlos Enrique Isaac </w:t>
      </w:r>
      <w:proofErr w:type="spellStart"/>
      <w:r>
        <w:t>Renderos</w:t>
      </w:r>
      <w:proofErr w:type="spellEnd"/>
      <w:r>
        <w:t xml:space="preserve"> Funes, hasta por un monto de US $64,500.00 sin incluir IVA, para un plazo contractual contado a partir de la orden de inicio hasta el 31 de diciembre de 2019.</w:t>
      </w:r>
      <w:r>
        <w:rPr>
          <w:rFonts w:ascii="Courier New" w:eastAsia="Courier New" w:hAnsi="Courier New" w:cs="Courier New"/>
          <w:sz w:val="24"/>
        </w:rPr>
        <w:t xml:space="preserve"> </w:t>
      </w:r>
    </w:p>
    <w:p w:rsidR="00B8400F" w:rsidRDefault="00E94EB7">
      <w:pPr>
        <w:spacing w:after="15" w:line="216" w:lineRule="auto"/>
        <w:ind w:left="0" w:firstLine="0"/>
        <w:jc w:val="left"/>
      </w:pPr>
      <w:r>
        <w:rPr>
          <w:rFonts w:ascii="Courier New" w:eastAsia="Courier New" w:hAnsi="Courier New" w:cs="Courier New"/>
          <w:sz w:val="24"/>
        </w:rPr>
        <w:t>================</w:t>
      </w:r>
      <w:r>
        <w:rPr>
          <w:rFonts w:ascii="Courier New" w:eastAsia="Courier New" w:hAnsi="Courier New" w:cs="Courier New"/>
          <w:sz w:val="24"/>
        </w:rPr>
        <w:t xml:space="preserve">============================================= </w:t>
      </w:r>
      <w:r>
        <w:rPr>
          <w:b/>
        </w:rPr>
        <w:t xml:space="preserve">SEGUNDO: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pStyle w:val="Ttulo4"/>
        <w:ind w:left="-5"/>
      </w:pPr>
      <w:r>
        <w:t xml:space="preserve">I. ANTECEDENTES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Mediante el Punto Décimo del Acta número 3016, de fecha 29 de agosto de 2019, Junta Directiva autorizó la promoción de la Libre Gestión CEPA LG-</w:t>
      </w:r>
      <w:r>
        <w:t xml:space="preserve">37/2019, “Servicio de Transmisión de Mensajes por Televisión Nacional para la Comisión Ejecutiva Portuaria Autónoma (CEPA)”, aprobó las Bases de Libre Gestión y la lista corta de personas jurídicas a invitar para participar en este proceso.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Por medio de</w:t>
      </w:r>
      <w:r>
        <w:t xml:space="preserve"> notas referencia UACI-947/2019, de fecha 30 de agosto de 2019, se invitó a participar </w:t>
      </w:r>
      <w:proofErr w:type="gramStart"/>
      <w:r>
        <w:t>en</w:t>
      </w:r>
      <w:proofErr w:type="gramEnd"/>
      <w:r>
        <w:t xml:space="preserve"> dicho proceso a las personas jurídicas de la lista corta autorizada por Junta Directiva, además de realizar en esa misma fecha la publicación de convocatoria de oport</w:t>
      </w:r>
      <w:r>
        <w:t xml:space="preserve">unidad de Libre Gestión por medio de COMPRASAL.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Las personas jurídicas invitadas por CEPA a participar, fueron las siguientes: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numPr>
          <w:ilvl w:val="0"/>
          <w:numId w:val="1"/>
        </w:numPr>
        <w:ind w:hanging="427"/>
      </w:pPr>
      <w:r>
        <w:t xml:space="preserve">INDESI, S.A. DE C.V. (GRUPO MEGAVISIÓN) </w:t>
      </w:r>
    </w:p>
    <w:p w:rsidR="00B8400F" w:rsidRDefault="00E94EB7">
      <w:pPr>
        <w:numPr>
          <w:ilvl w:val="0"/>
          <w:numId w:val="1"/>
        </w:numPr>
        <w:ind w:hanging="427"/>
      </w:pPr>
      <w:r>
        <w:t xml:space="preserve">CANAL DOCE DE TELEVISIÓN, S.A. DE C.V. </w:t>
      </w:r>
    </w:p>
    <w:p w:rsidR="00B8400F" w:rsidRDefault="00E94EB7">
      <w:pPr>
        <w:numPr>
          <w:ilvl w:val="0"/>
          <w:numId w:val="1"/>
        </w:numPr>
        <w:ind w:hanging="427"/>
      </w:pPr>
      <w:r>
        <w:t xml:space="preserve">CANAL DOS, S.A. DE C.V. </w:t>
      </w:r>
    </w:p>
    <w:p w:rsidR="00B8400F" w:rsidRDefault="00E94EB7">
      <w:pPr>
        <w:numPr>
          <w:ilvl w:val="0"/>
          <w:numId w:val="1"/>
        </w:numPr>
        <w:ind w:hanging="427"/>
      </w:pPr>
      <w:r>
        <w:t>YSU TELEVISIÓN, S</w:t>
      </w:r>
      <w:r>
        <w:t xml:space="preserve">.A. DE C.V. </w:t>
      </w:r>
    </w:p>
    <w:p w:rsidR="00B8400F" w:rsidRDefault="00E94EB7">
      <w:pPr>
        <w:numPr>
          <w:ilvl w:val="0"/>
          <w:numId w:val="1"/>
        </w:numPr>
        <w:ind w:hanging="427"/>
      </w:pPr>
      <w:r>
        <w:t xml:space="preserve">CANAL SEIS, S.A. DE C.V.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La asignación presupuestaria total para este proceso, es de US $64,500.00 sin incluir IVA.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La Recepción de Ofertas se programó para el 6 de septiembre de 2019, presentando ofertas las siguientes sociedades: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6522" w:type="dxa"/>
        <w:tblInd w:w="142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5389"/>
      </w:tblGrid>
      <w:tr w:rsidR="00B8400F">
        <w:trPr>
          <w:trHeight w:val="22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>N°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Ofertante </w:t>
            </w:r>
          </w:p>
        </w:tc>
      </w:tr>
      <w:tr w:rsidR="00B8400F">
        <w:trPr>
          <w:trHeight w:val="22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UDP TCS </w:t>
            </w:r>
          </w:p>
        </w:tc>
      </w:tr>
      <w:tr w:rsidR="00B8400F">
        <w:trPr>
          <w:trHeight w:val="22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CANAL 12 DE TELEVISIÓN, S.A. DE C.V. </w:t>
            </w:r>
          </w:p>
        </w:tc>
      </w:tr>
      <w:tr w:rsidR="00B8400F">
        <w:trPr>
          <w:trHeight w:val="22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INDESI, S.A. DE C.V. (GRUPO MEGAVISIÓN)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Se constató que ningún ofertante forma parte del listado de personas jurídicas inhabilitadas o incapacitadas por la Unidad Normativa de Adquisiciones y Contrataciones de la Administración Pública (UNAC).  </w:t>
      </w:r>
    </w:p>
    <w:p w:rsidR="00B8400F" w:rsidRDefault="00E94EB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B8400F">
      <w:pPr>
        <w:sectPr w:rsidR="00B8400F">
          <w:headerReference w:type="even" r:id="rId7"/>
          <w:headerReference w:type="default" r:id="rId8"/>
          <w:headerReference w:type="first" r:id="rId9"/>
          <w:pgSz w:w="12240" w:h="15840"/>
          <w:pgMar w:top="1389" w:right="1697" w:bottom="1666" w:left="1702" w:header="720" w:footer="720" w:gutter="0"/>
          <w:cols w:space="720"/>
          <w:titlePg/>
        </w:sectPr>
      </w:pPr>
    </w:p>
    <w:p w:rsidR="00B8400F" w:rsidRDefault="00E94EB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B8400F" w:rsidRDefault="00E94EB7">
      <w:pPr>
        <w:pStyle w:val="Ttulo4"/>
        <w:ind w:left="-5"/>
      </w:pPr>
      <w:r>
        <w:t xml:space="preserve">II. OBJETIVO </w:t>
      </w:r>
    </w:p>
    <w:p w:rsidR="00B8400F" w:rsidRDefault="00E94EB7">
      <w:pPr>
        <w:spacing w:after="8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Adjudicar la Libre Gestión CEPA LG-</w:t>
      </w:r>
      <w:r>
        <w:t xml:space="preserve">37/2019, “Servicio de Transmisión de Mensajes por Televisión Nacional para la Comisión Ejecutiva Portuaria Autónoma (CEPA)”, a la UDP TCS, representada legalmente por Carlos Enrique Isaac </w:t>
      </w:r>
      <w:proofErr w:type="spellStart"/>
      <w:r>
        <w:t>Renderos</w:t>
      </w:r>
      <w:proofErr w:type="spellEnd"/>
      <w:r>
        <w:t xml:space="preserve"> Funes, hasta por un monto de US $64,500.00 sin incluir IVA,</w:t>
      </w:r>
      <w:r>
        <w:t xml:space="preserve"> para un plazo contractual contado a partir de la orden de inicio hasta el 31 de diciembre de 2019.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0" w:line="259" w:lineRule="auto"/>
        <w:ind w:left="-5"/>
        <w:jc w:val="left"/>
      </w:pPr>
      <w:r>
        <w:rPr>
          <w:b/>
        </w:rPr>
        <w:t xml:space="preserve">III. CONTENIDO DEL PUNTO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pStyle w:val="Ttulo3"/>
        <w:ind w:left="-5"/>
      </w:pPr>
      <w:r>
        <w:t>FACTORES DE EVALUACIÓN</w:t>
      </w:r>
      <w:r>
        <w:rPr>
          <w:u w:val="none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El solicitante verificó el cumplimiento de la presentación de los Datos Generales de los ofertantes</w:t>
      </w:r>
      <w:r>
        <w:t>, la Declaración Jurada, la Solvencia tributaria y el Testimonio de Escritura Pública de Constitución de la sociedad, debidamente inscrita en el Registro de Comercio del Centro Nacional de Registros (CNR); requeridos en los numerales 8.1 y 8.2 de la Secció</w:t>
      </w:r>
      <w:r>
        <w:t xml:space="preserve">n I de las Bases, no encontrando ningún documento a subsanar.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Según lo anterior, se obtuvo el siguiente resultado: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29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3646"/>
        <w:gridCol w:w="2693"/>
        <w:gridCol w:w="2029"/>
      </w:tblGrid>
      <w:tr w:rsidR="00B8400F">
        <w:trPr>
          <w:trHeight w:val="1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4"/>
              </w:rPr>
              <w:t xml:space="preserve">N°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Ofertante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4"/>
              </w:rPr>
              <w:t xml:space="preserve">Datos Generales del Ofertante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Documentos Legales </w:t>
            </w:r>
          </w:p>
        </w:tc>
      </w:tr>
      <w:tr w:rsidR="00B8400F">
        <w:trPr>
          <w:trHeight w:val="1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1.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UDP TCS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  <w:tr w:rsidR="00B8400F">
        <w:trPr>
          <w:trHeight w:val="1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2.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CANAL 12 DE TELEVISIÓN, S.A. DE C.V.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  <w:tr w:rsidR="00B8400F">
        <w:trPr>
          <w:trHeight w:val="17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3.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INDESI, S.A. DE C.V. (GRUPO MEGAVISIÓN)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8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pStyle w:val="Ttulo3"/>
        <w:ind w:left="-5"/>
      </w:pPr>
      <w:r>
        <w:t>EVALUACIÓN TÉCNICA</w:t>
      </w:r>
      <w:r>
        <w:rPr>
          <w:u w:val="none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El solicitante del servicio </w:t>
      </w:r>
      <w:r>
        <w:t xml:space="preserve">procedió a verificar el cumplimiento de los documentos técnicos, según lo establecido en los numerales 8.3 de la Sección I y 2.1 de la Sección II, de las Bases de Libre Gestión.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El resultado de la evaluación técnica es el siguiente: </w:t>
      </w:r>
    </w:p>
    <w:p w:rsidR="00B8400F" w:rsidRDefault="00E94EB7">
      <w:pPr>
        <w:spacing w:after="2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B8400F" w:rsidRDefault="00E94EB7">
      <w:pPr>
        <w:spacing w:after="0" w:line="259" w:lineRule="auto"/>
        <w:ind w:left="-5"/>
        <w:jc w:val="left"/>
      </w:pPr>
      <w:r>
        <w:rPr>
          <w:b/>
        </w:rPr>
        <w:t xml:space="preserve">Presentación de Carta Compromiso: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905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6"/>
        <w:gridCol w:w="4768"/>
        <w:gridCol w:w="3663"/>
      </w:tblGrid>
      <w:tr w:rsidR="00B8400F">
        <w:trPr>
          <w:trHeight w:val="1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4"/>
              </w:rPr>
              <w:t xml:space="preserve">N°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4"/>
              </w:rPr>
              <w:t xml:space="preserve">Ofertante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4"/>
              </w:rPr>
              <w:t xml:space="preserve">Carta Compromiso </w:t>
            </w:r>
          </w:p>
        </w:tc>
      </w:tr>
      <w:tr w:rsidR="00B8400F">
        <w:trPr>
          <w:trHeight w:val="1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1.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UDP TCS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  <w:tr w:rsidR="00B8400F">
        <w:trPr>
          <w:trHeight w:val="1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2.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CANAL 12 DE TELEVISIÓN, S.A. DE C.V.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  <w:tr w:rsidR="00B8400F">
        <w:trPr>
          <w:trHeight w:val="17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sz w:val="14"/>
              </w:rPr>
              <w:t xml:space="preserve">3.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INDESI, S.A. DE C.V. (GRUPO MEGAVISIÓN)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3" w:firstLine="0"/>
              <w:jc w:val="center"/>
            </w:pPr>
            <w:r>
              <w:rPr>
                <w:sz w:val="14"/>
              </w:rPr>
              <w:t xml:space="preserve">CUMPLE </w:t>
            </w:r>
          </w:p>
        </w:tc>
      </w:tr>
    </w:tbl>
    <w:p w:rsidR="00B8400F" w:rsidRDefault="00E94EB7">
      <w:pPr>
        <w:spacing w:after="29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B8400F" w:rsidRDefault="00E94EB7">
      <w:pPr>
        <w:spacing w:after="0" w:line="259" w:lineRule="auto"/>
        <w:ind w:left="-5"/>
        <w:jc w:val="left"/>
      </w:pPr>
      <w:r>
        <w:rPr>
          <w:b/>
        </w:rPr>
        <w:t xml:space="preserve">Evaluación Técnica con Asignación de Puntaje (100 puntos): </w:t>
      </w:r>
    </w:p>
    <w:p w:rsidR="00B8400F" w:rsidRDefault="00E94EB7">
      <w:pPr>
        <w:spacing w:after="3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B8400F" w:rsidRDefault="00E94EB7">
      <w:pPr>
        <w:pStyle w:val="Ttulo3"/>
        <w:ind w:left="-5"/>
      </w:pPr>
      <w:r>
        <w:t>UDP TCS</w:t>
      </w:r>
      <w:r>
        <w:rPr>
          <w:u w:val="none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108" w:type="dxa"/>
          <w:bottom w:w="6" w:type="dxa"/>
          <w:right w:w="1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1863"/>
      </w:tblGrid>
      <w:tr w:rsidR="00B8400F">
        <w:trPr>
          <w:trHeight w:val="37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</w:pPr>
            <w:r>
              <w:rPr>
                <w:b/>
                <w:sz w:val="15"/>
              </w:rPr>
              <w:t xml:space="preserve">CANALES O FRECUENCIAS AUTORIZADAS  PARA TRANSMISION EN TV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5"/>
              </w:rPr>
              <w:t xml:space="preserve">CUMPLE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15"/>
              </w:rPr>
              <w:t xml:space="preserve">NO CUMPLE </w:t>
            </w:r>
          </w:p>
        </w:tc>
      </w:tr>
      <w:tr w:rsidR="00B8400F">
        <w:trPr>
          <w:trHeight w:val="116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2" w:line="246" w:lineRule="auto"/>
              <w:ind w:left="0" w:firstLine="0"/>
            </w:pPr>
            <w:r>
              <w:rPr>
                <w:sz w:val="14"/>
              </w:rPr>
              <w:lastRenderedPageBreak/>
              <w:t xml:space="preserve">Copia certificada del título de concesión de frecuencia de TV emitida por la SIGET con cobertura nacional. </w:t>
            </w:r>
          </w:p>
          <w:p w:rsidR="00B8400F" w:rsidRDefault="00E94EB7">
            <w:pPr>
              <w:numPr>
                <w:ilvl w:val="0"/>
                <w:numId w:val="2"/>
              </w:numPr>
              <w:spacing w:after="0" w:line="259" w:lineRule="auto"/>
              <w:ind w:firstLine="360"/>
              <w:jc w:val="left"/>
            </w:pPr>
            <w:r>
              <w:rPr>
                <w:sz w:val="14"/>
              </w:rPr>
              <w:t xml:space="preserve">Un Título de concesión de una frecuencia       5 puntos  </w:t>
            </w:r>
          </w:p>
          <w:p w:rsidR="00B8400F" w:rsidRDefault="00E94EB7">
            <w:pPr>
              <w:numPr>
                <w:ilvl w:val="0"/>
                <w:numId w:val="2"/>
              </w:numPr>
              <w:spacing w:after="0" w:line="259" w:lineRule="auto"/>
              <w:ind w:firstLine="360"/>
              <w:jc w:val="left"/>
            </w:pPr>
            <w:r>
              <w:rPr>
                <w:sz w:val="14"/>
              </w:rPr>
              <w:t xml:space="preserve">2 Títulos de concesión frecuencia                   10 puntos  </w:t>
            </w:r>
          </w:p>
          <w:p w:rsidR="00B8400F" w:rsidRDefault="00E94EB7">
            <w:pPr>
              <w:numPr>
                <w:ilvl w:val="0"/>
                <w:numId w:val="2"/>
              </w:numPr>
              <w:spacing w:after="0" w:line="259" w:lineRule="auto"/>
              <w:ind w:firstLine="360"/>
              <w:jc w:val="left"/>
            </w:pPr>
            <w:r>
              <w:rPr>
                <w:sz w:val="14"/>
              </w:rPr>
              <w:t xml:space="preserve">3 Títulos de concesión frecuencia                   20 puntos  </w:t>
            </w:r>
          </w:p>
          <w:p w:rsidR="00B8400F" w:rsidRDefault="00E94EB7">
            <w:pPr>
              <w:numPr>
                <w:ilvl w:val="0"/>
                <w:numId w:val="2"/>
              </w:numPr>
              <w:spacing w:after="0" w:line="259" w:lineRule="auto"/>
              <w:ind w:firstLine="360"/>
              <w:jc w:val="left"/>
            </w:pPr>
            <w:r>
              <w:rPr>
                <w:sz w:val="14"/>
              </w:rPr>
              <w:t>4 Títulos de concesión de frecuencia              25 puntos</w:t>
            </w:r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 xml:space="preserve">Presenta ( 4) Canal 2, YSU TV Canal 4, Canal 6, Canal 35  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B8400F" w:rsidRDefault="00E94EB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14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14"/>
              </w:rPr>
              <w:t xml:space="preserve">( 25  PUNTOS)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</w:rPr>
              <w:t xml:space="preserve">  </w:t>
            </w:r>
          </w:p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4"/>
              </w:rPr>
              <w:t xml:space="preserve">  </w:t>
            </w:r>
          </w:p>
        </w:tc>
      </w:tr>
      <w:tr w:rsidR="00B8400F">
        <w:trPr>
          <w:trHeight w:val="175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14"/>
              </w:rPr>
              <w:t xml:space="preserve">PUNTAJE TOTAL FRECUENCIAS AUTORIZADAS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99" w:firstLine="0"/>
              <w:jc w:val="right"/>
            </w:pPr>
            <w:r>
              <w:rPr>
                <w:b/>
                <w:sz w:val="14"/>
              </w:rPr>
              <w:t xml:space="preserve">25 PUNTOS 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17" w:type="dxa"/>
          <w:bottom w:w="6" w:type="dxa"/>
          <w:right w:w="68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427"/>
        <w:gridCol w:w="1436"/>
      </w:tblGrid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16"/>
              </w:rPr>
              <w:t xml:space="preserve">COBERTURA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166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91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8400F" w:rsidRDefault="00E94EB7">
            <w:pPr>
              <w:spacing w:after="12" w:line="244" w:lineRule="auto"/>
              <w:ind w:left="91" w:right="45" w:firstLine="0"/>
            </w:pPr>
            <w:r>
              <w:rPr>
                <w:sz w:val="16"/>
              </w:rPr>
              <w:t xml:space="preserve">Copia certificada del documento emitido por la Superintendencia General de Electricidad y Telecomunicaciones (SIGET) que indique el nivel de cobertura nacional. </w:t>
            </w:r>
          </w:p>
          <w:p w:rsidR="00B8400F" w:rsidRDefault="00E94EB7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rPr>
                <w:sz w:val="16"/>
              </w:rPr>
              <w:t xml:space="preserve">Cobertura nacional (todo el territorio)                           35 puntos </w:t>
            </w:r>
          </w:p>
          <w:p w:rsidR="00B8400F" w:rsidRDefault="00E94EB7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rPr>
                <w:sz w:val="16"/>
              </w:rPr>
              <w:t>Cobertura parcial (occidental y/o central y/</w:t>
            </w:r>
            <w:proofErr w:type="spellStart"/>
            <w:r>
              <w:rPr>
                <w:sz w:val="16"/>
              </w:rPr>
              <w:t>o</w:t>
            </w:r>
            <w:proofErr w:type="spellEnd"/>
            <w:r>
              <w:rPr>
                <w:sz w:val="16"/>
              </w:rPr>
              <w:t xml:space="preserve"> oriental)  10 puntos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(35 PUNTOS)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16"/>
              </w:rPr>
              <w:t xml:space="preserve">PUNTAJE TOTAL EN COBERTURA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16"/>
              </w:rPr>
              <w:t xml:space="preserve">35 PUNTOS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16"/>
              </w:rPr>
              <w:t xml:space="preserve">ESTUDIO DE OPINIÓN PÚBLICA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962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1" w:line="246" w:lineRule="auto"/>
              <w:ind w:left="91" w:right="42" w:firstLine="0"/>
            </w:pPr>
            <w:r>
              <w:rPr>
                <w:sz w:val="16"/>
              </w:rPr>
              <w:t xml:space="preserve">Presentar un estudio reciente (de no más de 6 meses) realizado </w:t>
            </w:r>
            <w:r>
              <w:rPr>
                <w:b/>
                <w:sz w:val="16"/>
              </w:rPr>
              <w:t>por una firma ajena y sin vínculos al medio</w:t>
            </w:r>
            <w:r>
              <w:rPr>
                <w:sz w:val="16"/>
              </w:rPr>
              <w:t xml:space="preserve"> o frecuencia participante que indique ( 10 Puntos) :  </w:t>
            </w:r>
          </w:p>
          <w:p w:rsidR="00B8400F" w:rsidRDefault="00E94EB7">
            <w:pPr>
              <w:spacing w:after="0" w:line="259" w:lineRule="auto"/>
              <w:ind w:left="679" w:hanging="228"/>
              <w:jc w:val="left"/>
            </w:pPr>
            <w:r>
              <w:rPr>
                <w:rFonts w:ascii="Wingdings" w:eastAsia="Wingdings" w:hAnsi="Wingdings" w:cs="Wingdings"/>
                <w:sz w:val="16"/>
              </w:rPr>
              <w:t>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Rating de los programas con mayor audiencia, incluyendo los horarios.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9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B8400F" w:rsidRDefault="00E94EB7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16"/>
              </w:rPr>
              <w:t xml:space="preserve">(10 PUNTOS) </w:t>
            </w:r>
          </w:p>
          <w:p w:rsidR="00B8400F" w:rsidRDefault="00E94EB7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16"/>
              </w:rPr>
              <w:t xml:space="preserve">PUNTAJE DE PRESENTACIÓN DE ESTUDIO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16"/>
              </w:rPr>
              <w:t xml:space="preserve">10 PUNTOS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810"/>
        <w:gridCol w:w="2112"/>
        <w:gridCol w:w="459"/>
        <w:gridCol w:w="1436"/>
      </w:tblGrid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PROPUESTA DE PROGRAMACIÓN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97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44" w:lineRule="auto"/>
              <w:ind w:left="108" w:firstLine="0"/>
            </w:pPr>
            <w:r>
              <w:rPr>
                <w:sz w:val="16"/>
              </w:rPr>
              <w:t>Presentar portafolio de la programación disponible (</w:t>
            </w:r>
            <w:r>
              <w:rPr>
                <w:b/>
                <w:sz w:val="16"/>
              </w:rPr>
              <w:t xml:space="preserve">según su medio </w:t>
            </w:r>
            <w:r>
              <w:rPr>
                <w:sz w:val="16"/>
              </w:rPr>
              <w:t xml:space="preserve">o la frecuencia) que presente mayor rating, debe incluir su franja de </w:t>
            </w:r>
          </w:p>
          <w:p w:rsidR="00B8400F" w:rsidRDefault="00E94EB7">
            <w:pPr>
              <w:spacing w:after="1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horarios más vistos, según y su frecuencia y tarifas </w:t>
            </w:r>
          </w:p>
          <w:p w:rsidR="00B8400F" w:rsidRDefault="00E94EB7">
            <w:pPr>
              <w:numPr>
                <w:ilvl w:val="0"/>
                <w:numId w:val="4"/>
              </w:numPr>
              <w:spacing w:after="0" w:line="259" w:lineRule="auto"/>
              <w:ind w:hanging="118"/>
              <w:jc w:val="left"/>
            </w:pPr>
            <w:r>
              <w:rPr>
                <w:sz w:val="16"/>
              </w:rPr>
              <w:t xml:space="preserve">Programación Nacional                 10 puntos </w:t>
            </w:r>
          </w:p>
          <w:p w:rsidR="00B8400F" w:rsidRDefault="00E94EB7">
            <w:pPr>
              <w:numPr>
                <w:ilvl w:val="0"/>
                <w:numId w:val="4"/>
              </w:numPr>
              <w:spacing w:after="0" w:line="259" w:lineRule="auto"/>
              <w:ind w:hanging="118"/>
              <w:jc w:val="left"/>
            </w:pPr>
            <w:r>
              <w:rPr>
                <w:sz w:val="16"/>
              </w:rPr>
              <w:t xml:space="preserve">Programación Internacional          15 puntos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 xml:space="preserve">(15 PUNTOS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80" w:firstLine="0"/>
              <w:jc w:val="right"/>
            </w:pPr>
            <w:r>
              <w:rPr>
                <w:b/>
                <w:sz w:val="16"/>
              </w:rPr>
              <w:t xml:space="preserve">PUNTAJE TOTAL  DE  PROGRAMACIÓN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112" w:firstLine="0"/>
              <w:jc w:val="right"/>
            </w:pPr>
            <w:r>
              <w:rPr>
                <w:b/>
                <w:sz w:val="16"/>
              </w:rPr>
              <w:t xml:space="preserve">15 PUNTOS 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EXPERIENCIA DEL OFERTANTE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CUMPLE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33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2" w:line="244" w:lineRule="auto"/>
              <w:ind w:left="108" w:right="86" w:firstLine="0"/>
            </w:pPr>
            <w:r>
              <w:rPr>
                <w:sz w:val="16"/>
              </w:rPr>
              <w:t xml:space="preserve">Presentación de documentos de referencia de haber brindado servicios similares, emitidos por instituciones públicas o privados cuyos montos no sean menores a US $100,000.00 válidos.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Presenta     </w:t>
            </w:r>
            <w:r>
              <w:rPr>
                <w:sz w:val="16"/>
              </w:rPr>
              <w:t xml:space="preserve">3 documentos : 10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2 documentos :  5 Puntos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1 documento:     3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( 3 documentos CAPRES, BANDESAL, LNB Y CEL)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 xml:space="preserve">(10 PUNTOS)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82" w:firstLine="0"/>
              <w:jc w:val="right"/>
            </w:pPr>
            <w:r>
              <w:rPr>
                <w:b/>
                <w:sz w:val="16"/>
              </w:rPr>
              <w:t xml:space="preserve">PUNTAJE TOTAL DE EXPERIENCIA 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112" w:firstLine="0"/>
              <w:jc w:val="right"/>
            </w:pPr>
            <w:r>
              <w:rPr>
                <w:b/>
                <w:sz w:val="16"/>
              </w:rPr>
              <w:t xml:space="preserve">10 PUNTOS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 xml:space="preserve">VALORES AGREGADOS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882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lastRenderedPageBreak/>
              <w:t xml:space="preserve">Espacios de Opinión Pública </w:t>
            </w:r>
          </w:p>
          <w:p w:rsidR="00B8400F" w:rsidRDefault="00E94EB7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 xml:space="preserve">Cortinas y/o Cintillos en programas </w:t>
            </w:r>
          </w:p>
          <w:p w:rsidR="00B8400F" w:rsidRDefault="00E94EB7">
            <w:pPr>
              <w:numPr>
                <w:ilvl w:val="0"/>
                <w:numId w:val="5"/>
              </w:numPr>
              <w:spacing w:after="0" w:line="227" w:lineRule="auto"/>
              <w:ind w:firstLine="0"/>
              <w:jc w:val="left"/>
            </w:pPr>
            <w:r>
              <w:rPr>
                <w:sz w:val="16"/>
              </w:rPr>
              <w:t xml:space="preserve">Cualquier otro valor agregado vinculado al plan de la programación en beneficio de la programación que CEPA que su medio designe. </w:t>
            </w: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6"/>
              </w:rPr>
              <w:t xml:space="preserve">Cobertura del medio CEPA en eventos.  </w:t>
            </w:r>
          </w:p>
          <w:p w:rsidR="00B8400F" w:rsidRDefault="00E94EB7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Posicionar a CEPA e</w:t>
            </w:r>
            <w:r>
              <w:rPr>
                <w:sz w:val="16"/>
              </w:rPr>
              <w:t xml:space="preserve">n sus plataformas digitales, o algún otro medio de difusión ( 5 puntos)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 xml:space="preserve">Cumple  </w:t>
            </w:r>
          </w:p>
          <w:p w:rsidR="00B8400F" w:rsidRDefault="00E94EB7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16"/>
              </w:rPr>
              <w:t xml:space="preserve">( 5 Puntos) 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82" w:firstLine="0"/>
              <w:jc w:val="right"/>
            </w:pPr>
            <w:r>
              <w:rPr>
                <w:b/>
                <w:sz w:val="16"/>
              </w:rPr>
              <w:t xml:space="preserve">PUNTAJE TOTAL VALORES AGREGADOS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153" w:firstLine="0"/>
              <w:jc w:val="right"/>
            </w:pPr>
            <w:r>
              <w:rPr>
                <w:b/>
                <w:sz w:val="16"/>
              </w:rPr>
              <w:t xml:space="preserve">5 PUNTOS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  <w:tr w:rsidR="00B8400F">
        <w:trPr>
          <w:trHeight w:val="19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16"/>
              </w:rPr>
              <w:t xml:space="preserve">PUNTAJE FINAL OBTENIDO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16"/>
              </w:rPr>
              <w:t xml:space="preserve"> 100 PUNTOS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8400F" w:rsidRDefault="00E94EB7">
      <w:pPr>
        <w:spacing w:after="0" w:line="259" w:lineRule="auto"/>
        <w:ind w:left="-5"/>
        <w:jc w:val="left"/>
      </w:pPr>
      <w:r>
        <w:rPr>
          <w:b/>
          <w:sz w:val="20"/>
          <w:u w:val="single" w:color="000000"/>
        </w:rPr>
        <w:t>CANAL 12 DE TELEVISIÓN, S.A. DE C.V.</w:t>
      </w:r>
      <w:r>
        <w:rPr>
          <w:b/>
          <w:sz w:val="20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108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1863"/>
      </w:tblGrid>
      <w:tr w:rsidR="00B8400F">
        <w:trPr>
          <w:trHeight w:val="38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CANALES O FRECUENCIAS AUTORIZADAS  PARA TRANSMISION EN TV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33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2" w:line="245" w:lineRule="auto"/>
              <w:ind w:left="0" w:firstLine="0"/>
            </w:pPr>
            <w:r>
              <w:rPr>
                <w:sz w:val="16"/>
              </w:rPr>
              <w:t xml:space="preserve">Copia certificada del título de concesión de frecuencia de TV emitida por la SIGET con cobertura nacional. </w:t>
            </w:r>
          </w:p>
          <w:p w:rsidR="00B8400F" w:rsidRDefault="00E94EB7">
            <w:pPr>
              <w:numPr>
                <w:ilvl w:val="0"/>
                <w:numId w:val="6"/>
              </w:numPr>
              <w:spacing w:after="0" w:line="259" w:lineRule="auto"/>
              <w:ind w:right="134" w:firstLine="360"/>
              <w:jc w:val="center"/>
            </w:pPr>
            <w:r>
              <w:rPr>
                <w:sz w:val="16"/>
              </w:rPr>
              <w:t xml:space="preserve">Un Título de concesión de una frecuencia       5 puntos  </w:t>
            </w:r>
          </w:p>
          <w:p w:rsidR="00B8400F" w:rsidRDefault="00E94EB7">
            <w:pPr>
              <w:numPr>
                <w:ilvl w:val="0"/>
                <w:numId w:val="6"/>
              </w:numPr>
              <w:spacing w:after="0" w:line="259" w:lineRule="auto"/>
              <w:ind w:right="134" w:firstLine="360"/>
              <w:jc w:val="center"/>
            </w:pPr>
            <w:r>
              <w:rPr>
                <w:sz w:val="16"/>
              </w:rPr>
              <w:t xml:space="preserve">2 Títulos de concesión frecuencia                   10 puntos  </w:t>
            </w:r>
          </w:p>
          <w:p w:rsidR="00B8400F" w:rsidRDefault="00E94EB7">
            <w:pPr>
              <w:numPr>
                <w:ilvl w:val="0"/>
                <w:numId w:val="6"/>
              </w:numPr>
              <w:spacing w:after="0" w:line="259" w:lineRule="auto"/>
              <w:ind w:right="134" w:firstLine="360"/>
              <w:jc w:val="center"/>
            </w:pPr>
            <w:r>
              <w:rPr>
                <w:sz w:val="16"/>
              </w:rPr>
              <w:t xml:space="preserve">3 Títulos de concesión frecuencia                   20 puntos  </w:t>
            </w:r>
            <w:r>
              <w:rPr>
                <w:rFonts w:ascii="Wingdings" w:eastAsia="Wingdings" w:hAnsi="Wingdings" w:cs="Wingdings"/>
                <w:sz w:val="16"/>
              </w:rPr>
              <w:t>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>4 Títulos de concesión de frecuencia              25 puntos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Presenta 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B8400F" w:rsidRDefault="00E94EB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16"/>
              </w:rPr>
              <w:t xml:space="preserve">( 5 PUNTOS)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 </w:t>
            </w:r>
          </w:p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16"/>
              </w:rPr>
              <w:t xml:space="preserve">PUNTAJE TOTAL FRECUENCIAS AUTORIZADAS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124" w:firstLine="0"/>
              <w:jc w:val="right"/>
            </w:pPr>
            <w:r>
              <w:rPr>
                <w:b/>
                <w:sz w:val="16"/>
              </w:rPr>
              <w:t xml:space="preserve"> PUNTOS 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0" w:type="dxa"/>
          <w:bottom w:w="6" w:type="dxa"/>
          <w:right w:w="68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444"/>
        <w:gridCol w:w="1419"/>
      </w:tblGrid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COBERTURA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356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8400F" w:rsidRDefault="00E94EB7">
            <w:pPr>
              <w:spacing w:after="13" w:line="244" w:lineRule="auto"/>
              <w:ind w:left="108" w:right="41" w:firstLine="0"/>
            </w:pPr>
            <w:r>
              <w:rPr>
                <w:sz w:val="16"/>
              </w:rPr>
              <w:t xml:space="preserve">Copia certificada del documento emitido por la Superintendencia General de Electricidad y Telecomunicaciones (SIGET) que indique el nivel de cobertura nacional. </w:t>
            </w:r>
          </w:p>
          <w:p w:rsidR="00B8400F" w:rsidRDefault="00E94EB7">
            <w:pPr>
              <w:numPr>
                <w:ilvl w:val="0"/>
                <w:numId w:val="7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 xml:space="preserve">Cobertura nacional (todo el territorio)  35 puntos </w:t>
            </w:r>
          </w:p>
          <w:p w:rsidR="00B8400F" w:rsidRDefault="00E94EB7">
            <w:pPr>
              <w:numPr>
                <w:ilvl w:val="0"/>
                <w:numId w:val="7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>Cobertura parcial (occidental y/o central y/</w:t>
            </w:r>
            <w:proofErr w:type="spellStart"/>
            <w:r>
              <w:rPr>
                <w:sz w:val="16"/>
              </w:rPr>
              <w:t>o</w:t>
            </w:r>
            <w:proofErr w:type="spellEnd"/>
            <w:r>
              <w:rPr>
                <w:sz w:val="16"/>
              </w:rPr>
              <w:t xml:space="preserve"> oriental) 10 puntos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16"/>
              </w:rPr>
              <w:t xml:space="preserve">(35 PUNTOS)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  <w:sz w:val="16"/>
              </w:rPr>
              <w:t xml:space="preserve">PUNTAJE TOTAL EN COBERTURA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81" w:firstLine="0"/>
              <w:jc w:val="right"/>
            </w:pPr>
            <w:r>
              <w:rPr>
                <w:b/>
                <w:sz w:val="16"/>
              </w:rPr>
              <w:t xml:space="preserve">35 PUNTOS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ESTUDIO DE OPINIÓN PÚBLICA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962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1" w:line="246" w:lineRule="auto"/>
              <w:ind w:left="108" w:right="42" w:firstLine="0"/>
            </w:pPr>
            <w:r>
              <w:rPr>
                <w:sz w:val="16"/>
              </w:rPr>
              <w:t xml:space="preserve">Presentar un estudio reciente (de no más de 6 meses) realizado </w:t>
            </w:r>
            <w:r>
              <w:rPr>
                <w:b/>
                <w:sz w:val="16"/>
              </w:rPr>
              <w:t>por una firma ajena y sin vínculos al medio</w:t>
            </w:r>
            <w:r>
              <w:rPr>
                <w:sz w:val="16"/>
              </w:rPr>
              <w:t xml:space="preserve"> o frecuencia participante que indique:  </w:t>
            </w:r>
          </w:p>
          <w:p w:rsidR="00B8400F" w:rsidRDefault="00E94EB7">
            <w:pPr>
              <w:spacing w:after="0" w:line="259" w:lineRule="auto"/>
              <w:ind w:left="696" w:hanging="228"/>
            </w:pPr>
            <w:r>
              <w:rPr>
                <w:rFonts w:ascii="Wingdings" w:eastAsia="Wingdings" w:hAnsi="Wingdings" w:cs="Wingdings"/>
                <w:sz w:val="16"/>
              </w:rPr>
              <w:t>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Rating de los programas con mayor audiencia, incluyendo los horarios (10 puntos).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B8400F" w:rsidRDefault="00E94EB7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16"/>
              </w:rPr>
              <w:t xml:space="preserve">(10 PUNTOS)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48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16"/>
              </w:rPr>
              <w:t xml:space="preserve">PUNTAJE DE PRESENTACIÓN DE ESTUDIO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81" w:firstLine="0"/>
              <w:jc w:val="right"/>
            </w:pPr>
            <w:r>
              <w:rPr>
                <w:b/>
                <w:sz w:val="16"/>
              </w:rPr>
              <w:t xml:space="preserve">10 PUNTOS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0" w:type="dxa"/>
          <w:bottom w:w="6" w:type="dxa"/>
          <w:right w:w="1" w:type="dxa"/>
        </w:tblCellMar>
        <w:tblLook w:val="04A0" w:firstRow="1" w:lastRow="0" w:firstColumn="1" w:lastColumn="0" w:noHBand="0" w:noVBand="1"/>
      </w:tblPr>
      <w:tblGrid>
        <w:gridCol w:w="5030"/>
        <w:gridCol w:w="1466"/>
        <w:gridCol w:w="427"/>
        <w:gridCol w:w="1894"/>
      </w:tblGrid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PROPUESTA DE PROGRAMACIÓN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16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13" w:line="244" w:lineRule="auto"/>
              <w:ind w:left="108" w:right="109" w:firstLine="0"/>
            </w:pPr>
            <w:r>
              <w:rPr>
                <w:sz w:val="16"/>
              </w:rPr>
              <w:lastRenderedPageBreak/>
              <w:t>Presentar portafolio de la programación disponible (</w:t>
            </w:r>
            <w:r>
              <w:rPr>
                <w:b/>
                <w:sz w:val="16"/>
              </w:rPr>
              <w:t xml:space="preserve">según su medio </w:t>
            </w:r>
            <w:r>
              <w:rPr>
                <w:sz w:val="16"/>
              </w:rPr>
              <w:t xml:space="preserve">o la frecuencia) que presente mayor rating, debe incluir su franja de horarios más vistos, según y su frecuencia y tarifas </w:t>
            </w:r>
          </w:p>
          <w:p w:rsidR="00B8400F" w:rsidRDefault="00E94EB7">
            <w:pPr>
              <w:numPr>
                <w:ilvl w:val="0"/>
                <w:numId w:val="8"/>
              </w:numPr>
              <w:spacing w:after="0" w:line="259" w:lineRule="auto"/>
              <w:ind w:right="1418" w:firstLine="427"/>
              <w:jc w:val="left"/>
            </w:pPr>
            <w:r>
              <w:rPr>
                <w:sz w:val="16"/>
              </w:rPr>
              <w:t xml:space="preserve">Programación Nacional 10 puntos </w:t>
            </w:r>
          </w:p>
          <w:p w:rsidR="00B8400F" w:rsidRDefault="00E94EB7">
            <w:pPr>
              <w:numPr>
                <w:ilvl w:val="0"/>
                <w:numId w:val="8"/>
              </w:numPr>
              <w:spacing w:after="0" w:line="259" w:lineRule="auto"/>
              <w:ind w:right="1418" w:firstLine="427"/>
              <w:jc w:val="left"/>
            </w:pPr>
            <w:r>
              <w:rPr>
                <w:sz w:val="16"/>
              </w:rPr>
              <w:t xml:space="preserve">Programación Internacional 15 puntos Solo ofrece para canal 12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  <w:sz w:val="16"/>
              </w:rPr>
              <w:t xml:space="preserve">(15 PUNTOS)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16"/>
              </w:rPr>
              <w:t xml:space="preserve">PUNTAJE TOTAL  DE  PROGRAMACIÓN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15 PUNTOS 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EXPERIENCIA DEL OFERTANTE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52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45" w:lineRule="auto"/>
              <w:ind w:left="108" w:right="112" w:firstLine="0"/>
            </w:pPr>
            <w:r>
              <w:rPr>
                <w:sz w:val="16"/>
              </w:rPr>
              <w:t xml:space="preserve">Presentación de documentos de referencia de haber brindado servicios similares, emitidos por instituciones públicas o privados cuyos montos no sean menores a US $100,000.00 válidos. </w:t>
            </w:r>
            <w:r>
              <w:rPr>
                <w:b/>
                <w:sz w:val="16"/>
              </w:rPr>
              <w:t xml:space="preserve">Presenta     </w:t>
            </w:r>
            <w:r>
              <w:rPr>
                <w:sz w:val="16"/>
              </w:rPr>
              <w:t xml:space="preserve">3 documentos : 10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2 documentos :</w:t>
            </w:r>
            <w:r>
              <w:rPr>
                <w:sz w:val="16"/>
              </w:rPr>
              <w:t xml:space="preserve">  5 Puntos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1 documento:     3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Partido GANA, Mobile SA, Inversiones Velásquez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  <w:sz w:val="16"/>
              </w:rPr>
              <w:t xml:space="preserve">(10 PUNTOS)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9" w:firstLine="0"/>
              <w:jc w:val="right"/>
            </w:pPr>
            <w:r>
              <w:rPr>
                <w:b/>
                <w:sz w:val="16"/>
              </w:rPr>
              <w:t xml:space="preserve">PUNTAJE TOTAL DE EXPERIENCIA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 PUNTOS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VALORES AGREGADOS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88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 xml:space="preserve">Espacios de Opinión Pública </w:t>
            </w:r>
          </w:p>
          <w:p w:rsidR="00B8400F" w:rsidRDefault="00E94EB7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 xml:space="preserve">Cortinas y/o Cintillos en programas </w:t>
            </w:r>
          </w:p>
          <w:p w:rsidR="00B8400F" w:rsidRDefault="00E94EB7">
            <w:pPr>
              <w:numPr>
                <w:ilvl w:val="0"/>
                <w:numId w:val="9"/>
              </w:numPr>
              <w:spacing w:after="0" w:line="227" w:lineRule="auto"/>
              <w:ind w:firstLine="0"/>
              <w:jc w:val="left"/>
            </w:pPr>
            <w:r>
              <w:rPr>
                <w:sz w:val="16"/>
              </w:rPr>
              <w:t xml:space="preserve">Cualquier otro valor agregado vinculado al plan de la programación en beneficio de la programación que CEPA que su medio designe. </w:t>
            </w: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6"/>
              </w:rPr>
              <w:t xml:space="preserve">Cobertura del medio CEPA en eventos.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Posicionar a CEPA en sus plataformas digitales, o algún otro medio de difusión.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400F" w:rsidRDefault="00E94EB7">
            <w:pPr>
              <w:spacing w:after="0" w:line="259" w:lineRule="auto"/>
              <w:ind w:left="46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9" w:firstLine="0"/>
              <w:jc w:val="right"/>
            </w:pPr>
            <w:r>
              <w:rPr>
                <w:b/>
                <w:sz w:val="16"/>
              </w:rPr>
              <w:t xml:space="preserve">PUNTAJE TOTAL VALORES AGREGADOS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sz w:val="16"/>
              </w:rPr>
              <w:t xml:space="preserve">0 PUNTOS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6"/>
              </w:rPr>
              <w:t xml:space="preserve">PUNTAJE FINAL OBTENIDO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75 PUNTOS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8400F" w:rsidRDefault="00E94EB7">
      <w:pPr>
        <w:spacing w:after="0" w:line="259" w:lineRule="auto"/>
        <w:ind w:left="-5"/>
        <w:jc w:val="left"/>
      </w:pPr>
      <w:r>
        <w:rPr>
          <w:b/>
          <w:sz w:val="20"/>
          <w:u w:val="single" w:color="000000"/>
        </w:rPr>
        <w:t>INDESI, S.A. DE C.V. (GRUPO MEGAVISIÓN)</w:t>
      </w:r>
      <w:r>
        <w:rPr>
          <w:b/>
          <w:sz w:val="20"/>
        </w:rP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108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1863"/>
      </w:tblGrid>
      <w:tr w:rsidR="00B8400F">
        <w:trPr>
          <w:trHeight w:val="38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CANALES O FRECUENCIAS AUTORIZADAS  PARA TRANSMISIÓN EN TV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337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3" w:line="244" w:lineRule="auto"/>
              <w:ind w:left="0" w:firstLine="0"/>
            </w:pPr>
            <w:r>
              <w:rPr>
                <w:sz w:val="16"/>
              </w:rPr>
              <w:t xml:space="preserve">Copia certificada del título de concesión de frecuencia de TV emitida por la SIGET con cobertura nacional. </w:t>
            </w:r>
          </w:p>
          <w:p w:rsidR="00B8400F" w:rsidRDefault="00E94EB7">
            <w:pPr>
              <w:numPr>
                <w:ilvl w:val="0"/>
                <w:numId w:val="10"/>
              </w:numPr>
              <w:spacing w:after="0" w:line="259" w:lineRule="auto"/>
              <w:ind w:right="84" w:firstLine="360"/>
              <w:jc w:val="center"/>
            </w:pPr>
            <w:r>
              <w:rPr>
                <w:sz w:val="16"/>
              </w:rPr>
              <w:t xml:space="preserve">Un Título de concesión de una frecuencia       5 puntos  </w:t>
            </w:r>
          </w:p>
          <w:p w:rsidR="00B8400F" w:rsidRDefault="00E94EB7">
            <w:pPr>
              <w:numPr>
                <w:ilvl w:val="0"/>
                <w:numId w:val="10"/>
              </w:numPr>
              <w:spacing w:after="0" w:line="259" w:lineRule="auto"/>
              <w:ind w:right="84" w:firstLine="360"/>
              <w:jc w:val="center"/>
            </w:pPr>
            <w:r>
              <w:rPr>
                <w:sz w:val="16"/>
              </w:rPr>
              <w:t xml:space="preserve">2 Títulos de concesión frecuencia                   10 puntos  </w:t>
            </w:r>
          </w:p>
          <w:p w:rsidR="00B8400F" w:rsidRDefault="00E94EB7">
            <w:pPr>
              <w:numPr>
                <w:ilvl w:val="0"/>
                <w:numId w:val="10"/>
              </w:numPr>
              <w:spacing w:after="0" w:line="259" w:lineRule="auto"/>
              <w:ind w:right="84" w:firstLine="360"/>
              <w:jc w:val="center"/>
            </w:pPr>
            <w:r>
              <w:rPr>
                <w:sz w:val="16"/>
              </w:rPr>
              <w:t xml:space="preserve">3 Títulos de concesión frecuencia                   20 puntos  </w:t>
            </w:r>
          </w:p>
          <w:p w:rsidR="00B8400F" w:rsidRDefault="00E94EB7">
            <w:pPr>
              <w:numPr>
                <w:ilvl w:val="0"/>
                <w:numId w:val="10"/>
              </w:numPr>
              <w:spacing w:after="0" w:line="259" w:lineRule="auto"/>
              <w:ind w:right="84" w:firstLine="360"/>
              <w:jc w:val="center"/>
            </w:pPr>
            <w:r>
              <w:rPr>
                <w:sz w:val="16"/>
              </w:rPr>
              <w:t>4 Títulos de concesión de frecuencia              25 puntos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Presenta (2) Títulos canal 21 y canal 19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16"/>
              </w:rPr>
              <w:t xml:space="preserve">( 10 PUNTOS)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 </w:t>
            </w:r>
          </w:p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16"/>
              </w:rPr>
              <w:t xml:space="preserve">PUNTAJE TOTAL FRECUENCIAS AUTORIZADAS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0" w:right="124" w:firstLine="0"/>
              <w:jc w:val="right"/>
            </w:pPr>
            <w:r>
              <w:rPr>
                <w:b/>
                <w:sz w:val="16"/>
              </w:rPr>
              <w:t xml:space="preserve"> PUNTOS 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108" w:type="dxa"/>
          <w:bottom w:w="6" w:type="dxa"/>
          <w:right w:w="68" w:type="dxa"/>
        </w:tblCellMar>
        <w:tblLook w:val="04A0" w:firstRow="1" w:lastRow="0" w:firstColumn="1" w:lastColumn="0" w:noHBand="0" w:noVBand="1"/>
      </w:tblPr>
      <w:tblGrid>
        <w:gridCol w:w="4827"/>
        <w:gridCol w:w="2127"/>
        <w:gridCol w:w="1863"/>
      </w:tblGrid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COBERTURA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546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:rsidR="00B8400F" w:rsidRDefault="00E94EB7">
            <w:pPr>
              <w:spacing w:after="12" w:line="244" w:lineRule="auto"/>
              <w:ind w:left="0" w:right="44" w:firstLine="0"/>
            </w:pPr>
            <w:r>
              <w:rPr>
                <w:sz w:val="16"/>
              </w:rPr>
              <w:t xml:space="preserve">Copia certificada del documento emitido por la Superintendencia General de Electricidad y Telecomunicaciones (SIGET), que indique el nivel de cobertura nacional. </w:t>
            </w:r>
          </w:p>
          <w:p w:rsidR="00B8400F" w:rsidRDefault="00E94EB7">
            <w:pPr>
              <w:numPr>
                <w:ilvl w:val="0"/>
                <w:numId w:val="11"/>
              </w:numPr>
              <w:spacing w:after="8" w:line="250" w:lineRule="auto"/>
              <w:ind w:hanging="348"/>
              <w:jc w:val="left"/>
            </w:pPr>
            <w:r>
              <w:rPr>
                <w:sz w:val="16"/>
              </w:rPr>
              <w:t xml:space="preserve">Cobertura nacional (todo el territorio)                        35 puntos </w:t>
            </w:r>
          </w:p>
          <w:p w:rsidR="00B8400F" w:rsidRDefault="00E94EB7">
            <w:pPr>
              <w:numPr>
                <w:ilvl w:val="0"/>
                <w:numId w:val="11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>Cobertura parcial (occidental y/o central y/</w:t>
            </w:r>
            <w:proofErr w:type="spellStart"/>
            <w:r>
              <w:rPr>
                <w:sz w:val="16"/>
              </w:rPr>
              <w:t>o</w:t>
            </w:r>
            <w:proofErr w:type="spellEnd"/>
            <w:r>
              <w:rPr>
                <w:sz w:val="16"/>
              </w:rPr>
              <w:t xml:space="preserve"> oriental)   10 puntos.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(35 PUNTOS)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2" w:firstLine="0"/>
              <w:jc w:val="right"/>
            </w:pPr>
            <w:r>
              <w:rPr>
                <w:b/>
                <w:sz w:val="16"/>
              </w:rPr>
              <w:t xml:space="preserve">PUNTAJE TOTAL EN COBERTURA 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35 PUNTOS </w:t>
            </w:r>
          </w:p>
        </w:tc>
      </w:tr>
      <w:tr w:rsidR="00B8400F">
        <w:trPr>
          <w:trHeight w:val="199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ESTUDIO DE OPINIÓN PÚBLICA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962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1" w:line="246" w:lineRule="auto"/>
              <w:ind w:left="0" w:right="42" w:firstLine="0"/>
            </w:pPr>
            <w:r>
              <w:rPr>
                <w:sz w:val="16"/>
              </w:rPr>
              <w:t xml:space="preserve">Presentar un estudio reciente (de no más de 6 meses) realizado </w:t>
            </w:r>
            <w:r>
              <w:rPr>
                <w:b/>
                <w:sz w:val="16"/>
              </w:rPr>
              <w:t>por una firma ajena y sin vínculos al medio</w:t>
            </w:r>
            <w:r>
              <w:rPr>
                <w:sz w:val="16"/>
              </w:rPr>
              <w:t xml:space="preserve"> o frecuencia participante que indique:  </w:t>
            </w:r>
          </w:p>
          <w:p w:rsidR="00B8400F" w:rsidRDefault="00E94EB7">
            <w:pPr>
              <w:spacing w:after="0" w:line="259" w:lineRule="auto"/>
              <w:ind w:left="588" w:hanging="228"/>
            </w:pPr>
            <w:r>
              <w:rPr>
                <w:rFonts w:ascii="Wingdings" w:eastAsia="Wingdings" w:hAnsi="Wingdings" w:cs="Wingdings"/>
                <w:sz w:val="16"/>
              </w:rPr>
              <w:t>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 xml:space="preserve">Rating de los programas con mayor audiencia, incluyendo los horarios (10 puntos).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(10 PUNTOS)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00F" w:rsidRDefault="00E94EB7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2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16"/>
              </w:rPr>
              <w:t xml:space="preserve">PUNTAJE DE PRESENTACIÓN DE ESTUDIO 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10 PUNTOS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17" w:type="dxa"/>
        <w:tblInd w:w="12" w:type="dxa"/>
        <w:tblCellMar>
          <w:top w:w="13" w:type="dxa"/>
          <w:left w:w="0" w:type="dxa"/>
          <w:bottom w:w="6" w:type="dxa"/>
          <w:right w:w="1" w:type="dxa"/>
        </w:tblCellMar>
        <w:tblLook w:val="04A0" w:firstRow="1" w:lastRow="0" w:firstColumn="1" w:lastColumn="0" w:noHBand="0" w:noVBand="1"/>
      </w:tblPr>
      <w:tblGrid>
        <w:gridCol w:w="5030"/>
        <w:gridCol w:w="1466"/>
        <w:gridCol w:w="427"/>
        <w:gridCol w:w="1894"/>
      </w:tblGrid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PROPUESTA DE PROGRAMACIÓN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97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13" w:line="244" w:lineRule="auto"/>
              <w:ind w:left="108" w:right="109" w:firstLine="0"/>
            </w:pPr>
            <w:r>
              <w:rPr>
                <w:sz w:val="16"/>
              </w:rPr>
              <w:t>Presentar portafolio de la programación disponible (</w:t>
            </w:r>
            <w:r>
              <w:rPr>
                <w:b/>
                <w:sz w:val="16"/>
              </w:rPr>
              <w:t xml:space="preserve">según su medio </w:t>
            </w:r>
            <w:r>
              <w:rPr>
                <w:sz w:val="16"/>
              </w:rPr>
              <w:t xml:space="preserve">o la frecuencia) que presente mayor rating, debe incluir su franja de horarios más vistos, según y su frecuencia y tarifas </w:t>
            </w:r>
          </w:p>
          <w:p w:rsidR="00B8400F" w:rsidRDefault="00E94EB7">
            <w:pPr>
              <w:numPr>
                <w:ilvl w:val="0"/>
                <w:numId w:val="12"/>
              </w:numPr>
              <w:spacing w:after="0" w:line="259" w:lineRule="auto"/>
              <w:ind w:hanging="118"/>
              <w:jc w:val="left"/>
            </w:pPr>
            <w:r>
              <w:rPr>
                <w:sz w:val="16"/>
              </w:rPr>
              <w:t xml:space="preserve">Programación Nacional 10 puntos </w:t>
            </w:r>
          </w:p>
          <w:p w:rsidR="00B8400F" w:rsidRDefault="00E94EB7">
            <w:pPr>
              <w:numPr>
                <w:ilvl w:val="0"/>
                <w:numId w:val="12"/>
              </w:numPr>
              <w:spacing w:after="0" w:line="259" w:lineRule="auto"/>
              <w:ind w:hanging="118"/>
              <w:jc w:val="left"/>
            </w:pPr>
            <w:r>
              <w:rPr>
                <w:sz w:val="16"/>
              </w:rPr>
              <w:t xml:space="preserve">Programación Internacional 15 puntos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  <w:sz w:val="16"/>
              </w:rPr>
              <w:t xml:space="preserve">(15 PUNTOS)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16"/>
              </w:rPr>
              <w:t xml:space="preserve">PUNTAJE TOTAL  DE  PROGRAMACIÓN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15 PUNTOS 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16"/>
              </w:rPr>
              <w:t xml:space="preserve">EXPERIENCIA DEL OFERTANTE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33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45" w:lineRule="auto"/>
              <w:ind w:left="108" w:right="112" w:firstLine="0"/>
            </w:pPr>
            <w:r>
              <w:rPr>
                <w:sz w:val="16"/>
              </w:rPr>
              <w:t xml:space="preserve">Presentación de documentos de referencia de haber brindado servicios similares, emitidos por instituciones públicas o privados cuyos montos no sean menores a US $100,000.00 válidos. </w:t>
            </w:r>
            <w:r>
              <w:rPr>
                <w:b/>
                <w:sz w:val="16"/>
              </w:rPr>
              <w:t xml:space="preserve">Presenta     </w:t>
            </w:r>
            <w:r>
              <w:rPr>
                <w:sz w:val="16"/>
              </w:rPr>
              <w:t xml:space="preserve">3 documentos : 10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2 documentos :  5 Puntos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                   1 documento:     3 puntos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16"/>
              </w:rPr>
              <w:t>Lemusimún</w:t>
            </w:r>
            <w:proofErr w:type="spellEnd"/>
            <w:r>
              <w:rPr>
                <w:sz w:val="16"/>
              </w:rPr>
              <w:t xml:space="preserve">, ANLE, </w:t>
            </w:r>
            <w:proofErr w:type="spellStart"/>
            <w:r>
              <w:rPr>
                <w:sz w:val="16"/>
              </w:rPr>
              <w:t>FunMobil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  <w:p w:rsidR="00B8400F" w:rsidRDefault="00E94EB7">
            <w:pPr>
              <w:spacing w:after="0" w:line="259" w:lineRule="auto"/>
              <w:ind w:left="0" w:right="40" w:firstLine="0"/>
              <w:jc w:val="right"/>
            </w:pPr>
            <w:r>
              <w:rPr>
                <w:b/>
                <w:sz w:val="16"/>
              </w:rPr>
              <w:t xml:space="preserve">(10 PUNTOS)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200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9" w:firstLine="0"/>
              <w:jc w:val="right"/>
            </w:pPr>
            <w:r>
              <w:rPr>
                <w:b/>
                <w:sz w:val="16"/>
              </w:rPr>
              <w:t xml:space="preserve">PUNTAJE TOTAL DE EXPERIENCIA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10 PUNTOS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VALORES AGREGADOS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E94EB7">
            <w:pPr>
              <w:spacing w:after="0" w:line="259" w:lineRule="auto"/>
              <w:ind w:left="598" w:firstLine="0"/>
              <w:jc w:val="left"/>
            </w:pPr>
            <w:r>
              <w:rPr>
                <w:b/>
                <w:sz w:val="16"/>
              </w:rPr>
              <w:t xml:space="preserve">CUMPLE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</w:tc>
      </w:tr>
      <w:tr w:rsidR="00B8400F">
        <w:trPr>
          <w:trHeight w:val="188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numPr>
                <w:ilvl w:val="0"/>
                <w:numId w:val="13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 xml:space="preserve">Espacios de Opinión Publica </w:t>
            </w:r>
          </w:p>
          <w:p w:rsidR="00B8400F" w:rsidRDefault="00E94EB7">
            <w:pPr>
              <w:numPr>
                <w:ilvl w:val="0"/>
                <w:numId w:val="13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 xml:space="preserve">Cortinas y/o Cintillos en programas </w:t>
            </w:r>
          </w:p>
          <w:p w:rsidR="00B8400F" w:rsidRDefault="00E94EB7">
            <w:pPr>
              <w:numPr>
                <w:ilvl w:val="0"/>
                <w:numId w:val="13"/>
              </w:numPr>
              <w:spacing w:after="151" w:line="255" w:lineRule="auto"/>
              <w:ind w:hanging="348"/>
              <w:jc w:val="left"/>
            </w:pPr>
            <w:r>
              <w:rPr>
                <w:sz w:val="16"/>
              </w:rPr>
              <w:t xml:space="preserve">Cualquier otro valor agregado vinculado al plan de la programación en beneficio de la programación que CEPA que su medio designe. </w:t>
            </w:r>
          </w:p>
          <w:p w:rsidR="00B8400F" w:rsidRDefault="00E94EB7">
            <w:pPr>
              <w:numPr>
                <w:ilvl w:val="0"/>
                <w:numId w:val="13"/>
              </w:numPr>
              <w:spacing w:after="0" w:line="259" w:lineRule="auto"/>
              <w:ind w:hanging="348"/>
              <w:jc w:val="left"/>
            </w:pPr>
            <w:r>
              <w:rPr>
                <w:sz w:val="16"/>
              </w:rPr>
              <w:t xml:space="preserve">Cobertura del medio CEPA en eventos.  </w:t>
            </w:r>
          </w:p>
          <w:p w:rsidR="00B8400F" w:rsidRDefault="00E94EB7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Posicionar a CEPA en sus plataformas digitales, o algún otro medio de difusión.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400F" w:rsidRDefault="00E94EB7">
            <w:pPr>
              <w:spacing w:after="0" w:line="259" w:lineRule="auto"/>
              <w:ind w:left="466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00F" w:rsidRDefault="00E94EB7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NO CUMPLE </w:t>
            </w:r>
          </w:p>
          <w:p w:rsidR="00B8400F" w:rsidRDefault="00E94EB7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109" w:firstLine="0"/>
              <w:jc w:val="right"/>
            </w:pPr>
            <w:r>
              <w:rPr>
                <w:b/>
                <w:sz w:val="16"/>
              </w:rPr>
              <w:t xml:space="preserve">PUNTAJE TOTAL VALORES AGREGADOS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sz w:val="16"/>
              </w:rPr>
              <w:t xml:space="preserve">0 PUNTOS </w:t>
            </w:r>
          </w:p>
        </w:tc>
      </w:tr>
      <w:tr w:rsidR="00B8400F">
        <w:trPr>
          <w:trHeight w:val="199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6"/>
              </w:rPr>
              <w:t xml:space="preserve">PUNTAJE FINAL OBTENIDO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00F" w:rsidRDefault="00B840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80 PUNTOS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lastRenderedPageBreak/>
        <w:t xml:space="preserve">Según lo anterior, el puntaje obtenido por las sociedades ofertantes, es el siguiente: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663" w:type="dxa"/>
        <w:tblInd w:w="89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4"/>
        <w:gridCol w:w="4175"/>
        <w:gridCol w:w="3584"/>
      </w:tblGrid>
      <w:tr w:rsidR="00B8400F">
        <w:trPr>
          <w:trHeight w:val="20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N°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Ofertante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Puntaje Obtenido </w:t>
            </w:r>
          </w:p>
        </w:tc>
      </w:tr>
      <w:tr w:rsidR="00B8400F">
        <w:trPr>
          <w:trHeight w:val="1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UDP TCS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16"/>
              </w:rPr>
              <w:t xml:space="preserve">100 puntos </w:t>
            </w:r>
          </w:p>
        </w:tc>
      </w:tr>
      <w:tr w:rsidR="00B8400F">
        <w:trPr>
          <w:trHeight w:val="1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sz w:val="16"/>
              </w:rPr>
              <w:t xml:space="preserve">2.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CANAL 12 DE TELEVISIÓN, S.A. DE C.V.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75 puntos </w:t>
            </w:r>
          </w:p>
        </w:tc>
      </w:tr>
      <w:tr w:rsidR="00B8400F">
        <w:trPr>
          <w:trHeight w:val="1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7" w:firstLine="0"/>
              <w:jc w:val="center"/>
            </w:pPr>
            <w:r>
              <w:rPr>
                <w:sz w:val="16"/>
              </w:rPr>
              <w:t xml:space="preserve">3.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INDESI, S.A. DE C.V. (GRUPO MEGAVISIÓN)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0F" w:rsidRDefault="00E94EB7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80 puntos </w:t>
            </w:r>
          </w:p>
        </w:tc>
      </w:tr>
    </w:tbl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La oferta de la UDP TCS, cumple con todos los aspectos técnicos y obtuvo un puntaje de 100, por lo que se recomienda su adjudicación.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Además se recomienda como segunda opción a la sociedad INDESI, S.A. DE C.V. (GRUPO MEGAVISIÓN), por hab</w:t>
      </w:r>
      <w:r>
        <w:t xml:space="preserve">er obtenido el segundo puntaje más alto (80 puntos), lo anterior según lo establecido en el numeral 4 de la Sección II, de las Bases de Libre Gestión.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pStyle w:val="Ttulo4"/>
        <w:ind w:left="-5"/>
      </w:pPr>
      <w:r>
        <w:t xml:space="preserve">IV. MARCO NORMATIVO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De conformidad a lo establecido en los Artículos 17, 18 y 56 de la LACAP, 56 de su Reglamento y numerales 4 de la Sección II y 1 de la Sección III, de las Bases de Libre Gestión.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pStyle w:val="Ttulo4"/>
        <w:ind w:left="-5"/>
      </w:pPr>
      <w:r>
        <w:t xml:space="preserve">V. RECOMENDACIÓN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 xml:space="preserve">Por lo anterior, la Unidad Solicitante y la Unidad de </w:t>
      </w:r>
      <w:r>
        <w:t xml:space="preserve">Adquisiciones y Contrataciones Institucional </w:t>
      </w:r>
    </w:p>
    <w:p w:rsidR="00B8400F" w:rsidRDefault="00E94EB7">
      <w:pPr>
        <w:ind w:left="-5"/>
      </w:pPr>
      <w:r>
        <w:t xml:space="preserve">(UACI), recomiendan a Junta Directiva adjudicar la Libre Gestión CEPA LG-37/2019, “Servicio de </w:t>
      </w:r>
    </w:p>
    <w:p w:rsidR="00B8400F" w:rsidRDefault="00E94EB7">
      <w:pPr>
        <w:ind w:left="-5"/>
      </w:pPr>
      <w:r>
        <w:t>Transmisión de Mensajes por Televisión Nacional para la Comisión Ejecutiva Portuaria Autónoma (CEPA)”, a la UDP TC</w:t>
      </w:r>
      <w:r>
        <w:t xml:space="preserve">S, representada legalmente por el señor Carlos Enrique Isaac </w:t>
      </w:r>
      <w:proofErr w:type="spellStart"/>
      <w:r>
        <w:t>Renderos</w:t>
      </w:r>
      <w:proofErr w:type="spellEnd"/>
      <w:r>
        <w:t xml:space="preserve"> Funes, hasta por un monto de US $64,500.00 sin incluir IVA, para un plazo contractual contado a partir de la orden de inicio hasta el 31 de diciembre de 2019.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t>Esta Junta Directiva, co</w:t>
      </w:r>
      <w:r>
        <w:t xml:space="preserve">nsidera atendibles las razones expuestas, por lo cual, con base en los antecedentes, razones y las normas citadas en el apartado IV, ACUERDA: </w:t>
      </w:r>
    </w:p>
    <w:p w:rsidR="00B8400F" w:rsidRDefault="00E94EB7">
      <w:pPr>
        <w:spacing w:after="7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551" w:hanging="566"/>
      </w:pPr>
      <w:r>
        <w:t>1° Adjudicar la Libre Gestión CEPA LG-37/2019, “Servicio de Transmisión de Mensajes por Televisión Nacional par</w:t>
      </w:r>
      <w:r>
        <w:t xml:space="preserve">a la Comisión Ejecutiva Portuaria Autónoma (CEPA)”, a la UDP TCS, representada legalmente por el señor Carlos Enrique Isaac </w:t>
      </w:r>
      <w:proofErr w:type="spellStart"/>
      <w:r>
        <w:t>Renderos</w:t>
      </w:r>
      <w:proofErr w:type="spellEnd"/>
      <w:r>
        <w:t xml:space="preserve"> Funes, hasta por un monto de US $64,500.00 sin incluir IVA, para un plazo contractual contado a partir de la orden de inici</w:t>
      </w:r>
      <w:r>
        <w:t xml:space="preserve">o hasta el 31 de diciembre de 2019.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551" w:hanging="566"/>
      </w:pPr>
      <w:r>
        <w:t xml:space="preserve">2 ° Nombrar como Administradora de Contrato, a la licenciada Claudia Vanessa Campos, Jefa de la Unidad de Comunicaciones.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tabs>
          <w:tab w:val="right" w:pos="8840"/>
        </w:tabs>
        <w:ind w:left="-15" w:firstLine="0"/>
        <w:jc w:val="left"/>
      </w:pPr>
      <w:r>
        <w:t xml:space="preserve">3° </w:t>
      </w:r>
      <w:r>
        <w:tab/>
        <w:t xml:space="preserve">Autorizar al Presidente o Gerente General, en su calidad de Apoderado General </w:t>
      </w:r>
    </w:p>
    <w:p w:rsidR="00B8400F" w:rsidRDefault="00E94EB7">
      <w:pPr>
        <w:ind w:left="576"/>
      </w:pPr>
      <w:r>
        <w:t>Administr</w:t>
      </w:r>
      <w:r>
        <w:t xml:space="preserve">ativo, para firmar el contrato correspondiente.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13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ind w:left="-5"/>
      </w:pPr>
      <w:r>
        <w:lastRenderedPageBreak/>
        <w:t xml:space="preserve">“No habiendo nada más que hacer constar, se da por terminada la sesión a las </w:t>
      </w:r>
      <w:r>
        <w:t>dieciséis horas con treinta minutos de este mismo día, firmando el acta el Presidente y los Directores Propietarios y Suplentes que asistieron; cuyo contenido ha sido revisado por el Secretario de la Junta Directiva y el Asesor Jurídico de la Junta Directi</w:t>
      </w:r>
      <w:r>
        <w:t xml:space="preserve">va”.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p w:rsidR="00B8400F" w:rsidRDefault="00E94EB7">
      <w:pPr>
        <w:spacing w:after="0" w:line="259" w:lineRule="auto"/>
        <w:ind w:left="0" w:firstLine="0"/>
        <w:jc w:val="left"/>
      </w:pPr>
      <w:r>
        <w:t xml:space="preserve"> </w:t>
      </w:r>
    </w:p>
    <w:sectPr w:rsidR="00B8400F">
      <w:headerReference w:type="even" r:id="rId10"/>
      <w:headerReference w:type="default" r:id="rId11"/>
      <w:headerReference w:type="first" r:id="rId12"/>
      <w:pgSz w:w="12240" w:h="15840"/>
      <w:pgMar w:top="1680" w:right="1698" w:bottom="1678" w:left="1702" w:header="720" w:footer="720" w:gutter="0"/>
      <w:pgNumType w:fmt="low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B7" w:rsidRDefault="00E94EB7">
      <w:pPr>
        <w:spacing w:after="0" w:line="240" w:lineRule="auto"/>
      </w:pPr>
      <w:r>
        <w:separator/>
      </w:r>
    </w:p>
  </w:endnote>
  <w:endnote w:type="continuationSeparator" w:id="0">
    <w:p w:rsidR="00E94EB7" w:rsidRDefault="00E9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B7" w:rsidRDefault="00E94EB7">
      <w:pPr>
        <w:spacing w:after="0" w:line="240" w:lineRule="auto"/>
      </w:pPr>
      <w:r>
        <w:separator/>
      </w:r>
    </w:p>
  </w:footnote>
  <w:footnote w:type="continuationSeparator" w:id="0">
    <w:p w:rsidR="00E94EB7" w:rsidRDefault="00E9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Acta 3019   6 de septiembre de 2019 </w:t>
    </w:r>
  </w:p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Acta 3019   6 de septiembre de 2019 </w:t>
    </w:r>
  </w:p>
  <w:p w:rsidR="00B8400F" w:rsidRDefault="00E94EB7">
    <w:pPr>
      <w:spacing w:after="209" w:line="259" w:lineRule="auto"/>
      <w:ind w:left="0" w:firstLine="0"/>
      <w:jc w:val="left"/>
    </w:pPr>
    <w:r>
      <w:rPr>
        <w:b/>
        <w:sz w:val="20"/>
      </w:rPr>
      <w:t xml:space="preserve"> </w:t>
    </w:r>
  </w:p>
  <w:p w:rsidR="00B8400F" w:rsidRDefault="00E94EB7">
    <w:pPr>
      <w:spacing w:after="0" w:line="259" w:lineRule="auto"/>
      <w:ind w:left="2124" w:firstLine="0"/>
      <w:jc w:val="left"/>
    </w:pPr>
    <w:r>
      <w:t xml:space="preserve"> </w:t>
    </w:r>
    <w:r>
      <w:tab/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B8400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Acta 3019   6 de septiembre de 2019 </w:t>
    </w:r>
  </w:p>
  <w:p w:rsidR="00B8400F" w:rsidRDefault="00E94EB7">
    <w:pPr>
      <w:spacing w:after="238" w:line="259" w:lineRule="auto"/>
      <w:ind w:left="0" w:firstLine="0"/>
      <w:jc w:val="left"/>
    </w:pPr>
    <w:r>
      <w:rPr>
        <w:b/>
        <w:sz w:val="20"/>
      </w:rPr>
      <w:t xml:space="preserve"> </w:t>
    </w:r>
  </w:p>
  <w:p w:rsidR="00B8400F" w:rsidRDefault="00E94EB7">
    <w:pPr>
      <w:tabs>
        <w:tab w:val="center" w:pos="2833"/>
        <w:tab w:val="center" w:pos="3541"/>
        <w:tab w:val="center" w:pos="4353"/>
      </w:tabs>
      <w:spacing w:after="0" w:line="259" w:lineRule="auto"/>
      <w:ind w:left="0" w:firstLine="0"/>
      <w:jc w:val="left"/>
    </w:pPr>
    <w:r>
      <w:t xml:space="preserve">Continuación Punto II  </w:t>
    </w:r>
    <w:r>
      <w:tab/>
      <w:t xml:space="preserve"> </w:t>
    </w:r>
    <w:r>
      <w:tab/>
      <w:t xml:space="preserve"> </w:t>
    </w:r>
    <w:r>
      <w:tab/>
      <w:t>2</w:t>
    </w:r>
    <w:r>
      <w:fldChar w:fldCharType="begin"/>
    </w:r>
    <w:r>
      <w:instrText xml:space="preserve"> PAGE   \* MERGEFORMAT </w:instrText>
    </w:r>
    <w:r>
      <w:fldChar w:fldCharType="separate"/>
    </w:r>
    <w:r w:rsidR="00767BF0">
      <w:rPr>
        <w:noProof/>
      </w:rPr>
      <w:t>f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Acta 3019   6 de septiembre de 2019 </w:t>
    </w:r>
  </w:p>
  <w:p w:rsidR="00B8400F" w:rsidRDefault="00E94EB7">
    <w:pPr>
      <w:spacing w:after="238" w:line="259" w:lineRule="auto"/>
      <w:ind w:left="0" w:firstLine="0"/>
      <w:jc w:val="left"/>
    </w:pPr>
    <w:r>
      <w:rPr>
        <w:b/>
        <w:sz w:val="20"/>
      </w:rPr>
      <w:t xml:space="preserve"> </w:t>
    </w:r>
  </w:p>
  <w:p w:rsidR="00B8400F" w:rsidRDefault="00E94EB7">
    <w:pPr>
      <w:tabs>
        <w:tab w:val="center" w:pos="2833"/>
        <w:tab w:val="center" w:pos="3541"/>
        <w:tab w:val="center" w:pos="4353"/>
      </w:tabs>
      <w:spacing w:after="0" w:line="259" w:lineRule="auto"/>
      <w:ind w:left="0" w:firstLine="0"/>
      <w:jc w:val="left"/>
    </w:pPr>
    <w:r>
      <w:t xml:space="preserve">Continuación Punto II  </w:t>
    </w:r>
    <w:r>
      <w:tab/>
      <w:t xml:space="preserve"> </w:t>
    </w:r>
    <w:r>
      <w:tab/>
      <w:t xml:space="preserve"> </w:t>
    </w:r>
    <w:r>
      <w:tab/>
      <w:t>2</w:t>
    </w:r>
    <w:r>
      <w:fldChar w:fldCharType="begin"/>
    </w:r>
    <w:r>
      <w:instrText xml:space="preserve"> PAGE   \* MERGEFORMAT </w:instrText>
    </w:r>
    <w:r>
      <w:fldChar w:fldCharType="separate"/>
    </w:r>
    <w:r w:rsidR="00767BF0">
      <w:rPr>
        <w:noProof/>
      </w:rPr>
      <w:t>g</w:t>
    </w:r>
    <w:r>
      <w:fldChar w:fldCharType="end"/>
    </w:r>
    <w:r>
      <w:t xml:space="preserve"> </w:t>
    </w:r>
  </w:p>
  <w:p w:rsidR="00B8400F" w:rsidRDefault="00E94EB7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0F" w:rsidRDefault="00E94EB7">
    <w:pPr>
      <w:spacing w:after="0" w:line="259" w:lineRule="auto"/>
      <w:ind w:left="0" w:firstLine="0"/>
      <w:jc w:val="left"/>
    </w:pPr>
    <w:r>
      <w:rPr>
        <w:b/>
        <w:sz w:val="20"/>
      </w:rPr>
      <w:t xml:space="preserve">Acta 3019   6 de septiembre de 2019 </w:t>
    </w:r>
  </w:p>
  <w:p w:rsidR="00B8400F" w:rsidRDefault="00E94EB7">
    <w:pPr>
      <w:spacing w:after="238" w:line="259" w:lineRule="auto"/>
      <w:ind w:left="0" w:firstLine="0"/>
      <w:jc w:val="left"/>
    </w:pPr>
    <w:r>
      <w:rPr>
        <w:b/>
        <w:sz w:val="20"/>
      </w:rPr>
      <w:t xml:space="preserve"> </w:t>
    </w:r>
  </w:p>
  <w:p w:rsidR="00B8400F" w:rsidRDefault="00E94EB7">
    <w:pPr>
      <w:tabs>
        <w:tab w:val="center" w:pos="2833"/>
        <w:tab w:val="center" w:pos="3541"/>
        <w:tab w:val="center" w:pos="4353"/>
      </w:tabs>
      <w:spacing w:after="0" w:line="259" w:lineRule="auto"/>
      <w:ind w:left="0" w:firstLine="0"/>
      <w:jc w:val="left"/>
    </w:pPr>
    <w:r>
      <w:t xml:space="preserve">Continuación Punto II  </w:t>
    </w:r>
    <w:r>
      <w:tab/>
      <w:t xml:space="preserve"> </w:t>
    </w:r>
    <w:r>
      <w:tab/>
      <w:t xml:space="preserve"> </w:t>
    </w:r>
    <w:r>
      <w:tab/>
      <w:t>2</w:t>
    </w:r>
    <w:r>
      <w:fldChar w:fldCharType="begin"/>
    </w:r>
    <w:r>
      <w:instrText xml:space="preserve"> PAGE   \* MERGEFORMAT </w:instrText>
    </w:r>
    <w:r>
      <w:fldChar w:fldCharType="separate"/>
    </w:r>
    <w:r w:rsidR="00767BF0">
      <w:rPr>
        <w:noProof/>
      </w:rPr>
      <w:t>a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67A"/>
    <w:multiLevelType w:val="hybridMultilevel"/>
    <w:tmpl w:val="4B50AD9A"/>
    <w:lvl w:ilvl="0" w:tplc="6A8C003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7CEE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2A22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3073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9425C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2C96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50C0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CE1FA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2A62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07E77"/>
    <w:multiLevelType w:val="hybridMultilevel"/>
    <w:tmpl w:val="FCE6B718"/>
    <w:lvl w:ilvl="0" w:tplc="C8A2A5CC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6C9E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92C5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08F91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F0240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8E675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AA8B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EEA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94E7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00796"/>
    <w:multiLevelType w:val="hybridMultilevel"/>
    <w:tmpl w:val="75AE379C"/>
    <w:lvl w:ilvl="0" w:tplc="B86812AE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4E0A8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8614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AEAF1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46898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909C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DCF17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F6FBC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CEE1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26C93"/>
    <w:multiLevelType w:val="hybridMultilevel"/>
    <w:tmpl w:val="15D4AB80"/>
    <w:lvl w:ilvl="0" w:tplc="F5C65AAE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944518">
      <w:start w:val="1"/>
      <w:numFmt w:val="bullet"/>
      <w:lvlText w:val="o"/>
      <w:lvlJc w:val="left"/>
      <w:pPr>
        <w:ind w:left="1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4473C">
      <w:start w:val="1"/>
      <w:numFmt w:val="bullet"/>
      <w:lvlText w:val="▪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1AFEFC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523EA2">
      <w:start w:val="1"/>
      <w:numFmt w:val="bullet"/>
      <w:lvlText w:val="o"/>
      <w:lvlJc w:val="left"/>
      <w:pPr>
        <w:ind w:left="3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3AAF88">
      <w:start w:val="1"/>
      <w:numFmt w:val="bullet"/>
      <w:lvlText w:val="▪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D0C6D6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14DF06">
      <w:start w:val="1"/>
      <w:numFmt w:val="bullet"/>
      <w:lvlText w:val="o"/>
      <w:lvlJc w:val="left"/>
      <w:pPr>
        <w:ind w:left="6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3AE0FA">
      <w:start w:val="1"/>
      <w:numFmt w:val="bullet"/>
      <w:lvlText w:val="▪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91B9E"/>
    <w:multiLevelType w:val="hybridMultilevel"/>
    <w:tmpl w:val="4630FB6A"/>
    <w:lvl w:ilvl="0" w:tplc="ACC6B166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31C227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BF92D3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A256352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6CA42DB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C55E279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3D40217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7B54E57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EE548D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444F5C57"/>
    <w:multiLevelType w:val="hybridMultilevel"/>
    <w:tmpl w:val="92CC2DE6"/>
    <w:lvl w:ilvl="0" w:tplc="360481F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529C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9660F4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860680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EE4B56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CD0170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552DAE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7C091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81AF30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8028AB"/>
    <w:multiLevelType w:val="hybridMultilevel"/>
    <w:tmpl w:val="AE92B99C"/>
    <w:lvl w:ilvl="0" w:tplc="23D60B56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C43700">
      <w:start w:val="1"/>
      <w:numFmt w:val="bullet"/>
      <w:lvlText w:val="o"/>
      <w:lvlJc w:val="left"/>
      <w:pPr>
        <w:ind w:left="1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7E0E90">
      <w:start w:val="1"/>
      <w:numFmt w:val="bullet"/>
      <w:lvlText w:val="▪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CE097A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B28505C">
      <w:start w:val="1"/>
      <w:numFmt w:val="bullet"/>
      <w:lvlText w:val="o"/>
      <w:lvlJc w:val="left"/>
      <w:pPr>
        <w:ind w:left="3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A88D02">
      <w:start w:val="1"/>
      <w:numFmt w:val="bullet"/>
      <w:lvlText w:val="▪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8CE13C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CE1004">
      <w:start w:val="1"/>
      <w:numFmt w:val="bullet"/>
      <w:lvlText w:val="o"/>
      <w:lvlJc w:val="left"/>
      <w:pPr>
        <w:ind w:left="6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C80074">
      <w:start w:val="1"/>
      <w:numFmt w:val="bullet"/>
      <w:lvlText w:val="▪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33A2F"/>
    <w:multiLevelType w:val="hybridMultilevel"/>
    <w:tmpl w:val="A1664464"/>
    <w:lvl w:ilvl="0" w:tplc="29A8855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B104956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2C70348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F6CB7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A0B6F96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5DF263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984C02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4CEEC1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8ECCA77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4CC67E0D"/>
    <w:multiLevelType w:val="hybridMultilevel"/>
    <w:tmpl w:val="1CD2F7CC"/>
    <w:lvl w:ilvl="0" w:tplc="DC4A82D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70DAC40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AA5E86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84C287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9B2C73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A35A32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6AC0D02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96885AF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4286F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581F6EE1"/>
    <w:multiLevelType w:val="hybridMultilevel"/>
    <w:tmpl w:val="EC54D6B0"/>
    <w:lvl w:ilvl="0" w:tplc="D616A51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8E5344">
      <w:start w:val="1"/>
      <w:numFmt w:val="bullet"/>
      <w:lvlText w:val="o"/>
      <w:lvlJc w:val="left"/>
      <w:pPr>
        <w:ind w:left="1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F6CDE0">
      <w:start w:val="1"/>
      <w:numFmt w:val="bullet"/>
      <w:lvlText w:val="▪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5E4DA0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A84D5A">
      <w:start w:val="1"/>
      <w:numFmt w:val="bullet"/>
      <w:lvlText w:val="o"/>
      <w:lvlJc w:val="left"/>
      <w:pPr>
        <w:ind w:left="3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C07E16">
      <w:start w:val="1"/>
      <w:numFmt w:val="bullet"/>
      <w:lvlText w:val="▪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F4F170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A096DA">
      <w:start w:val="1"/>
      <w:numFmt w:val="bullet"/>
      <w:lvlText w:val="o"/>
      <w:lvlJc w:val="left"/>
      <w:pPr>
        <w:ind w:left="6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BC595A">
      <w:start w:val="1"/>
      <w:numFmt w:val="bullet"/>
      <w:lvlText w:val="▪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485A17"/>
    <w:multiLevelType w:val="hybridMultilevel"/>
    <w:tmpl w:val="B4E6823C"/>
    <w:lvl w:ilvl="0" w:tplc="C554C19C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6C124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5027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6CCFD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56698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C8F08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4E885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EC3B7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22324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F87FD7"/>
    <w:multiLevelType w:val="hybridMultilevel"/>
    <w:tmpl w:val="75301D52"/>
    <w:lvl w:ilvl="0" w:tplc="417EEF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60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63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C70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454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29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E4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4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C0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2910C9"/>
    <w:multiLevelType w:val="hybridMultilevel"/>
    <w:tmpl w:val="46406F94"/>
    <w:lvl w:ilvl="0" w:tplc="0F6602D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1C62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681B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5E3D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B6EE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3A33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3A522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507A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1E55D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0F"/>
    <w:rsid w:val="00767BF0"/>
    <w:rsid w:val="00B8400F"/>
    <w:rsid w:val="00E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C0E58-888F-4200-890B-1B19C44A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4Car">
    <w:name w:val="Título 4 Car"/>
    <w:link w:val="Ttulo4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2230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</vt:lpstr>
    </vt:vector>
  </TitlesOfParts>
  <Company>Hewlett-Packard Company</Company>
  <LinksUpToDate>false</LinksUpToDate>
  <CharactersWithSpaces>14473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</dc:title>
  <dc:subject/>
  <dc:creator>Departamento de Sistemas</dc:creator>
  <cp:keywords/>
  <cp:lastModifiedBy>Sonia Gabriela Hernandez Sermeño</cp:lastModifiedBy>
  <cp:revision>2</cp:revision>
  <dcterms:created xsi:type="dcterms:W3CDTF">2020-02-05T16:45:00Z</dcterms:created>
  <dcterms:modified xsi:type="dcterms:W3CDTF">2020-02-05T16:45:00Z</dcterms:modified>
</cp:coreProperties>
</file>