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F4393" w:rsidRPr="00BF4393" w:rsidTr="00D750D5">
        <w:tc>
          <w:tcPr>
            <w:tcW w:w="4414" w:type="dxa"/>
          </w:tcPr>
          <w:p w:rsidR="00BF4393" w:rsidRPr="00BF4393" w:rsidRDefault="00BF4393" w:rsidP="00BF4393">
            <w:pPr>
              <w:rPr>
                <w:rFonts w:ascii="Calibri" w:eastAsia="Calibri" w:hAnsi="Calibri" w:cs="Times New Roman"/>
                <w:b/>
              </w:rPr>
            </w:pPr>
            <w:bookmarkStart w:id="0" w:name="_GoBack"/>
            <w:bookmarkEnd w:id="0"/>
            <w:r w:rsidRPr="00BF4393">
              <w:rPr>
                <w:rFonts w:ascii="Calibri" w:eastAsia="Calibri" w:hAnsi="Calibri" w:cs="Times New Roman"/>
                <w:b/>
              </w:rPr>
              <w:t>Observación</w:t>
            </w:r>
            <w:r w:rsidR="00556810">
              <w:rPr>
                <w:rFonts w:ascii="Calibri" w:eastAsia="Calibri" w:hAnsi="Calibri" w:cs="Times New Roman"/>
                <w:b/>
              </w:rPr>
              <w:t xml:space="preserve"> de evaluación del IAIP</w:t>
            </w:r>
          </w:p>
        </w:tc>
        <w:tc>
          <w:tcPr>
            <w:tcW w:w="4414" w:type="dxa"/>
          </w:tcPr>
          <w:p w:rsidR="00BF4393" w:rsidRPr="00BF4393" w:rsidRDefault="00556810" w:rsidP="00BF439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Opin</w:t>
            </w:r>
            <w:r w:rsidR="00BF4393" w:rsidRPr="00BF4393">
              <w:rPr>
                <w:rFonts w:ascii="Calibri" w:eastAsia="Calibri" w:hAnsi="Calibri" w:cs="Times New Roman"/>
                <w:b/>
              </w:rPr>
              <w:t>ión OIR CENTA</w:t>
            </w:r>
          </w:p>
        </w:tc>
      </w:tr>
      <w:tr w:rsidR="00BF4393" w:rsidRPr="00BF4393" w:rsidTr="00D750D5">
        <w:tc>
          <w:tcPr>
            <w:tcW w:w="4414" w:type="dxa"/>
          </w:tcPr>
          <w:p w:rsidR="00BF4393" w:rsidRPr="00BF4393" w:rsidRDefault="00BF4393" w:rsidP="00BF4393">
            <w:pPr>
              <w:rPr>
                <w:rFonts w:ascii="Calibri" w:eastAsia="Calibri" w:hAnsi="Calibri" w:cs="Times New Roman"/>
              </w:rPr>
            </w:pPr>
            <w:r w:rsidRPr="00BF4393">
              <w:rPr>
                <w:rFonts w:ascii="Calibri" w:eastAsia="Calibri" w:hAnsi="Calibri" w:cs="Times New Roman"/>
                <w:b/>
              </w:rPr>
              <w:t xml:space="preserve">2.2 Normativa generada: </w:t>
            </w:r>
            <w:r w:rsidRPr="00BF4393">
              <w:rPr>
                <w:rFonts w:ascii="Calibri" w:eastAsia="Calibri" w:hAnsi="Calibri" w:cs="Times New Roman"/>
              </w:rPr>
              <w:t>no se encontró manual de procedimientos para todas las unidades administrativas contenidas en el organigrama publicado</w:t>
            </w:r>
          </w:p>
        </w:tc>
        <w:tc>
          <w:tcPr>
            <w:tcW w:w="4414" w:type="dxa"/>
          </w:tcPr>
          <w:p w:rsidR="00BF4393" w:rsidRPr="00BF4393" w:rsidRDefault="00BF4393" w:rsidP="00BF4393">
            <w:pPr>
              <w:rPr>
                <w:rFonts w:ascii="Calibri" w:eastAsia="Calibri" w:hAnsi="Calibri" w:cs="Times New Roman"/>
              </w:rPr>
            </w:pPr>
            <w:r w:rsidRPr="00BF4393">
              <w:rPr>
                <w:rFonts w:ascii="Calibri" w:eastAsia="Calibri" w:hAnsi="Calibri" w:cs="Times New Roman"/>
              </w:rPr>
              <w:t>Muchas unidades del CENTA operan sin manual de procedimientos aprobado. Ejemplo: Investigación y Transferencia.</w:t>
            </w:r>
          </w:p>
        </w:tc>
      </w:tr>
      <w:tr w:rsidR="00BF4393" w:rsidRPr="00BF4393" w:rsidTr="00D750D5">
        <w:tc>
          <w:tcPr>
            <w:tcW w:w="4414" w:type="dxa"/>
          </w:tcPr>
          <w:p w:rsidR="00BF4393" w:rsidRPr="00BF4393" w:rsidRDefault="00BF4393" w:rsidP="00BF4393">
            <w:pPr>
              <w:rPr>
                <w:rFonts w:ascii="Calibri" w:eastAsia="Calibri" w:hAnsi="Calibri" w:cs="Times New Roman"/>
              </w:rPr>
            </w:pPr>
            <w:r w:rsidRPr="00BF4393">
              <w:rPr>
                <w:rFonts w:ascii="Calibri" w:eastAsia="Calibri" w:hAnsi="Calibri" w:cs="Times New Roman"/>
                <w:b/>
              </w:rPr>
              <w:t>3.2 y 3.3 Organigrama:</w:t>
            </w:r>
            <w:r w:rsidRPr="00BF4393">
              <w:rPr>
                <w:rFonts w:ascii="Calibri" w:eastAsia="Calibri" w:hAnsi="Calibri" w:cs="Times New Roman"/>
              </w:rPr>
              <w:t xml:space="preserve"> Faltan competencias y número de empleados en algunas unidades administrativas.</w:t>
            </w:r>
          </w:p>
          <w:p w:rsidR="00BF4393" w:rsidRPr="00BF4393" w:rsidRDefault="00BF4393" w:rsidP="00BF4393">
            <w:pPr>
              <w:rPr>
                <w:rFonts w:ascii="Calibri" w:eastAsia="Calibri" w:hAnsi="Calibri" w:cs="Times New Roman"/>
              </w:rPr>
            </w:pPr>
            <w:r w:rsidRPr="00BF4393">
              <w:rPr>
                <w:rFonts w:ascii="Calibri" w:eastAsia="Calibri" w:hAnsi="Calibri" w:cs="Times New Roman"/>
              </w:rPr>
              <w:t>Apartados vacíos y sin desagregación de datos por género</w:t>
            </w:r>
          </w:p>
        </w:tc>
        <w:tc>
          <w:tcPr>
            <w:tcW w:w="4414" w:type="dxa"/>
          </w:tcPr>
          <w:p w:rsidR="00BF4393" w:rsidRPr="00BF4393" w:rsidRDefault="00BF4393" w:rsidP="00556810">
            <w:pPr>
              <w:rPr>
                <w:rFonts w:ascii="Calibri" w:eastAsia="Calibri" w:hAnsi="Calibri" w:cs="Times New Roman"/>
              </w:rPr>
            </w:pPr>
            <w:r w:rsidRPr="00BF4393">
              <w:rPr>
                <w:rFonts w:ascii="Calibri" w:eastAsia="Calibri" w:hAnsi="Calibri" w:cs="Times New Roman"/>
              </w:rPr>
              <w:t>Información</w:t>
            </w:r>
            <w:r w:rsidR="00556810">
              <w:rPr>
                <w:rFonts w:ascii="Calibri" w:eastAsia="Calibri" w:hAnsi="Calibri" w:cs="Times New Roman"/>
              </w:rPr>
              <w:t xml:space="preserve"> fue</w:t>
            </w:r>
            <w:r w:rsidRPr="00BF4393">
              <w:rPr>
                <w:rFonts w:ascii="Calibri" w:eastAsia="Calibri" w:hAnsi="Calibri" w:cs="Times New Roman"/>
              </w:rPr>
              <w:t xml:space="preserve"> solicitada en su oportunidad a las Unidades, pero que no fue remitida en su totalidad.</w:t>
            </w:r>
            <w:r w:rsidR="00330D42">
              <w:rPr>
                <w:rFonts w:ascii="Calibri" w:eastAsia="Calibri" w:hAnsi="Calibri" w:cs="Times New Roman"/>
              </w:rPr>
              <w:t xml:space="preserve"> Cabe mencionar que el organigrama aprobado por Junta Directiva no está funcionando por completo y esto causa dicha inconsistencia</w:t>
            </w:r>
            <w:r w:rsidR="00556810">
              <w:rPr>
                <w:rFonts w:ascii="Calibri" w:eastAsia="Calibri" w:hAnsi="Calibri" w:cs="Times New Roman"/>
              </w:rPr>
              <w:t>, Ejemplo Subgerencia de administración, Generación de Fondos Propios</w:t>
            </w:r>
            <w:r w:rsidR="00330D42">
              <w:rPr>
                <w:rFonts w:ascii="Calibri" w:eastAsia="Calibri" w:hAnsi="Calibri" w:cs="Times New Roman"/>
              </w:rPr>
              <w:t xml:space="preserve"> </w:t>
            </w:r>
            <w:r w:rsidR="00556810">
              <w:rPr>
                <w:rFonts w:ascii="Calibri" w:eastAsia="Calibri" w:hAnsi="Calibri" w:cs="Times New Roman"/>
              </w:rPr>
              <w:t>entre otros.</w:t>
            </w:r>
          </w:p>
        </w:tc>
      </w:tr>
      <w:tr w:rsidR="00BF4393" w:rsidRPr="00BF4393" w:rsidTr="00D750D5">
        <w:tc>
          <w:tcPr>
            <w:tcW w:w="4414" w:type="dxa"/>
          </w:tcPr>
          <w:p w:rsidR="00BF4393" w:rsidRPr="00BF4393" w:rsidRDefault="00BF4393" w:rsidP="00BF4393">
            <w:pPr>
              <w:rPr>
                <w:rFonts w:ascii="Calibri" w:eastAsia="Calibri" w:hAnsi="Calibri" w:cs="Times New Roman"/>
              </w:rPr>
            </w:pPr>
            <w:r w:rsidRPr="00BF4393">
              <w:rPr>
                <w:rFonts w:ascii="Calibri" w:eastAsia="Calibri" w:hAnsi="Calibri" w:cs="Times New Roman"/>
                <w:b/>
              </w:rPr>
              <w:t>4.4 Directorio y currículo de funcionarios:</w:t>
            </w:r>
            <w:r w:rsidRPr="00BF4393">
              <w:rPr>
                <w:rFonts w:ascii="Calibri" w:eastAsia="Calibri" w:hAnsi="Calibri" w:cs="Times New Roman"/>
              </w:rPr>
              <w:t xml:space="preserve"> Falta formación académica y experiencia laboral previa de algunos funcionarios</w:t>
            </w:r>
          </w:p>
        </w:tc>
        <w:tc>
          <w:tcPr>
            <w:tcW w:w="4414" w:type="dxa"/>
          </w:tcPr>
          <w:p w:rsidR="00BF4393" w:rsidRPr="00BF4393" w:rsidRDefault="00BF4393" w:rsidP="00556810">
            <w:pPr>
              <w:rPr>
                <w:rFonts w:ascii="Calibri" w:eastAsia="Calibri" w:hAnsi="Calibri" w:cs="Times New Roman"/>
              </w:rPr>
            </w:pPr>
            <w:r w:rsidRPr="00BF4393">
              <w:rPr>
                <w:rFonts w:ascii="Calibri" w:eastAsia="Calibri" w:hAnsi="Calibri" w:cs="Times New Roman"/>
              </w:rPr>
              <w:t>Se publicó lo que los funcionarios entregaron directamente a la OIR</w:t>
            </w:r>
            <w:r w:rsidR="00330D42">
              <w:rPr>
                <w:rFonts w:ascii="Calibri" w:eastAsia="Calibri" w:hAnsi="Calibri" w:cs="Times New Roman"/>
              </w:rPr>
              <w:t xml:space="preserve">, no </w:t>
            </w:r>
            <w:r w:rsidR="00556810">
              <w:rPr>
                <w:rFonts w:ascii="Calibri" w:eastAsia="Calibri" w:hAnsi="Calibri" w:cs="Times New Roman"/>
              </w:rPr>
              <w:t xml:space="preserve">se puede </w:t>
            </w:r>
            <w:r w:rsidR="00330D42">
              <w:rPr>
                <w:rFonts w:ascii="Calibri" w:eastAsia="Calibri" w:hAnsi="Calibri" w:cs="Times New Roman"/>
              </w:rPr>
              <w:t>alterar datos personales</w:t>
            </w:r>
          </w:p>
        </w:tc>
      </w:tr>
      <w:tr w:rsidR="00BF4393" w:rsidRPr="00BF4393" w:rsidTr="00D750D5">
        <w:tc>
          <w:tcPr>
            <w:tcW w:w="4414" w:type="dxa"/>
          </w:tcPr>
          <w:p w:rsidR="00BF4393" w:rsidRPr="00BF4393" w:rsidRDefault="00BF4393" w:rsidP="00BF4393">
            <w:pPr>
              <w:rPr>
                <w:rFonts w:ascii="Calibri" w:eastAsia="Calibri" w:hAnsi="Calibri" w:cs="Times New Roman"/>
              </w:rPr>
            </w:pPr>
            <w:r w:rsidRPr="00BF4393">
              <w:rPr>
                <w:rFonts w:ascii="Calibri" w:eastAsia="Calibri" w:hAnsi="Calibri" w:cs="Times New Roman"/>
                <w:b/>
              </w:rPr>
              <w:t>5.3 y 5.4 Presupuesto:</w:t>
            </w:r>
            <w:r w:rsidRPr="00BF4393">
              <w:rPr>
                <w:rFonts w:ascii="Calibri" w:eastAsia="Calibri" w:hAnsi="Calibri" w:cs="Times New Roman"/>
              </w:rPr>
              <w:t xml:space="preserve"> Modificación presupuestaria publicada en formato no procesable. </w:t>
            </w:r>
          </w:p>
          <w:p w:rsidR="00BF4393" w:rsidRPr="00BF4393" w:rsidRDefault="00BF4393" w:rsidP="00BF4393">
            <w:pPr>
              <w:rPr>
                <w:rFonts w:ascii="Calibri" w:eastAsia="Calibri" w:hAnsi="Calibri" w:cs="Times New Roman"/>
              </w:rPr>
            </w:pPr>
            <w:r w:rsidRPr="00BF4393">
              <w:rPr>
                <w:rFonts w:ascii="Calibri" w:eastAsia="Calibri" w:hAnsi="Calibri" w:cs="Times New Roman"/>
              </w:rPr>
              <w:t xml:space="preserve">No hay enlace al documento oficial que autoriza la modificación. </w:t>
            </w:r>
          </w:p>
          <w:p w:rsidR="00BF4393" w:rsidRPr="00BF4393" w:rsidRDefault="00BF4393" w:rsidP="00BF4393">
            <w:pPr>
              <w:rPr>
                <w:rFonts w:ascii="Calibri" w:eastAsia="Calibri" w:hAnsi="Calibri" w:cs="Times New Roman"/>
              </w:rPr>
            </w:pPr>
            <w:r w:rsidRPr="00BF4393">
              <w:rPr>
                <w:rFonts w:ascii="Calibri" w:eastAsia="Calibri" w:hAnsi="Calibri" w:cs="Times New Roman"/>
              </w:rPr>
              <w:t xml:space="preserve">No se encontró registro de informes contables sobre ejecución presupuestaria. </w:t>
            </w:r>
          </w:p>
          <w:p w:rsidR="00BF4393" w:rsidRPr="00BF4393" w:rsidRDefault="00BF4393" w:rsidP="00BF4393">
            <w:pPr>
              <w:rPr>
                <w:rFonts w:ascii="Calibri" w:eastAsia="Calibri" w:hAnsi="Calibri" w:cs="Times New Roman"/>
              </w:rPr>
            </w:pPr>
            <w:r w:rsidRPr="00BF4393">
              <w:rPr>
                <w:rFonts w:ascii="Calibri" w:eastAsia="Calibri" w:hAnsi="Calibri" w:cs="Times New Roman"/>
              </w:rPr>
              <w:t>No se publicaron los pasivos financieros</w:t>
            </w:r>
          </w:p>
        </w:tc>
        <w:tc>
          <w:tcPr>
            <w:tcW w:w="4414" w:type="dxa"/>
          </w:tcPr>
          <w:p w:rsidR="00BF4393" w:rsidRPr="00BF4393" w:rsidRDefault="00BF4393" w:rsidP="00BF4393">
            <w:pPr>
              <w:rPr>
                <w:rFonts w:ascii="Calibri" w:eastAsia="Calibri" w:hAnsi="Calibri" w:cs="Times New Roman"/>
              </w:rPr>
            </w:pPr>
            <w:r w:rsidRPr="00BF4393">
              <w:rPr>
                <w:rFonts w:ascii="Calibri" w:eastAsia="Calibri" w:hAnsi="Calibri" w:cs="Times New Roman"/>
              </w:rPr>
              <w:t>Toda la información fue remitida por la Unidad Financiera el 17 de octubre, pero la evaluación del IAIP se hizo el 14. En consecuencia, se subió de forma extemporánea.</w:t>
            </w:r>
          </w:p>
        </w:tc>
      </w:tr>
      <w:tr w:rsidR="00BF4393" w:rsidRPr="00BF4393" w:rsidTr="00D750D5">
        <w:tc>
          <w:tcPr>
            <w:tcW w:w="4414" w:type="dxa"/>
          </w:tcPr>
          <w:p w:rsidR="00BF4393" w:rsidRPr="00BF4393" w:rsidRDefault="00BF4393" w:rsidP="00BF4393">
            <w:pPr>
              <w:rPr>
                <w:rFonts w:ascii="Calibri" w:eastAsia="Calibri" w:hAnsi="Calibri" w:cs="Times New Roman"/>
              </w:rPr>
            </w:pPr>
            <w:r w:rsidRPr="00BF4393">
              <w:rPr>
                <w:rFonts w:ascii="Calibri" w:eastAsia="Calibri" w:hAnsi="Calibri" w:cs="Times New Roman"/>
                <w:b/>
              </w:rPr>
              <w:t>6.2 Procedimientos de selección de personal:</w:t>
            </w:r>
            <w:r w:rsidRPr="00BF4393">
              <w:rPr>
                <w:rFonts w:ascii="Calibri" w:eastAsia="Calibri" w:hAnsi="Calibri" w:cs="Times New Roman"/>
              </w:rPr>
              <w:t xml:space="preserve"> No se establece perfil de puesto en plantilla de procesos de selección</w:t>
            </w:r>
          </w:p>
        </w:tc>
        <w:tc>
          <w:tcPr>
            <w:tcW w:w="4414" w:type="dxa"/>
          </w:tcPr>
          <w:p w:rsidR="00BF4393" w:rsidRPr="00BF4393" w:rsidRDefault="00BF4393" w:rsidP="00BF4393">
            <w:pPr>
              <w:rPr>
                <w:rFonts w:ascii="Calibri" w:eastAsia="Calibri" w:hAnsi="Calibri" w:cs="Times New Roman"/>
              </w:rPr>
            </w:pPr>
            <w:r w:rsidRPr="00BF4393">
              <w:rPr>
                <w:rFonts w:ascii="Calibri" w:eastAsia="Calibri" w:hAnsi="Calibri" w:cs="Times New Roman"/>
              </w:rPr>
              <w:t>Se subió el documento íntegro que entregó la Unidad de Recursos Humanos, pero el doc</w:t>
            </w:r>
            <w:r w:rsidR="00330D42">
              <w:rPr>
                <w:rFonts w:ascii="Calibri" w:eastAsia="Calibri" w:hAnsi="Calibri" w:cs="Times New Roman"/>
              </w:rPr>
              <w:t>umento original no especificaba perfil de puesto</w:t>
            </w:r>
            <w:r w:rsidRPr="00BF4393">
              <w:rPr>
                <w:rFonts w:ascii="Calibri" w:eastAsia="Calibri" w:hAnsi="Calibri" w:cs="Times New Roman"/>
              </w:rPr>
              <w:t>.</w:t>
            </w:r>
          </w:p>
        </w:tc>
      </w:tr>
      <w:tr w:rsidR="00BF4393" w:rsidRPr="00BF4393" w:rsidTr="00D750D5">
        <w:tc>
          <w:tcPr>
            <w:tcW w:w="4414" w:type="dxa"/>
          </w:tcPr>
          <w:p w:rsidR="00BF4393" w:rsidRPr="00BF4393" w:rsidRDefault="00BF4393" w:rsidP="00BF4393">
            <w:pPr>
              <w:rPr>
                <w:rFonts w:ascii="Calibri" w:eastAsia="Calibri" w:hAnsi="Calibri" w:cs="Times New Roman"/>
              </w:rPr>
            </w:pPr>
            <w:r w:rsidRPr="00BF4393">
              <w:rPr>
                <w:rFonts w:ascii="Calibri" w:eastAsia="Calibri" w:hAnsi="Calibri" w:cs="Times New Roman"/>
                <w:b/>
              </w:rPr>
              <w:t>8. Presupuesto:</w:t>
            </w:r>
            <w:r w:rsidRPr="00BF4393">
              <w:rPr>
                <w:rFonts w:ascii="Calibri" w:eastAsia="Calibri" w:hAnsi="Calibri" w:cs="Times New Roman"/>
              </w:rPr>
              <w:t xml:space="preserve"> No se publicaron remuneraciones por horas extra.</w:t>
            </w:r>
          </w:p>
        </w:tc>
        <w:tc>
          <w:tcPr>
            <w:tcW w:w="4414" w:type="dxa"/>
          </w:tcPr>
          <w:p w:rsidR="00BF4393" w:rsidRPr="00BF4393" w:rsidRDefault="00BF4393" w:rsidP="00BF4393">
            <w:pPr>
              <w:rPr>
                <w:rFonts w:ascii="Calibri" w:eastAsia="Calibri" w:hAnsi="Calibri" w:cs="Times New Roman"/>
              </w:rPr>
            </w:pPr>
            <w:r w:rsidRPr="00BF4393">
              <w:rPr>
                <w:rFonts w:ascii="Calibri" w:eastAsia="Calibri" w:hAnsi="Calibri" w:cs="Times New Roman"/>
              </w:rPr>
              <w:t>Se solicitó el dato a la Unidad F</w:t>
            </w:r>
            <w:r w:rsidR="00556810">
              <w:rPr>
                <w:rFonts w:ascii="Calibri" w:eastAsia="Calibri" w:hAnsi="Calibri" w:cs="Times New Roman"/>
              </w:rPr>
              <w:t>inanciera, pero no fue remitido en su momento.</w:t>
            </w:r>
          </w:p>
        </w:tc>
      </w:tr>
      <w:tr w:rsidR="00BF4393" w:rsidRPr="00BF4393" w:rsidTr="00D750D5">
        <w:tc>
          <w:tcPr>
            <w:tcW w:w="4414" w:type="dxa"/>
          </w:tcPr>
          <w:p w:rsidR="00BF4393" w:rsidRPr="00BF4393" w:rsidRDefault="00BF4393" w:rsidP="00BF4393">
            <w:pPr>
              <w:rPr>
                <w:rFonts w:ascii="Calibri" w:eastAsia="Calibri" w:hAnsi="Calibri" w:cs="Times New Roman"/>
              </w:rPr>
            </w:pPr>
            <w:r w:rsidRPr="00BF4393">
              <w:rPr>
                <w:rFonts w:ascii="Calibri" w:eastAsia="Calibri" w:hAnsi="Calibri" w:cs="Times New Roman"/>
                <w:b/>
              </w:rPr>
              <w:t>10.3 Memoria de labores e informes:</w:t>
            </w:r>
            <w:r w:rsidRPr="00BF4393">
              <w:rPr>
                <w:rFonts w:ascii="Calibri" w:eastAsia="Calibri" w:hAnsi="Calibri" w:cs="Times New Roman"/>
              </w:rPr>
              <w:t xml:space="preserve"> No se publicó informe de cumplimiento de la LAIP</w:t>
            </w:r>
          </w:p>
        </w:tc>
        <w:tc>
          <w:tcPr>
            <w:tcW w:w="4414" w:type="dxa"/>
          </w:tcPr>
          <w:p w:rsidR="00BF4393" w:rsidRPr="00BF4393" w:rsidRDefault="00BF4393" w:rsidP="00556810">
            <w:pPr>
              <w:rPr>
                <w:rFonts w:ascii="Calibri" w:eastAsia="Calibri" w:hAnsi="Calibri" w:cs="Times New Roman"/>
              </w:rPr>
            </w:pPr>
            <w:r w:rsidRPr="00BF4393">
              <w:rPr>
                <w:rFonts w:ascii="Calibri" w:eastAsia="Calibri" w:hAnsi="Calibri" w:cs="Times New Roman"/>
              </w:rPr>
              <w:t>Se ha solicitado durante dos años seguidos a Unidad de Planificac</w:t>
            </w:r>
            <w:r w:rsidR="00556810">
              <w:rPr>
                <w:rFonts w:ascii="Calibri" w:eastAsia="Calibri" w:hAnsi="Calibri" w:cs="Times New Roman"/>
              </w:rPr>
              <w:t xml:space="preserve">ión que incorpore a </w:t>
            </w:r>
            <w:r w:rsidR="00330D42">
              <w:rPr>
                <w:rFonts w:ascii="Calibri" w:eastAsia="Calibri" w:hAnsi="Calibri" w:cs="Times New Roman"/>
              </w:rPr>
              <w:t>la Memoria de Labores</w:t>
            </w:r>
            <w:r w:rsidRPr="00BF4393">
              <w:rPr>
                <w:rFonts w:ascii="Calibri" w:eastAsia="Calibri" w:hAnsi="Calibri" w:cs="Times New Roman"/>
              </w:rPr>
              <w:t xml:space="preserve"> </w:t>
            </w:r>
            <w:r w:rsidR="00556810">
              <w:rPr>
                <w:rFonts w:ascii="Calibri" w:eastAsia="Calibri" w:hAnsi="Calibri" w:cs="Times New Roman"/>
              </w:rPr>
              <w:t>el trabajo de transparencia que la OIR hace en CENTA,</w:t>
            </w:r>
            <w:r w:rsidRPr="00BF4393">
              <w:rPr>
                <w:rFonts w:ascii="Calibri" w:eastAsia="Calibri" w:hAnsi="Calibri" w:cs="Times New Roman"/>
              </w:rPr>
              <w:t xml:space="preserve"> pero no ha habido respuesta.</w:t>
            </w:r>
            <w:r w:rsidR="00556810">
              <w:rPr>
                <w:rFonts w:ascii="Calibri" w:eastAsia="Calibri" w:hAnsi="Calibri" w:cs="Times New Roman"/>
              </w:rPr>
              <w:t xml:space="preserve"> Incluso se le consultó al Ing. Jorge Salinas cuya respuesta fue que era responsabilidad de la Unidad de Planificación</w:t>
            </w:r>
            <w:r w:rsidRPr="00BF4393">
              <w:rPr>
                <w:rFonts w:ascii="Calibri" w:eastAsia="Calibri" w:hAnsi="Calibri" w:cs="Times New Roman"/>
              </w:rPr>
              <w:t xml:space="preserve"> Adjunto correo probatorio.</w:t>
            </w:r>
          </w:p>
        </w:tc>
      </w:tr>
      <w:tr w:rsidR="00BF4393" w:rsidRPr="00BF4393" w:rsidTr="00D750D5">
        <w:tc>
          <w:tcPr>
            <w:tcW w:w="4414" w:type="dxa"/>
          </w:tcPr>
          <w:p w:rsidR="00BF4393" w:rsidRPr="00BF4393" w:rsidRDefault="00BF4393" w:rsidP="00BF4393">
            <w:pPr>
              <w:rPr>
                <w:rFonts w:ascii="Calibri" w:eastAsia="Calibri" w:hAnsi="Calibri" w:cs="Times New Roman"/>
              </w:rPr>
            </w:pPr>
            <w:r w:rsidRPr="00BF4393">
              <w:rPr>
                <w:rFonts w:ascii="Calibri" w:eastAsia="Calibri" w:hAnsi="Calibri" w:cs="Times New Roman"/>
                <w:b/>
              </w:rPr>
              <w:t>11.1 Servicios:</w:t>
            </w:r>
            <w:r w:rsidRPr="00BF4393">
              <w:rPr>
                <w:rFonts w:ascii="Calibri" w:eastAsia="Calibri" w:hAnsi="Calibri" w:cs="Times New Roman"/>
              </w:rPr>
              <w:t xml:space="preserve"> No hay horarios de atención para cada servicio prestado</w:t>
            </w:r>
          </w:p>
        </w:tc>
        <w:tc>
          <w:tcPr>
            <w:tcW w:w="4414" w:type="dxa"/>
          </w:tcPr>
          <w:p w:rsidR="00BF4393" w:rsidRPr="00BF4393" w:rsidRDefault="00BF4393" w:rsidP="00BF4393">
            <w:pPr>
              <w:rPr>
                <w:rFonts w:ascii="Calibri" w:eastAsia="Calibri" w:hAnsi="Calibri" w:cs="Times New Roman"/>
              </w:rPr>
            </w:pPr>
            <w:r w:rsidRPr="00BF4393">
              <w:rPr>
                <w:rFonts w:ascii="Calibri" w:eastAsia="Calibri" w:hAnsi="Calibri" w:cs="Times New Roman"/>
              </w:rPr>
              <w:t>Se publicó un horario general para todos los servicios, no desglosado para cada uno de ellos. Se trabajará para adaptarlo de acuerdo con las observaciones</w:t>
            </w:r>
          </w:p>
        </w:tc>
      </w:tr>
      <w:tr w:rsidR="00BF4393" w:rsidRPr="00BF4393" w:rsidTr="00D750D5">
        <w:tc>
          <w:tcPr>
            <w:tcW w:w="4414" w:type="dxa"/>
          </w:tcPr>
          <w:p w:rsidR="00BF4393" w:rsidRPr="00BF4393" w:rsidRDefault="00556810" w:rsidP="00BF439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13.4 OIR</w:t>
            </w:r>
            <w:r w:rsidR="00BF4393" w:rsidRPr="00BF4393">
              <w:rPr>
                <w:rFonts w:ascii="Calibri" w:eastAsia="Calibri" w:hAnsi="Calibri" w:cs="Times New Roman"/>
                <w:b/>
              </w:rPr>
              <w:t>:</w:t>
            </w:r>
            <w:r w:rsidR="00BF4393" w:rsidRPr="00BF4393">
              <w:rPr>
                <w:rFonts w:ascii="Calibri" w:eastAsia="Calibri" w:hAnsi="Calibri" w:cs="Times New Roman"/>
              </w:rPr>
              <w:t xml:space="preserve"> No se establece fecha de nombramiento del oficial</w:t>
            </w:r>
          </w:p>
        </w:tc>
        <w:tc>
          <w:tcPr>
            <w:tcW w:w="4414" w:type="dxa"/>
          </w:tcPr>
          <w:p w:rsidR="00BF4393" w:rsidRPr="00BF4393" w:rsidRDefault="00BF4393" w:rsidP="00BF4393">
            <w:pPr>
              <w:rPr>
                <w:rFonts w:ascii="Calibri" w:eastAsia="Calibri" w:hAnsi="Calibri" w:cs="Times New Roman"/>
              </w:rPr>
            </w:pPr>
            <w:r w:rsidRPr="00BF4393">
              <w:rPr>
                <w:rFonts w:ascii="Calibri" w:eastAsia="Calibri" w:hAnsi="Calibri" w:cs="Times New Roman"/>
              </w:rPr>
              <w:t>Está en acuerdo de nombramiento publicado, pero no fue ubicado el dato visible en el portal. Se trabajará en ello</w:t>
            </w:r>
          </w:p>
        </w:tc>
      </w:tr>
      <w:tr w:rsidR="00BF4393" w:rsidRPr="00BF4393" w:rsidTr="00D750D5">
        <w:tc>
          <w:tcPr>
            <w:tcW w:w="4414" w:type="dxa"/>
          </w:tcPr>
          <w:p w:rsidR="00BF4393" w:rsidRPr="00BF4393" w:rsidRDefault="00BF4393" w:rsidP="00BF4393">
            <w:pPr>
              <w:rPr>
                <w:rFonts w:ascii="Calibri" w:eastAsia="Calibri" w:hAnsi="Calibri" w:cs="Times New Roman"/>
              </w:rPr>
            </w:pPr>
            <w:r w:rsidRPr="00BF4393">
              <w:rPr>
                <w:rFonts w:ascii="Calibri" w:eastAsia="Calibri" w:hAnsi="Calibri" w:cs="Times New Roman"/>
                <w:b/>
              </w:rPr>
              <w:t>21. Participación ciudadana y rendición de cuentas:</w:t>
            </w:r>
            <w:r w:rsidRPr="00BF4393">
              <w:rPr>
                <w:rFonts w:ascii="Calibri" w:eastAsia="Calibri" w:hAnsi="Calibri" w:cs="Times New Roman"/>
              </w:rPr>
              <w:t xml:space="preserve"> No se consideran mecanismos de </w:t>
            </w:r>
            <w:r w:rsidRPr="00BF4393">
              <w:rPr>
                <w:rFonts w:ascii="Calibri" w:eastAsia="Calibri" w:hAnsi="Calibri" w:cs="Times New Roman"/>
              </w:rPr>
              <w:lastRenderedPageBreak/>
              <w:t>participación ciudadana la remisión a redes sociales, páginas web, correos electrónicos o líneas de atención al usuario.</w:t>
            </w:r>
          </w:p>
        </w:tc>
        <w:tc>
          <w:tcPr>
            <w:tcW w:w="4414" w:type="dxa"/>
          </w:tcPr>
          <w:p w:rsidR="00BF4393" w:rsidRPr="00BF4393" w:rsidRDefault="00BF4393" w:rsidP="00BF4393">
            <w:pPr>
              <w:rPr>
                <w:rFonts w:ascii="Calibri" w:eastAsia="Calibri" w:hAnsi="Calibri" w:cs="Times New Roman"/>
              </w:rPr>
            </w:pPr>
            <w:r w:rsidRPr="00BF4393">
              <w:rPr>
                <w:rFonts w:ascii="Calibri" w:eastAsia="Calibri" w:hAnsi="Calibri" w:cs="Times New Roman"/>
              </w:rPr>
              <w:lastRenderedPageBreak/>
              <w:t xml:space="preserve">En reuniones con las Gerencias y Divisiones se socializó y se llegó al acuerdo de divulgar la </w:t>
            </w:r>
            <w:r w:rsidRPr="00BF4393">
              <w:rPr>
                <w:rFonts w:ascii="Calibri" w:eastAsia="Calibri" w:hAnsi="Calibri" w:cs="Times New Roman"/>
              </w:rPr>
              <w:lastRenderedPageBreak/>
              <w:t>Política de Participación Ciudadana con el personal de la institución. Se impartieron 4 capacitaciones en las agencias de extensión. La OIR se encuentra trabajando para llevarla a cabo. Adjunto correos probatorios.</w:t>
            </w:r>
          </w:p>
        </w:tc>
      </w:tr>
      <w:tr w:rsidR="00BF4393" w:rsidRPr="00BF4393" w:rsidTr="00D750D5">
        <w:tc>
          <w:tcPr>
            <w:tcW w:w="4414" w:type="dxa"/>
          </w:tcPr>
          <w:p w:rsidR="00BF4393" w:rsidRPr="00BF4393" w:rsidRDefault="00BF4393" w:rsidP="00BF4393">
            <w:pPr>
              <w:rPr>
                <w:rFonts w:ascii="Calibri" w:eastAsia="Calibri" w:hAnsi="Calibri" w:cs="Times New Roman"/>
              </w:rPr>
            </w:pPr>
            <w:r w:rsidRPr="00BF4393">
              <w:rPr>
                <w:rFonts w:ascii="Calibri" w:eastAsia="Calibri" w:hAnsi="Calibri" w:cs="Times New Roman"/>
                <w:b/>
              </w:rPr>
              <w:lastRenderedPageBreak/>
              <w:t>28. Resoluciones UAIP:</w:t>
            </w:r>
            <w:r w:rsidRPr="00BF4393">
              <w:rPr>
                <w:rFonts w:ascii="Calibri" w:eastAsia="Calibri" w:hAnsi="Calibri" w:cs="Times New Roman"/>
              </w:rPr>
              <w:t xml:space="preserve"> Incompleto. No hay registros de resolución</w:t>
            </w:r>
          </w:p>
        </w:tc>
        <w:tc>
          <w:tcPr>
            <w:tcW w:w="4414" w:type="dxa"/>
          </w:tcPr>
          <w:p w:rsidR="00BF4393" w:rsidRPr="00BF4393" w:rsidRDefault="00BF4393" w:rsidP="00BF4393">
            <w:pPr>
              <w:rPr>
                <w:rFonts w:ascii="Calibri" w:eastAsia="Calibri" w:hAnsi="Calibri" w:cs="Times New Roman"/>
              </w:rPr>
            </w:pPr>
            <w:r w:rsidRPr="00BF4393">
              <w:rPr>
                <w:rFonts w:ascii="Calibri" w:eastAsia="Calibri" w:hAnsi="Calibri" w:cs="Times New Roman"/>
              </w:rPr>
              <w:t xml:space="preserve">Se hace referencia a la Resolución CENTA 23-2016. No fue subida, dado que se </w:t>
            </w:r>
            <w:r w:rsidR="00330D42" w:rsidRPr="00BF4393">
              <w:rPr>
                <w:rFonts w:ascii="Calibri" w:eastAsia="Calibri" w:hAnsi="Calibri" w:cs="Times New Roman"/>
              </w:rPr>
              <w:t>re direccionó</w:t>
            </w:r>
            <w:r w:rsidRPr="00BF4393">
              <w:rPr>
                <w:rFonts w:ascii="Calibri" w:eastAsia="Calibri" w:hAnsi="Calibri" w:cs="Times New Roman"/>
              </w:rPr>
              <w:t xml:space="preserve"> al MINED. Adjunto comprobante.</w:t>
            </w:r>
          </w:p>
        </w:tc>
      </w:tr>
    </w:tbl>
    <w:p w:rsidR="00BF4393" w:rsidRPr="00BF4393" w:rsidRDefault="00BF4393" w:rsidP="00BF4393">
      <w:pPr>
        <w:rPr>
          <w:rFonts w:ascii="Calibri" w:eastAsia="Calibri" w:hAnsi="Calibri" w:cs="Times New Roman"/>
        </w:rPr>
      </w:pPr>
    </w:p>
    <w:p w:rsidR="00BF4393" w:rsidRPr="00BF4393" w:rsidRDefault="00BF4393" w:rsidP="00BF4393">
      <w:pPr>
        <w:rPr>
          <w:rFonts w:ascii="Calibri" w:eastAsia="Calibri" w:hAnsi="Calibri" w:cs="Times New Roman"/>
        </w:rPr>
      </w:pPr>
    </w:p>
    <w:p w:rsidR="00BF4393" w:rsidRPr="00BF4393" w:rsidRDefault="00BF4393" w:rsidP="00BF4393">
      <w:pPr>
        <w:rPr>
          <w:rFonts w:ascii="Calibri" w:eastAsia="Calibri" w:hAnsi="Calibri" w:cs="Times New Roman"/>
        </w:rPr>
      </w:pPr>
    </w:p>
    <w:p w:rsidR="00BF4393" w:rsidRPr="00BF4393" w:rsidRDefault="00BF4393" w:rsidP="00BF4393">
      <w:pPr>
        <w:rPr>
          <w:rFonts w:ascii="Calibri" w:eastAsia="Calibri" w:hAnsi="Calibri" w:cs="Times New Roman"/>
        </w:rPr>
      </w:pPr>
    </w:p>
    <w:p w:rsidR="00BF4393" w:rsidRPr="00BF4393" w:rsidRDefault="00BF4393" w:rsidP="00BF4393">
      <w:pPr>
        <w:rPr>
          <w:rFonts w:ascii="Calibri" w:eastAsia="Calibri" w:hAnsi="Calibri" w:cs="Times New Roman"/>
        </w:rPr>
      </w:pPr>
    </w:p>
    <w:p w:rsidR="00BF4393" w:rsidRPr="00BF4393" w:rsidRDefault="00BF4393" w:rsidP="00BF4393">
      <w:pPr>
        <w:rPr>
          <w:rFonts w:ascii="Calibri" w:eastAsia="Calibri" w:hAnsi="Calibri" w:cs="Times New Roman"/>
        </w:rPr>
      </w:pPr>
    </w:p>
    <w:p w:rsidR="00BF4393" w:rsidRPr="00BF4393" w:rsidRDefault="00BF4393" w:rsidP="00BF4393">
      <w:pPr>
        <w:rPr>
          <w:rFonts w:ascii="Calibri" w:eastAsia="Calibri" w:hAnsi="Calibri" w:cs="Times New Roman"/>
        </w:rPr>
      </w:pPr>
    </w:p>
    <w:p w:rsidR="004E2056" w:rsidRDefault="004E2056"/>
    <w:sectPr w:rsidR="004E20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93"/>
    <w:rsid w:val="00304586"/>
    <w:rsid w:val="00330D42"/>
    <w:rsid w:val="004E2056"/>
    <w:rsid w:val="00556810"/>
    <w:rsid w:val="00BF4393"/>
    <w:rsid w:val="00DA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395F0-FA51-4A24-BA64-7E43A64D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F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56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MEJIA</dc:creator>
  <cp:keywords/>
  <dc:description/>
  <cp:lastModifiedBy>SILVIA MEJIA</cp:lastModifiedBy>
  <cp:revision>2</cp:revision>
  <cp:lastPrinted>2016-12-07T18:22:00Z</cp:lastPrinted>
  <dcterms:created xsi:type="dcterms:W3CDTF">2016-12-07T18:23:00Z</dcterms:created>
  <dcterms:modified xsi:type="dcterms:W3CDTF">2016-12-07T18:23:00Z</dcterms:modified>
</cp:coreProperties>
</file>