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18" w:rsidRPr="00F16393" w:rsidRDefault="00D101C6" w:rsidP="009A4DA9">
      <w:pPr>
        <w:pStyle w:val="Textoindependiente"/>
        <w:tabs>
          <w:tab w:val="left" w:pos="-2160"/>
          <w:tab w:val="left" w:pos="-1980"/>
        </w:tabs>
        <w:jc w:val="right"/>
        <w:rPr>
          <w:rFonts w:ascii="Times New Roman" w:hAnsi="Times New Roman"/>
        </w:rPr>
      </w:pPr>
      <w:bookmarkStart w:id="0" w:name="_GoBack"/>
      <w:bookmarkEnd w:id="0"/>
      <w:r w:rsidRPr="00F16393">
        <w:rPr>
          <w:rFonts w:ascii="Times New Roman" w:hAnsi="Times New Roman"/>
        </w:rPr>
        <w:t xml:space="preserve"> </w:t>
      </w:r>
    </w:p>
    <w:p w:rsidR="00441518" w:rsidRPr="00F207F3" w:rsidRDefault="00441518">
      <w:pPr>
        <w:pStyle w:val="Textoindependiente"/>
        <w:tabs>
          <w:tab w:val="left" w:pos="-2160"/>
          <w:tab w:val="left" w:pos="-1980"/>
        </w:tabs>
        <w:rPr>
          <w:rFonts w:ascii="Times New Roman" w:hAnsi="Times New Roman"/>
        </w:rPr>
      </w:pPr>
      <w:r w:rsidRPr="00F207F3">
        <w:rPr>
          <w:rFonts w:ascii="Times New Roman" w:hAnsi="Times New Roman"/>
        </w:rPr>
        <w:t>BANCO DE FOMENTO AGROPECUARIO</w:t>
      </w:r>
    </w:p>
    <w:p w:rsidR="00631DB7" w:rsidRPr="00F207F3" w:rsidRDefault="00441518">
      <w:pPr>
        <w:pStyle w:val="Textoindependiente"/>
        <w:tabs>
          <w:tab w:val="left" w:pos="-2160"/>
          <w:tab w:val="left" w:pos="-1980"/>
        </w:tabs>
        <w:rPr>
          <w:rFonts w:ascii="Times New Roman" w:hAnsi="Times New Roman"/>
        </w:rPr>
      </w:pPr>
      <w:r w:rsidRPr="00F207F3">
        <w:rPr>
          <w:rFonts w:ascii="Times New Roman" w:hAnsi="Times New Roman"/>
        </w:rPr>
        <w:t>NOTAS A LOS ESTADOS FINANCI</w:t>
      </w:r>
      <w:r w:rsidR="00FB1578" w:rsidRPr="00F207F3">
        <w:rPr>
          <w:rFonts w:ascii="Times New Roman" w:hAnsi="Times New Roman"/>
        </w:rPr>
        <w:t xml:space="preserve">EROS INTERMEDIOS </w:t>
      </w:r>
      <w:r w:rsidR="00A615D3" w:rsidRPr="00F207F3">
        <w:rPr>
          <w:rFonts w:ascii="Times New Roman" w:hAnsi="Times New Roman"/>
        </w:rPr>
        <w:t xml:space="preserve">AL </w:t>
      </w:r>
      <w:r w:rsidR="00175E72" w:rsidRPr="00F207F3">
        <w:rPr>
          <w:rFonts w:ascii="Times New Roman" w:hAnsi="Times New Roman"/>
        </w:rPr>
        <w:t xml:space="preserve">30 DE </w:t>
      </w:r>
      <w:r w:rsidR="001B7E5C" w:rsidRPr="00F207F3">
        <w:rPr>
          <w:rFonts w:ascii="Times New Roman" w:hAnsi="Times New Roman"/>
        </w:rPr>
        <w:t>SEPTIEMBRE</w:t>
      </w:r>
      <w:r w:rsidR="0008772D" w:rsidRPr="00F207F3">
        <w:rPr>
          <w:rFonts w:ascii="Times New Roman" w:hAnsi="Times New Roman"/>
        </w:rPr>
        <w:t xml:space="preserve"> </w:t>
      </w:r>
      <w:r w:rsidR="00521EDA" w:rsidRPr="00F207F3">
        <w:rPr>
          <w:rFonts w:ascii="Times New Roman" w:hAnsi="Times New Roman"/>
        </w:rPr>
        <w:t xml:space="preserve">DE </w:t>
      </w:r>
      <w:r w:rsidR="00D80947">
        <w:rPr>
          <w:rFonts w:ascii="Times New Roman" w:hAnsi="Times New Roman"/>
        </w:rPr>
        <w:t>2016</w:t>
      </w:r>
      <w:r w:rsidR="005657FE" w:rsidRPr="00F207F3">
        <w:rPr>
          <w:rFonts w:ascii="Times New Roman" w:hAnsi="Times New Roman"/>
        </w:rPr>
        <w:t xml:space="preserve"> Y </w:t>
      </w:r>
      <w:r w:rsidR="00D80947">
        <w:rPr>
          <w:rFonts w:ascii="Times New Roman" w:hAnsi="Times New Roman"/>
        </w:rPr>
        <w:t>2015</w:t>
      </w:r>
      <w:r w:rsidR="00521EDA" w:rsidRPr="00F207F3">
        <w:rPr>
          <w:rFonts w:ascii="Times New Roman" w:hAnsi="Times New Roman"/>
        </w:rPr>
        <w:t xml:space="preserve"> </w:t>
      </w:r>
    </w:p>
    <w:p w:rsidR="00441518" w:rsidRPr="00F207F3" w:rsidRDefault="00441518">
      <w:pPr>
        <w:pStyle w:val="Textoindependiente"/>
        <w:tabs>
          <w:tab w:val="left" w:pos="-2160"/>
          <w:tab w:val="left" w:pos="-1980"/>
        </w:tabs>
        <w:rPr>
          <w:rFonts w:ascii="Times New Roman" w:hAnsi="Times New Roman"/>
        </w:rPr>
      </w:pPr>
      <w:r w:rsidRPr="00F207F3">
        <w:rPr>
          <w:rFonts w:ascii="Times New Roman" w:hAnsi="Times New Roman"/>
        </w:rPr>
        <w:t xml:space="preserve"> (Expresados en miles de dólares de los Estados Unidos de América)</w:t>
      </w:r>
    </w:p>
    <w:p w:rsidR="00441518" w:rsidRPr="00F207F3" w:rsidRDefault="00441518">
      <w:pPr>
        <w:pStyle w:val="Textoindependiente"/>
        <w:tabs>
          <w:tab w:val="left" w:pos="-2160"/>
          <w:tab w:val="left" w:pos="-1980"/>
        </w:tabs>
        <w:rPr>
          <w:rFonts w:ascii="Times New Roman" w:hAnsi="Times New Roman"/>
        </w:rPr>
      </w:pPr>
    </w:p>
    <w:p w:rsidR="00441518" w:rsidRPr="00F207F3" w:rsidRDefault="00441518">
      <w:pPr>
        <w:pStyle w:val="Textoindependiente"/>
        <w:tabs>
          <w:tab w:val="left" w:pos="-2160"/>
          <w:tab w:val="left" w:pos="-1980"/>
        </w:tabs>
        <w:rPr>
          <w:rFonts w:ascii="Times New Roman" w:hAnsi="Times New Roman"/>
        </w:rPr>
      </w:pPr>
    </w:p>
    <w:p w:rsidR="00441518" w:rsidRPr="0000522C" w:rsidRDefault="00441518" w:rsidP="001349D3">
      <w:pPr>
        <w:pStyle w:val="Ttulo7"/>
        <w:numPr>
          <w:ilvl w:val="0"/>
          <w:numId w:val="2"/>
        </w:numPr>
        <w:tabs>
          <w:tab w:val="left" w:pos="1134"/>
        </w:tabs>
        <w:ind w:hanging="426"/>
        <w:rPr>
          <w:bCs/>
        </w:rPr>
      </w:pPr>
      <w:r w:rsidRPr="0000522C">
        <w:rPr>
          <w:bCs/>
        </w:rPr>
        <w:t>OPERACIONES</w:t>
      </w:r>
    </w:p>
    <w:p w:rsidR="00441518" w:rsidRPr="0000522C" w:rsidRDefault="00441518">
      <w:pPr>
        <w:pStyle w:val="Textoindependiente"/>
        <w:tabs>
          <w:tab w:val="left" w:pos="-2160"/>
          <w:tab w:val="left" w:pos="-1980"/>
        </w:tabs>
        <w:jc w:val="both"/>
        <w:rPr>
          <w:rFonts w:ascii="Times New Roman" w:hAnsi="Times New Roman"/>
        </w:rPr>
      </w:pPr>
    </w:p>
    <w:p w:rsidR="00441518" w:rsidRPr="0000522C" w:rsidRDefault="00441518">
      <w:pPr>
        <w:pStyle w:val="Ttulo3"/>
        <w:numPr>
          <w:ilvl w:val="0"/>
          <w:numId w:val="0"/>
        </w:numPr>
        <w:tabs>
          <w:tab w:val="left" w:pos="709"/>
        </w:tabs>
      </w:pPr>
      <w:r w:rsidRPr="0000522C">
        <w:t>Organización y Propósito</w:t>
      </w:r>
    </w:p>
    <w:p w:rsidR="00441518" w:rsidRPr="0000522C" w:rsidRDefault="00441518">
      <w:pPr>
        <w:rPr>
          <w:sz w:val="24"/>
        </w:rPr>
      </w:pPr>
    </w:p>
    <w:p w:rsidR="00441518" w:rsidRPr="0000522C" w:rsidRDefault="00441518">
      <w:pPr>
        <w:jc w:val="both"/>
        <w:rPr>
          <w:sz w:val="24"/>
        </w:rPr>
      </w:pPr>
      <w:r w:rsidRPr="0000522C">
        <w:rPr>
          <w:sz w:val="24"/>
        </w:rPr>
        <w:t>El Banco de Fomento Agropecuario se dedica a la intermediación financiera mediante la captación de depósitos del público y a la colocación de préstamos principalmente a los sectores agropecuarios y la pequeña y mediana empresa; fue creado mediante Decreto Legislativo No.312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tabs>
          <w:tab w:val="left" w:pos="-2160"/>
          <w:tab w:val="left" w:pos="-1980"/>
        </w:tabs>
        <w:jc w:val="both"/>
        <w:rPr>
          <w:rFonts w:ascii="Times New Roman" w:hAnsi="Times New Roman"/>
          <w:b w:val="0"/>
        </w:rPr>
      </w:pPr>
      <w:r w:rsidRPr="0000522C">
        <w:rPr>
          <w:rFonts w:ascii="Times New Roman" w:hAnsi="Times New Roman"/>
          <w:b w:val="0"/>
        </w:rPr>
        <w:t>Los Estados Financieros están expresados en miles de dólares de los Estados Unidos de América.</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tulo7"/>
        <w:numPr>
          <w:ilvl w:val="0"/>
          <w:numId w:val="2"/>
        </w:numPr>
        <w:tabs>
          <w:tab w:val="left" w:pos="1134"/>
          <w:tab w:val="num" w:pos="1276"/>
        </w:tabs>
        <w:ind w:left="1276" w:hanging="1276"/>
        <w:rPr>
          <w:bCs/>
        </w:rPr>
      </w:pPr>
      <w:r w:rsidRPr="0000522C">
        <w:rPr>
          <w:bCs/>
        </w:rPr>
        <w:t>PRINCIPALES POLÍTICAS CONTABLES</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numPr>
          <w:ilvl w:val="0"/>
          <w:numId w:val="3"/>
        </w:numPr>
        <w:tabs>
          <w:tab w:val="clear" w:pos="644"/>
          <w:tab w:val="clear" w:pos="720"/>
          <w:tab w:val="left" w:pos="-2160"/>
          <w:tab w:val="left" w:pos="-1980"/>
          <w:tab w:val="num" w:pos="709"/>
        </w:tabs>
        <w:ind w:left="142" w:firstLine="0"/>
        <w:jc w:val="both"/>
        <w:rPr>
          <w:rFonts w:ascii="Times New Roman" w:hAnsi="Times New Roman"/>
          <w:b w:val="0"/>
        </w:rPr>
      </w:pPr>
      <w:r w:rsidRPr="0000522C">
        <w:rPr>
          <w:rFonts w:ascii="Times New Roman" w:hAnsi="Times New Roman"/>
          <w:b w:val="0"/>
        </w:rPr>
        <w:t>Normas técnicas y principios de contabilidad</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tabs>
          <w:tab w:val="left" w:pos="-2160"/>
          <w:tab w:val="left" w:pos="-1980"/>
        </w:tabs>
        <w:ind w:left="709"/>
        <w:jc w:val="both"/>
        <w:rPr>
          <w:rFonts w:ascii="Times New Roman" w:hAnsi="Times New Roman"/>
          <w:b w:val="0"/>
        </w:rPr>
      </w:pPr>
      <w:r w:rsidRPr="0000522C">
        <w:rPr>
          <w:rFonts w:ascii="Times New Roman" w:hAnsi="Times New Roman"/>
          <w:b w:val="0"/>
        </w:rPr>
        <w:t>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39).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441518" w:rsidRPr="0000522C" w:rsidRDefault="00441518">
      <w:pPr>
        <w:pStyle w:val="Textoindependiente"/>
        <w:jc w:val="both"/>
        <w:rPr>
          <w:rFonts w:ascii="Times New Roman" w:hAnsi="Times New Roman"/>
          <w:b w:val="0"/>
        </w:rPr>
      </w:pPr>
    </w:p>
    <w:p w:rsidR="00441518" w:rsidRPr="0000522C" w:rsidRDefault="00441518">
      <w:pPr>
        <w:pStyle w:val="Textoindependiente"/>
        <w:ind w:firstLine="142"/>
        <w:jc w:val="both"/>
        <w:rPr>
          <w:rFonts w:ascii="Times New Roman" w:hAnsi="Times New Roman"/>
          <w:b w:val="0"/>
        </w:rPr>
      </w:pPr>
      <w:r w:rsidRPr="0000522C">
        <w:rPr>
          <w:rFonts w:ascii="Times New Roman" w:hAnsi="Times New Roman"/>
          <w:b w:val="0"/>
        </w:rPr>
        <w:t>2.2</w:t>
      </w:r>
      <w:r w:rsidRPr="0000522C">
        <w:rPr>
          <w:rFonts w:ascii="Times New Roman" w:hAnsi="Times New Roman"/>
          <w:b w:val="0"/>
        </w:rPr>
        <w:tab/>
        <w:t>Inversiones financieras</w:t>
      </w:r>
    </w:p>
    <w:p w:rsidR="00441518" w:rsidRPr="0000522C" w:rsidRDefault="00441518">
      <w:pPr>
        <w:pStyle w:val="Textoindependiente"/>
        <w:tabs>
          <w:tab w:val="left" w:pos="-2160"/>
          <w:tab w:val="left" w:pos="-1980"/>
        </w:tabs>
        <w:jc w:val="both"/>
        <w:rPr>
          <w:rFonts w:ascii="Times New Roman" w:hAnsi="Times New Roman"/>
        </w:rPr>
      </w:pPr>
    </w:p>
    <w:p w:rsidR="00441518" w:rsidRPr="0000522C" w:rsidRDefault="00441518">
      <w:pPr>
        <w:pStyle w:val="Textoindependiente"/>
        <w:tabs>
          <w:tab w:val="left" w:pos="-2160"/>
          <w:tab w:val="left" w:pos="-1980"/>
        </w:tabs>
        <w:ind w:left="709"/>
        <w:jc w:val="both"/>
        <w:rPr>
          <w:rFonts w:ascii="Times New Roman" w:hAnsi="Times New Roman"/>
          <w:b w:val="0"/>
        </w:rPr>
      </w:pPr>
      <w:r w:rsidRPr="0000522C">
        <w:rPr>
          <w:rFonts w:ascii="Times New Roman" w:hAnsi="Times New Roman"/>
          <w:b w:val="0"/>
        </w:rPr>
        <w:t xml:space="preserve">La cartera de inversiones se valúa al valor de mercado cuando se trata de instrumentos que se transan con regularidad en el mercado bursátil salvadoreño, los títulos valores emitidos por entidades radicadas en el país sin cotización en el mercado bursátil salvadoreño con base a la categoría de riesgo asignada por una calificadora de riesgos inscrita en la Superintendencia del Sistema Financiero y los títulos valores sin cotización en el mercado bursátil salvadoreño y sin clasificación de riesgo se valúan a su valor presente. </w:t>
      </w:r>
    </w:p>
    <w:p w:rsidR="00441518" w:rsidRPr="0000522C" w:rsidRDefault="00441518">
      <w:pPr>
        <w:pStyle w:val="Textoindependiente"/>
        <w:tabs>
          <w:tab w:val="left" w:pos="-2160"/>
          <w:tab w:val="left" w:pos="-1980"/>
        </w:tabs>
        <w:ind w:left="709"/>
        <w:jc w:val="both"/>
        <w:rPr>
          <w:rFonts w:ascii="Times New Roman" w:hAnsi="Times New Roman"/>
          <w:b w:val="0"/>
        </w:rPr>
      </w:pPr>
      <w:r w:rsidRPr="0000522C">
        <w:rPr>
          <w:rFonts w:ascii="Times New Roman" w:hAnsi="Times New Roman"/>
          <w:b w:val="0"/>
        </w:rPr>
        <w:lastRenderedPageBreak/>
        <w:t>Los títulos valores emitidos o garantizados por el Banco Central de Reserva y por otras entidades del Estado, pagaderos con fondos del Presupuesto Nacional, se presentan a su valor de adquisición.</w:t>
      </w:r>
    </w:p>
    <w:p w:rsidR="00441518" w:rsidRPr="0000522C" w:rsidRDefault="00441518">
      <w:pPr>
        <w:pStyle w:val="Textoindependiente"/>
        <w:tabs>
          <w:tab w:val="left" w:pos="-2160"/>
          <w:tab w:val="left" w:pos="-1980"/>
        </w:tabs>
        <w:ind w:left="709"/>
        <w:jc w:val="both"/>
        <w:rPr>
          <w:rFonts w:ascii="Times New Roman" w:hAnsi="Times New Roman"/>
          <w:b w:val="0"/>
        </w:rPr>
      </w:pPr>
    </w:p>
    <w:p w:rsidR="00441518" w:rsidRPr="0000522C" w:rsidRDefault="00441518">
      <w:pPr>
        <w:pStyle w:val="Textoindependiente"/>
        <w:ind w:firstLine="142"/>
        <w:jc w:val="both"/>
        <w:rPr>
          <w:rFonts w:ascii="Times New Roman" w:hAnsi="Times New Roman"/>
          <w:b w:val="0"/>
        </w:rPr>
      </w:pPr>
      <w:r w:rsidRPr="0000522C">
        <w:rPr>
          <w:rFonts w:ascii="Times New Roman" w:hAnsi="Times New Roman"/>
          <w:b w:val="0"/>
        </w:rPr>
        <w:t>2.3</w:t>
      </w:r>
      <w:r w:rsidRPr="0000522C">
        <w:rPr>
          <w:rFonts w:ascii="Times New Roman" w:hAnsi="Times New Roman"/>
          <w:b w:val="0"/>
        </w:rPr>
        <w:tab/>
        <w:t>Provisión de intereses y suspensión de la provisión</w:t>
      </w:r>
    </w:p>
    <w:p w:rsidR="00441518" w:rsidRPr="0000522C" w:rsidRDefault="00441518">
      <w:pPr>
        <w:pStyle w:val="Textoindependiente"/>
        <w:tabs>
          <w:tab w:val="left" w:pos="-2160"/>
          <w:tab w:val="left" w:pos="-1980"/>
        </w:tabs>
        <w:jc w:val="both"/>
        <w:rPr>
          <w:rFonts w:ascii="Times New Roman" w:hAnsi="Times New Roman"/>
        </w:rPr>
      </w:pPr>
    </w:p>
    <w:p w:rsidR="00441518" w:rsidRPr="0000522C" w:rsidRDefault="00441518">
      <w:pPr>
        <w:pStyle w:val="Textoindependiente"/>
        <w:tabs>
          <w:tab w:val="left" w:pos="-2160"/>
          <w:tab w:val="left" w:pos="-1980"/>
        </w:tabs>
        <w:ind w:left="708"/>
        <w:jc w:val="both"/>
        <w:rPr>
          <w:rFonts w:ascii="Times New Roman" w:hAnsi="Times New Roman"/>
          <w:b w:val="0"/>
        </w:rPr>
      </w:pPr>
      <w:r w:rsidRPr="0000522C">
        <w:rPr>
          <w:rFonts w:ascii="Times New Roman" w:hAnsi="Times New Roman"/>
          <w:b w:val="0"/>
        </w:rPr>
        <w:t>Los intereses por cobrar se contabilizan en cuentas patrimoniales sobre la base de lo devengado. La provisión de intereses sobre préstamos se suspende cuando estos tienen mora superior a noventa días.</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tabs>
          <w:tab w:val="left" w:pos="-2160"/>
          <w:tab w:val="left" w:pos="-1980"/>
        </w:tabs>
        <w:jc w:val="both"/>
        <w:rPr>
          <w:rFonts w:ascii="Times New Roman" w:hAnsi="Times New Roman"/>
          <w:b w:val="0"/>
        </w:rPr>
      </w:pPr>
      <w:r w:rsidRPr="0000522C">
        <w:rPr>
          <w:rFonts w:ascii="Times New Roman" w:hAnsi="Times New Roman"/>
          <w:b w:val="0"/>
        </w:rPr>
        <w:t>2.4</w:t>
      </w:r>
      <w:r w:rsidRPr="0000522C">
        <w:rPr>
          <w:rFonts w:ascii="Times New Roman" w:hAnsi="Times New Roman"/>
          <w:b w:val="0"/>
        </w:rPr>
        <w:tab/>
        <w:t>Activo fijo</w:t>
      </w:r>
    </w:p>
    <w:p w:rsidR="00441518" w:rsidRPr="0000522C" w:rsidRDefault="00441518">
      <w:pPr>
        <w:pStyle w:val="Textoindependiente"/>
        <w:tabs>
          <w:tab w:val="left" w:pos="-2160"/>
          <w:tab w:val="left" w:pos="-1980"/>
        </w:tabs>
        <w:jc w:val="both"/>
        <w:rPr>
          <w:rFonts w:ascii="Times New Roman" w:hAnsi="Times New Roman"/>
        </w:rPr>
      </w:pPr>
    </w:p>
    <w:p w:rsidR="00441518" w:rsidRPr="0000522C"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00522C">
        <w:rPr>
          <w:rFonts w:ascii="Times New Roman" w:hAnsi="Times New Roman"/>
          <w:b w:val="0"/>
        </w:rPr>
        <w:t>Los inmuebles y muebles se registran a su valor de adquisición o construcción.</w:t>
      </w:r>
    </w:p>
    <w:p w:rsidR="00441518" w:rsidRPr="0000522C" w:rsidRDefault="00441518">
      <w:pPr>
        <w:pStyle w:val="Textoindependiente"/>
        <w:tabs>
          <w:tab w:val="left" w:pos="-2160"/>
          <w:tab w:val="left" w:pos="-1980"/>
        </w:tabs>
        <w:ind w:left="660"/>
        <w:jc w:val="both"/>
        <w:rPr>
          <w:rFonts w:ascii="Times New Roman" w:hAnsi="Times New Roman"/>
          <w:b w:val="0"/>
        </w:rPr>
      </w:pPr>
    </w:p>
    <w:p w:rsidR="00441518" w:rsidRPr="0000522C"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00522C">
        <w:rPr>
          <w:rFonts w:ascii="Times New Roman" w:hAnsi="Times New Roman"/>
          <w:b w:val="0"/>
        </w:rPr>
        <w:t>El valor de los revalúos se acredita al Patrimonio Restringido cuando se constituye y se debita cuando se retira el activo.</w:t>
      </w:r>
    </w:p>
    <w:p w:rsidR="00441518" w:rsidRPr="0000522C" w:rsidRDefault="00441518">
      <w:pPr>
        <w:pStyle w:val="Textoindependiente"/>
        <w:tabs>
          <w:tab w:val="left" w:pos="-2160"/>
          <w:tab w:val="left" w:pos="-1980"/>
        </w:tabs>
        <w:ind w:left="660"/>
        <w:jc w:val="both"/>
        <w:rPr>
          <w:rFonts w:ascii="Times New Roman" w:hAnsi="Times New Roman"/>
          <w:b w:val="0"/>
        </w:rPr>
      </w:pPr>
    </w:p>
    <w:p w:rsidR="00441518" w:rsidRPr="0000522C"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00522C">
        <w:rPr>
          <w:rFonts w:ascii="Times New Roman" w:hAnsi="Times New Roman"/>
          <w:b w:val="0"/>
        </w:rPr>
        <w:t>Los revalúos son hechos por perito independiente que se encuentra registrado en la Superintendencia. Los revalúos realizados hasta la fecha fueron autorizados por la Superintendencia.</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00522C">
        <w:rPr>
          <w:rFonts w:ascii="Times New Roman" w:hAnsi="Times New Roman"/>
          <w:b w:val="0"/>
        </w:rPr>
        <w:t>El Banco tiene como política utilizar el método de línea recta para su depreciación, sobre una base estimada de vida útil; las ganancias o pérdidas que resulten de retiros o ventas se cargan a resultados del año.</w:t>
      </w:r>
    </w:p>
    <w:p w:rsidR="00441518" w:rsidRPr="0000522C" w:rsidRDefault="00441518">
      <w:pPr>
        <w:pStyle w:val="Textoindependiente"/>
        <w:tabs>
          <w:tab w:val="left" w:pos="-2160"/>
          <w:tab w:val="left" w:pos="-1980"/>
        </w:tabs>
        <w:ind w:left="705"/>
        <w:jc w:val="both"/>
        <w:rPr>
          <w:rFonts w:ascii="Times New Roman" w:hAnsi="Times New Roman"/>
          <w:b w:val="0"/>
        </w:rPr>
      </w:pPr>
    </w:p>
    <w:p w:rsidR="00441518" w:rsidRPr="0000522C"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00522C">
        <w:rPr>
          <w:rFonts w:ascii="Times New Roman" w:hAnsi="Times New Roman"/>
          <w:b w:val="0"/>
        </w:rPr>
        <w:t>Las reparaciones que no prologan la vida útil del bien, se reconocen como gastos en el período que se incurren y las adiciones y mejoras que aumentan el valor del bien o prolongan su vida útil se registran como parte del activo fijo.</w:t>
      </w:r>
    </w:p>
    <w:p w:rsidR="00441518" w:rsidRPr="0000522C" w:rsidRDefault="00441518" w:rsidP="00C56D30">
      <w:pPr>
        <w:pStyle w:val="Textoindependiente"/>
        <w:tabs>
          <w:tab w:val="left" w:pos="-2160"/>
          <w:tab w:val="left" w:pos="-1980"/>
        </w:tabs>
        <w:ind w:left="705" w:firstLine="709"/>
        <w:jc w:val="both"/>
        <w:rPr>
          <w:rFonts w:ascii="Times New Roman" w:hAnsi="Times New Roman"/>
          <w:b w:val="0"/>
        </w:rPr>
      </w:pPr>
    </w:p>
    <w:p w:rsidR="00441518" w:rsidRPr="0000522C" w:rsidRDefault="00441518">
      <w:pPr>
        <w:pStyle w:val="Textoindependiente"/>
        <w:tabs>
          <w:tab w:val="left" w:pos="-2160"/>
          <w:tab w:val="left" w:pos="-1980"/>
        </w:tabs>
        <w:jc w:val="both"/>
        <w:rPr>
          <w:rFonts w:ascii="Times New Roman" w:hAnsi="Times New Roman"/>
          <w:b w:val="0"/>
        </w:rPr>
      </w:pPr>
      <w:r w:rsidRPr="0000522C">
        <w:rPr>
          <w:rFonts w:ascii="Times New Roman" w:hAnsi="Times New Roman"/>
          <w:b w:val="0"/>
        </w:rPr>
        <w:t>2.5</w:t>
      </w:r>
      <w:r w:rsidRPr="0000522C">
        <w:rPr>
          <w:rFonts w:ascii="Times New Roman" w:hAnsi="Times New Roman"/>
          <w:b w:val="0"/>
        </w:rPr>
        <w:tab/>
        <w:t>Indemnizaciones y Retiro Voluntario.</w:t>
      </w:r>
    </w:p>
    <w:p w:rsidR="00441518" w:rsidRPr="0000522C" w:rsidRDefault="00441518">
      <w:pPr>
        <w:pStyle w:val="Textoindependiente"/>
        <w:tabs>
          <w:tab w:val="left" w:pos="-2160"/>
          <w:tab w:val="left" w:pos="-1980"/>
        </w:tabs>
        <w:jc w:val="both"/>
        <w:rPr>
          <w:rFonts w:ascii="Times New Roman" w:hAnsi="Times New Roman"/>
          <w:b w:val="0"/>
        </w:rPr>
      </w:pPr>
      <w:r w:rsidRPr="0000522C">
        <w:rPr>
          <w:rFonts w:ascii="Times New Roman" w:hAnsi="Times New Roman"/>
          <w:b w:val="0"/>
        </w:rPr>
        <w:t xml:space="preserve"> </w:t>
      </w:r>
    </w:p>
    <w:p w:rsidR="00C443F7" w:rsidRPr="0000522C" w:rsidRDefault="00441518" w:rsidP="00C443F7">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De acuerdo a la Legislación Salvadoreña los empleados despedidos sin causa justificada deben recibir un mes de sueldo (hasta 4 salarios mínimos vigentes) por cada año de trabajo</w:t>
      </w:r>
      <w:r w:rsidR="00C56D30" w:rsidRPr="0000522C">
        <w:rPr>
          <w:rFonts w:ascii="Times New Roman" w:hAnsi="Times New Roman"/>
          <w:b w:val="0"/>
        </w:rPr>
        <w:t xml:space="preserve"> y para los que </w:t>
      </w:r>
      <w:r w:rsidR="00C443F7" w:rsidRPr="0000522C">
        <w:rPr>
          <w:rFonts w:ascii="Times New Roman" w:hAnsi="Times New Roman"/>
          <w:b w:val="0"/>
        </w:rPr>
        <w:t>renunci</w:t>
      </w:r>
      <w:r w:rsidR="00C56D30" w:rsidRPr="0000522C">
        <w:rPr>
          <w:rFonts w:ascii="Times New Roman" w:hAnsi="Times New Roman"/>
          <w:b w:val="0"/>
        </w:rPr>
        <w:t>a</w:t>
      </w:r>
      <w:r w:rsidR="00C443F7" w:rsidRPr="0000522C">
        <w:rPr>
          <w:rFonts w:ascii="Times New Roman" w:hAnsi="Times New Roman"/>
          <w:b w:val="0"/>
        </w:rPr>
        <w:t>n a partir de los dos años, recibirán una prestación económica equivalente</w:t>
      </w:r>
      <w:r w:rsidR="00C56D30" w:rsidRPr="0000522C">
        <w:rPr>
          <w:rFonts w:ascii="Times New Roman" w:hAnsi="Times New Roman"/>
          <w:b w:val="0"/>
        </w:rPr>
        <w:t xml:space="preserve"> </w:t>
      </w:r>
      <w:r w:rsidR="00C443F7" w:rsidRPr="0000522C">
        <w:rPr>
          <w:rFonts w:ascii="Times New Roman" w:hAnsi="Times New Roman"/>
          <w:b w:val="0"/>
        </w:rPr>
        <w:t>a quince días de salario básico por cada año de servicio</w:t>
      </w:r>
      <w:r w:rsidR="00C56D30" w:rsidRPr="0000522C">
        <w:rPr>
          <w:rFonts w:ascii="Times New Roman" w:hAnsi="Times New Roman"/>
          <w:b w:val="0"/>
        </w:rPr>
        <w:t xml:space="preserve">, la que en </w:t>
      </w:r>
      <w:r w:rsidR="00C443F7" w:rsidRPr="0000522C">
        <w:rPr>
          <w:rFonts w:ascii="Times New Roman" w:hAnsi="Times New Roman"/>
          <w:b w:val="0"/>
        </w:rPr>
        <w:t xml:space="preserve">ningún </w:t>
      </w:r>
      <w:r w:rsidR="00C56D30" w:rsidRPr="0000522C">
        <w:rPr>
          <w:rFonts w:ascii="Times New Roman" w:hAnsi="Times New Roman"/>
          <w:b w:val="0"/>
        </w:rPr>
        <w:t xml:space="preserve">caso será </w:t>
      </w:r>
      <w:r w:rsidR="00C443F7" w:rsidRPr="0000522C">
        <w:rPr>
          <w:rFonts w:ascii="Times New Roman" w:hAnsi="Times New Roman"/>
          <w:b w:val="0"/>
        </w:rPr>
        <w:t>superior a dos veces el salario</w:t>
      </w:r>
      <w:r w:rsidR="00C56D30" w:rsidRPr="0000522C">
        <w:rPr>
          <w:rFonts w:ascii="Times New Roman" w:hAnsi="Times New Roman"/>
          <w:b w:val="0"/>
        </w:rPr>
        <w:t xml:space="preserve"> </w:t>
      </w:r>
      <w:r w:rsidR="00C443F7" w:rsidRPr="0000522C">
        <w:rPr>
          <w:rFonts w:ascii="Times New Roman" w:hAnsi="Times New Roman"/>
          <w:b w:val="0"/>
        </w:rPr>
        <w:t>mínimo diario legal vigente correspondiente al sector al que corresponda la actividad económica del empleador.</w:t>
      </w:r>
    </w:p>
    <w:p w:rsidR="00441518" w:rsidRPr="0000522C" w:rsidRDefault="00441518">
      <w:pPr>
        <w:pStyle w:val="Textoindependiente"/>
        <w:tabs>
          <w:tab w:val="left" w:pos="-2160"/>
          <w:tab w:val="left" w:pos="-1980"/>
        </w:tabs>
        <w:jc w:val="both"/>
        <w:rPr>
          <w:rFonts w:ascii="Times New Roman" w:hAnsi="Times New Roman"/>
          <w:b w:val="0"/>
        </w:rPr>
      </w:pPr>
      <w:r w:rsidRPr="0000522C">
        <w:rPr>
          <w:rFonts w:ascii="Times New Roman" w:hAnsi="Times New Roman"/>
          <w:b w:val="0"/>
        </w:rPr>
        <w:tab/>
      </w:r>
    </w:p>
    <w:p w:rsidR="00441518" w:rsidRPr="0000522C" w:rsidRDefault="00441518">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ab/>
        <w:t>La Ley de Creación del Banco de Fomento Agropecuario, establece un Fondo de Protección de Funcionarios y Empleados con patrimonio propio regido mediante un estatuto emitido por la Asamblea de Gobernadores y aprobado por el Poder Ejecutivo en el Ramo del Interior. La finalidad del Fondo es garantizar al empleado un beneficio económico a su retiro.</w:t>
      </w:r>
    </w:p>
    <w:p w:rsidR="00441518" w:rsidRPr="0000522C" w:rsidRDefault="00441518">
      <w:pPr>
        <w:pStyle w:val="Textoindependiente"/>
        <w:tabs>
          <w:tab w:val="left" w:pos="-2160"/>
          <w:tab w:val="left" w:pos="-1980"/>
        </w:tabs>
        <w:ind w:left="705"/>
        <w:jc w:val="both"/>
        <w:rPr>
          <w:rFonts w:ascii="Times New Roman" w:hAnsi="Times New Roman"/>
          <w:b w:val="0"/>
        </w:rPr>
      </w:pPr>
    </w:p>
    <w:p w:rsidR="0094040D" w:rsidRPr="0000522C" w:rsidRDefault="00441518">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 xml:space="preserve">Es política del Banco que a los empleados que se retiran se les reconozca hasta el 50% de la indemnización </w:t>
      </w:r>
      <w:r w:rsidR="008605E4" w:rsidRPr="0000522C">
        <w:rPr>
          <w:rFonts w:ascii="Times New Roman" w:hAnsi="Times New Roman"/>
          <w:b w:val="0"/>
        </w:rPr>
        <w:t xml:space="preserve">que les corresponde, al </w:t>
      </w:r>
      <w:r w:rsidR="00EE39DF" w:rsidRPr="0000522C">
        <w:rPr>
          <w:rFonts w:ascii="Times New Roman" w:hAnsi="Times New Roman"/>
          <w:b w:val="0"/>
        </w:rPr>
        <w:t>3</w:t>
      </w:r>
      <w:r w:rsidR="00C56D30" w:rsidRPr="0000522C">
        <w:rPr>
          <w:rFonts w:ascii="Times New Roman" w:hAnsi="Times New Roman"/>
          <w:b w:val="0"/>
        </w:rPr>
        <w:t>0</w:t>
      </w:r>
      <w:r w:rsidR="00EE39DF" w:rsidRPr="0000522C">
        <w:rPr>
          <w:rFonts w:ascii="Times New Roman" w:hAnsi="Times New Roman"/>
          <w:b w:val="0"/>
        </w:rPr>
        <w:t>/</w:t>
      </w:r>
      <w:r w:rsidR="00385322" w:rsidRPr="0000522C">
        <w:rPr>
          <w:rFonts w:ascii="Times New Roman" w:hAnsi="Times New Roman"/>
          <w:b w:val="0"/>
        </w:rPr>
        <w:t>0</w:t>
      </w:r>
      <w:r w:rsidR="00412910" w:rsidRPr="0000522C">
        <w:rPr>
          <w:rFonts w:ascii="Times New Roman" w:hAnsi="Times New Roman"/>
          <w:b w:val="0"/>
        </w:rPr>
        <w:t>9</w:t>
      </w:r>
      <w:r w:rsidR="00DD00C4" w:rsidRPr="0000522C">
        <w:rPr>
          <w:rFonts w:ascii="Times New Roman" w:hAnsi="Times New Roman"/>
          <w:b w:val="0"/>
        </w:rPr>
        <w:t>/1</w:t>
      </w:r>
      <w:r w:rsidR="008A2E08" w:rsidRPr="0000522C">
        <w:rPr>
          <w:rFonts w:ascii="Times New Roman" w:hAnsi="Times New Roman"/>
          <w:b w:val="0"/>
        </w:rPr>
        <w:t>6</w:t>
      </w:r>
      <w:r w:rsidR="00385322" w:rsidRPr="0000522C">
        <w:rPr>
          <w:rFonts w:ascii="Times New Roman" w:hAnsi="Times New Roman"/>
          <w:b w:val="0"/>
        </w:rPr>
        <w:t xml:space="preserve">, </w:t>
      </w:r>
      <w:r w:rsidR="008605E4" w:rsidRPr="0000522C">
        <w:rPr>
          <w:rFonts w:ascii="Times New Roman" w:hAnsi="Times New Roman"/>
          <w:b w:val="0"/>
        </w:rPr>
        <w:t xml:space="preserve">el Banco ha provisionado </w:t>
      </w:r>
      <w:r w:rsidR="00CF5523" w:rsidRPr="0000522C">
        <w:rPr>
          <w:rFonts w:ascii="Times New Roman" w:hAnsi="Times New Roman"/>
          <w:b w:val="0"/>
        </w:rPr>
        <w:lastRenderedPageBreak/>
        <w:t>$</w:t>
      </w:r>
      <w:r w:rsidR="00A36B22" w:rsidRPr="0000522C">
        <w:rPr>
          <w:rFonts w:ascii="Times New Roman" w:hAnsi="Times New Roman"/>
          <w:b w:val="0"/>
        </w:rPr>
        <w:t>2,949.2</w:t>
      </w:r>
      <w:r w:rsidR="00DD00C4" w:rsidRPr="0000522C">
        <w:rPr>
          <w:rFonts w:ascii="Times New Roman" w:hAnsi="Times New Roman"/>
          <w:b w:val="0"/>
        </w:rPr>
        <w:t xml:space="preserve"> </w:t>
      </w:r>
      <w:r w:rsidR="008605E4" w:rsidRPr="0000522C">
        <w:rPr>
          <w:rFonts w:ascii="Times New Roman" w:hAnsi="Times New Roman"/>
          <w:b w:val="0"/>
        </w:rPr>
        <w:t xml:space="preserve">y para el </w:t>
      </w:r>
      <w:r w:rsidR="00CF5523" w:rsidRPr="0000522C">
        <w:rPr>
          <w:rFonts w:ascii="Times New Roman" w:hAnsi="Times New Roman"/>
          <w:b w:val="0"/>
        </w:rPr>
        <w:t>3</w:t>
      </w:r>
      <w:r w:rsidR="00C56D30" w:rsidRPr="0000522C">
        <w:rPr>
          <w:rFonts w:ascii="Times New Roman" w:hAnsi="Times New Roman"/>
          <w:b w:val="0"/>
        </w:rPr>
        <w:t>0</w:t>
      </w:r>
      <w:r w:rsidR="00CF5523" w:rsidRPr="0000522C">
        <w:rPr>
          <w:rFonts w:ascii="Times New Roman" w:hAnsi="Times New Roman"/>
          <w:b w:val="0"/>
        </w:rPr>
        <w:t>/</w:t>
      </w:r>
      <w:r w:rsidR="00385322" w:rsidRPr="0000522C">
        <w:rPr>
          <w:rFonts w:ascii="Times New Roman" w:hAnsi="Times New Roman"/>
          <w:b w:val="0"/>
        </w:rPr>
        <w:t>0</w:t>
      </w:r>
      <w:r w:rsidR="00412910" w:rsidRPr="0000522C">
        <w:rPr>
          <w:rFonts w:ascii="Times New Roman" w:hAnsi="Times New Roman"/>
          <w:b w:val="0"/>
        </w:rPr>
        <w:t>9</w:t>
      </w:r>
      <w:r w:rsidR="00DD00C4" w:rsidRPr="0000522C">
        <w:rPr>
          <w:rFonts w:ascii="Times New Roman" w:hAnsi="Times New Roman"/>
          <w:b w:val="0"/>
        </w:rPr>
        <w:t>/15</w:t>
      </w:r>
      <w:r w:rsidR="008605E4" w:rsidRPr="0000522C">
        <w:rPr>
          <w:rFonts w:ascii="Times New Roman" w:hAnsi="Times New Roman"/>
          <w:b w:val="0"/>
        </w:rPr>
        <w:t xml:space="preserve">, </w:t>
      </w:r>
      <w:r w:rsidR="00A36B22" w:rsidRPr="0000522C">
        <w:rPr>
          <w:rFonts w:ascii="Times New Roman" w:hAnsi="Times New Roman"/>
          <w:b w:val="0"/>
        </w:rPr>
        <w:t>$2,690.4</w:t>
      </w:r>
      <w:r w:rsidR="00C56D30" w:rsidRPr="0000522C">
        <w:rPr>
          <w:rFonts w:ascii="Times New Roman" w:hAnsi="Times New Roman"/>
          <w:b w:val="0"/>
        </w:rPr>
        <w:t>.</w:t>
      </w:r>
    </w:p>
    <w:p w:rsidR="0094040D" w:rsidRPr="0000522C" w:rsidRDefault="0094040D">
      <w:pPr>
        <w:pStyle w:val="Textoindependiente"/>
        <w:tabs>
          <w:tab w:val="left" w:pos="-2160"/>
          <w:tab w:val="left" w:pos="-1980"/>
        </w:tabs>
        <w:ind w:left="705"/>
        <w:jc w:val="both"/>
        <w:rPr>
          <w:rFonts w:ascii="Times New Roman" w:hAnsi="Times New Roman"/>
          <w:b w:val="0"/>
        </w:rPr>
      </w:pPr>
    </w:p>
    <w:p w:rsidR="00441518" w:rsidRPr="0000522C" w:rsidRDefault="00441518">
      <w:pPr>
        <w:pStyle w:val="Textoindependiente"/>
        <w:numPr>
          <w:ilvl w:val="1"/>
          <w:numId w:val="5"/>
        </w:numPr>
        <w:tabs>
          <w:tab w:val="left" w:pos="-2160"/>
          <w:tab w:val="left" w:pos="-1980"/>
          <w:tab w:val="left" w:pos="-1890"/>
        </w:tabs>
        <w:jc w:val="both"/>
        <w:rPr>
          <w:rFonts w:ascii="Times New Roman" w:hAnsi="Times New Roman"/>
          <w:b w:val="0"/>
        </w:rPr>
      </w:pPr>
      <w:r w:rsidRPr="0000522C">
        <w:rPr>
          <w:rFonts w:ascii="Times New Roman" w:hAnsi="Times New Roman"/>
          <w:b w:val="0"/>
        </w:rPr>
        <w:t xml:space="preserve">Reservas de saneamiento </w:t>
      </w:r>
    </w:p>
    <w:p w:rsidR="00441518" w:rsidRPr="0000522C" w:rsidRDefault="00441518">
      <w:pPr>
        <w:pStyle w:val="Textoindependiente"/>
        <w:tabs>
          <w:tab w:val="left" w:pos="-2160"/>
          <w:tab w:val="left" w:pos="-1980"/>
          <w:tab w:val="left" w:pos="-1890"/>
        </w:tabs>
        <w:jc w:val="both"/>
        <w:rPr>
          <w:rFonts w:ascii="Times New Roman" w:hAnsi="Times New Roman"/>
          <w:b w:val="0"/>
        </w:rPr>
      </w:pPr>
    </w:p>
    <w:p w:rsidR="00441518" w:rsidRPr="0000522C" w:rsidRDefault="00441518">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rsidR="00441518" w:rsidRPr="0000522C" w:rsidRDefault="00441518">
      <w:pPr>
        <w:pStyle w:val="Textoindependiente"/>
        <w:tabs>
          <w:tab w:val="left" w:pos="-2160"/>
          <w:tab w:val="left" w:pos="-1980"/>
        </w:tabs>
        <w:ind w:left="705"/>
        <w:jc w:val="both"/>
        <w:rPr>
          <w:rFonts w:ascii="Times New Roman" w:hAnsi="Times New Roman"/>
          <w:b w:val="0"/>
        </w:rPr>
      </w:pPr>
    </w:p>
    <w:p w:rsidR="00441518" w:rsidRPr="0000522C" w:rsidRDefault="00441518">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rsidR="00441518" w:rsidRPr="0000522C" w:rsidRDefault="00441518">
      <w:pPr>
        <w:pStyle w:val="Textoindependiente"/>
        <w:tabs>
          <w:tab w:val="left" w:pos="-2160"/>
          <w:tab w:val="left" w:pos="-1980"/>
        </w:tabs>
        <w:ind w:left="705"/>
        <w:jc w:val="both"/>
        <w:rPr>
          <w:rFonts w:ascii="Times New Roman" w:hAnsi="Times New Roman"/>
          <w:b w:val="0"/>
        </w:rPr>
      </w:pPr>
    </w:p>
    <w:p w:rsidR="00441518" w:rsidRPr="0000522C" w:rsidRDefault="00441518">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créditos relacionados determinados por la Superintendencia, el cual se disminuirá con crédito a los resultados conforme se elimine el exceso correspondiente.</w:t>
      </w:r>
    </w:p>
    <w:p w:rsidR="00441518" w:rsidRPr="0000522C" w:rsidRDefault="00441518">
      <w:pPr>
        <w:pStyle w:val="Textoindependiente"/>
        <w:tabs>
          <w:tab w:val="left" w:pos="-2160"/>
          <w:tab w:val="left" w:pos="-1980"/>
        </w:tabs>
        <w:ind w:left="705"/>
        <w:jc w:val="both"/>
        <w:rPr>
          <w:rFonts w:ascii="Times New Roman" w:hAnsi="Times New Roman"/>
          <w:b w:val="0"/>
        </w:rPr>
      </w:pPr>
    </w:p>
    <w:p w:rsidR="00441518" w:rsidRPr="0000522C" w:rsidRDefault="00441518">
      <w:pPr>
        <w:pStyle w:val="Textoindependiente"/>
        <w:tabs>
          <w:tab w:val="left" w:pos="-2160"/>
          <w:tab w:val="left" w:pos="-1980"/>
        </w:tabs>
        <w:ind w:left="705"/>
        <w:jc w:val="both"/>
        <w:rPr>
          <w:rFonts w:ascii="Times New Roman" w:hAnsi="Times New Roman"/>
          <w:b w:val="0"/>
        </w:rPr>
      </w:pPr>
      <w:r w:rsidRPr="0000522C">
        <w:rPr>
          <w:rFonts w:ascii="Times New Roman" w:hAnsi="Times New Roman"/>
          <w:b w:val="0"/>
        </w:rPr>
        <w:t>Las reservas de saneamiento en exceso de los requerimientos mínimos establecidos por la Superintendencia, las cuales aparecen bajo la denominación de voluntarias, se han constituido tomando como base el criterio de la morosidad que se puede tener.</w:t>
      </w:r>
    </w:p>
    <w:p w:rsidR="00441518" w:rsidRPr="0000522C" w:rsidRDefault="00441518">
      <w:pPr>
        <w:pStyle w:val="Textoindependiente"/>
        <w:tabs>
          <w:tab w:val="left" w:pos="-2160"/>
          <w:tab w:val="left" w:pos="-1980"/>
        </w:tabs>
        <w:jc w:val="both"/>
        <w:rPr>
          <w:rFonts w:ascii="Times New Roman" w:hAnsi="Times New Roman"/>
          <w:b w:val="0"/>
        </w:rPr>
      </w:pPr>
    </w:p>
    <w:p w:rsidR="00441518" w:rsidRPr="0000522C" w:rsidRDefault="00441518">
      <w:pPr>
        <w:pStyle w:val="Textoindependiente"/>
        <w:tabs>
          <w:tab w:val="left" w:pos="-2160"/>
          <w:tab w:val="left" w:pos="-1980"/>
        </w:tabs>
        <w:ind w:left="705"/>
        <w:jc w:val="both"/>
        <w:rPr>
          <w:rFonts w:ascii="Times New Roman" w:hAnsi="Times New Roman"/>
          <w:b w:val="0"/>
        </w:rPr>
      </w:pPr>
      <w:r w:rsidRPr="0000522C">
        <w:tab/>
      </w:r>
      <w:r w:rsidRPr="0000522C">
        <w:rPr>
          <w:rFonts w:ascii="Times New Roman" w:hAnsi="Times New Roman"/>
          <w:b w:val="0"/>
        </w:rPr>
        <w:t>Las reservas de saneamiento por pérdidas potenciales por incobrabilidad, se determinan con base a datos empíricos de cada Banco y son establecidas por la Gerencia de cada entidad.</w:t>
      </w:r>
    </w:p>
    <w:p w:rsidR="00441518" w:rsidRPr="0000522C" w:rsidRDefault="00441518">
      <w:pPr>
        <w:pStyle w:val="Textoindependiente"/>
        <w:tabs>
          <w:tab w:val="left" w:pos="-2160"/>
          <w:tab w:val="left" w:pos="-1980"/>
        </w:tabs>
        <w:ind w:left="705"/>
        <w:jc w:val="both"/>
        <w:rPr>
          <w:rFonts w:ascii="Times New Roman" w:hAnsi="Times New Roman"/>
          <w:b w:val="0"/>
        </w:rPr>
      </w:pPr>
    </w:p>
    <w:p w:rsidR="00441518" w:rsidRPr="0000522C" w:rsidRDefault="00441518">
      <w:pPr>
        <w:tabs>
          <w:tab w:val="left" w:pos="-2160"/>
          <w:tab w:val="left" w:pos="-1980"/>
        </w:tabs>
        <w:jc w:val="both"/>
        <w:rPr>
          <w:snapToGrid w:val="0"/>
          <w:sz w:val="24"/>
          <w:lang w:val="es-ES_tradnl"/>
        </w:rPr>
      </w:pPr>
      <w:r w:rsidRPr="0000522C">
        <w:rPr>
          <w:snapToGrid w:val="0"/>
          <w:sz w:val="24"/>
          <w:lang w:val="es-ES_tradnl"/>
        </w:rPr>
        <w:t>2.7</w:t>
      </w:r>
      <w:r w:rsidRPr="0000522C">
        <w:rPr>
          <w:snapToGrid w:val="0"/>
          <w:sz w:val="24"/>
          <w:lang w:val="es-ES_tradnl"/>
        </w:rPr>
        <w:tab/>
        <w:t>Préstamos vencidos</w:t>
      </w:r>
    </w:p>
    <w:p w:rsidR="00441518" w:rsidRPr="0000522C" w:rsidRDefault="00441518">
      <w:pPr>
        <w:pStyle w:val="Sangra2detindependiente"/>
      </w:pPr>
    </w:p>
    <w:p w:rsidR="00441518" w:rsidRPr="0000522C" w:rsidRDefault="00441518">
      <w:pPr>
        <w:pStyle w:val="Sangra2detindependiente"/>
      </w:pPr>
      <w:r w:rsidRPr="0000522C">
        <w:t xml:space="preserve">Se consideran préstamos vencidos los saldos totales de capital, de aquellos préstamos que tienen cuotas de capital o intereses con mora superior a noventa (90) días o cuando la entidad ha tomado la decisión de cobrarlos por la vía judicial, aunque no existe la morosidad antes indicada. </w:t>
      </w:r>
    </w:p>
    <w:p w:rsidR="00441518" w:rsidRPr="0000522C" w:rsidRDefault="00441518">
      <w:pPr>
        <w:pStyle w:val="Sangra2detindependiente"/>
      </w:pPr>
    </w:p>
    <w:p w:rsidR="00441518" w:rsidRPr="0000522C" w:rsidRDefault="00441518">
      <w:pPr>
        <w:tabs>
          <w:tab w:val="left" w:pos="-2160"/>
          <w:tab w:val="left" w:pos="-1980"/>
        </w:tabs>
        <w:jc w:val="both"/>
        <w:rPr>
          <w:snapToGrid w:val="0"/>
          <w:sz w:val="24"/>
          <w:lang w:val="es-ES_tradnl"/>
        </w:rPr>
      </w:pPr>
      <w:r w:rsidRPr="0000522C">
        <w:rPr>
          <w:snapToGrid w:val="0"/>
          <w:sz w:val="24"/>
          <w:lang w:val="es-ES_tradnl"/>
        </w:rPr>
        <w:t>2.8</w:t>
      </w:r>
      <w:r w:rsidRPr="0000522C">
        <w:rPr>
          <w:snapToGrid w:val="0"/>
          <w:sz w:val="24"/>
          <w:lang w:val="es-ES_tradnl"/>
        </w:rPr>
        <w:tab/>
        <w:t>Inversiones accionarias</w:t>
      </w:r>
    </w:p>
    <w:p w:rsidR="00441518" w:rsidRPr="0000522C" w:rsidRDefault="00441518">
      <w:pPr>
        <w:tabs>
          <w:tab w:val="left" w:pos="-2160"/>
          <w:tab w:val="left" w:pos="-1980"/>
        </w:tabs>
        <w:jc w:val="both"/>
        <w:rPr>
          <w:snapToGrid w:val="0"/>
          <w:sz w:val="24"/>
          <w:lang w:val="es-ES_tradnl"/>
        </w:rPr>
      </w:pPr>
    </w:p>
    <w:p w:rsidR="00441518" w:rsidRPr="0000522C" w:rsidRDefault="00441518">
      <w:pPr>
        <w:pStyle w:val="Sangra2detindependiente"/>
      </w:pPr>
      <w:r w:rsidRPr="0000522C">
        <w:t>Las inversiones en acciones de subsidiarias y sociedades de inversión conjunta se registran utilizando el método de participación.</w:t>
      </w:r>
    </w:p>
    <w:p w:rsidR="00441518" w:rsidRPr="0000522C" w:rsidRDefault="00441518">
      <w:pPr>
        <w:tabs>
          <w:tab w:val="left" w:pos="-2160"/>
          <w:tab w:val="left" w:pos="-1980"/>
        </w:tabs>
        <w:ind w:left="705"/>
        <w:jc w:val="both"/>
        <w:rPr>
          <w:b/>
          <w:snapToGrid w:val="0"/>
          <w:sz w:val="24"/>
          <w:lang w:val="es-ES_tradnl"/>
        </w:rPr>
      </w:pPr>
    </w:p>
    <w:p w:rsidR="00441518" w:rsidRPr="0000522C" w:rsidRDefault="00441518">
      <w:pPr>
        <w:pStyle w:val="Sangra2detindependiente"/>
        <w:tabs>
          <w:tab w:val="left" w:pos="709"/>
        </w:tabs>
        <w:rPr>
          <w:lang w:val="es-GT"/>
        </w:rPr>
      </w:pPr>
      <w:r w:rsidRPr="0000522C">
        <w:rPr>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rsidR="00441518" w:rsidRPr="0000522C" w:rsidRDefault="00441518">
      <w:pPr>
        <w:pStyle w:val="Sangra2detindependiente"/>
        <w:tabs>
          <w:tab w:val="left" w:pos="709"/>
        </w:tabs>
        <w:rPr>
          <w:lang w:val="es-GT"/>
        </w:rPr>
      </w:pPr>
    </w:p>
    <w:p w:rsidR="00441518" w:rsidRPr="0000522C" w:rsidRDefault="00441518">
      <w:pPr>
        <w:tabs>
          <w:tab w:val="left" w:pos="-2160"/>
          <w:tab w:val="left" w:pos="-1980"/>
        </w:tabs>
        <w:jc w:val="both"/>
        <w:rPr>
          <w:snapToGrid w:val="0"/>
          <w:sz w:val="24"/>
          <w:lang w:val="es-ES_tradnl"/>
        </w:rPr>
      </w:pPr>
      <w:r w:rsidRPr="0000522C">
        <w:rPr>
          <w:snapToGrid w:val="0"/>
          <w:sz w:val="24"/>
          <w:lang w:val="es-ES_tradnl"/>
        </w:rPr>
        <w:lastRenderedPageBreak/>
        <w:t>2.9</w:t>
      </w:r>
      <w:r w:rsidRPr="0000522C">
        <w:rPr>
          <w:snapToGrid w:val="0"/>
          <w:sz w:val="24"/>
          <w:lang w:val="es-ES_tradnl"/>
        </w:rPr>
        <w:tab/>
        <w:t>Activos extraordinarios</w:t>
      </w:r>
    </w:p>
    <w:p w:rsidR="00441518" w:rsidRPr="0000522C" w:rsidRDefault="00441518">
      <w:pPr>
        <w:tabs>
          <w:tab w:val="left" w:pos="-2160"/>
          <w:tab w:val="left" w:pos="-1980"/>
        </w:tabs>
        <w:jc w:val="both"/>
        <w:rPr>
          <w:b/>
          <w:snapToGrid w:val="0"/>
          <w:sz w:val="24"/>
          <w:lang w:val="es-ES_tradnl"/>
        </w:rPr>
      </w:pPr>
    </w:p>
    <w:p w:rsidR="00441518" w:rsidRPr="0000522C" w:rsidRDefault="00441518">
      <w:pPr>
        <w:pStyle w:val="Textoindependiente2"/>
        <w:tabs>
          <w:tab w:val="left" w:pos="709"/>
        </w:tabs>
        <w:ind w:left="709"/>
      </w:pPr>
      <w:r w:rsidRPr="0000522C">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 y 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441518" w:rsidRPr="0000522C" w:rsidRDefault="00441518">
      <w:pPr>
        <w:ind w:left="705"/>
        <w:jc w:val="both"/>
        <w:rPr>
          <w:sz w:val="24"/>
        </w:rPr>
      </w:pPr>
    </w:p>
    <w:p w:rsidR="00441518" w:rsidRPr="0000522C" w:rsidRDefault="00441518">
      <w:pPr>
        <w:pStyle w:val="Sangra2detindependiente"/>
        <w:tabs>
          <w:tab w:val="left" w:pos="709"/>
        </w:tabs>
        <w:rPr>
          <w:lang w:val="es-ES"/>
        </w:rPr>
      </w:pPr>
      <w:r w:rsidRPr="0000522C">
        <w:rPr>
          <w:lang w:val="es-ES"/>
        </w:rPr>
        <w:t>La utilidad por venta de activos extraordinarios con financiamiento se reconoce hasta que se ha percibido.</w:t>
      </w:r>
    </w:p>
    <w:p w:rsidR="00441518" w:rsidRPr="0000522C" w:rsidRDefault="00441518">
      <w:pPr>
        <w:tabs>
          <w:tab w:val="left" w:pos="-2160"/>
          <w:tab w:val="left" w:pos="-1980"/>
        </w:tabs>
        <w:jc w:val="both"/>
        <w:rPr>
          <w:b/>
          <w:sz w:val="24"/>
        </w:rPr>
      </w:pPr>
      <w:r w:rsidRPr="0000522C">
        <w:rPr>
          <w:sz w:val="24"/>
        </w:rPr>
        <w:tab/>
      </w:r>
    </w:p>
    <w:p w:rsidR="00441518" w:rsidRPr="0000522C" w:rsidRDefault="00441518">
      <w:pPr>
        <w:rPr>
          <w:sz w:val="24"/>
        </w:rPr>
      </w:pPr>
      <w:r w:rsidRPr="0000522C">
        <w:rPr>
          <w:sz w:val="24"/>
        </w:rPr>
        <w:t>2.10</w:t>
      </w:r>
      <w:r w:rsidRPr="0000522C">
        <w:rPr>
          <w:sz w:val="24"/>
        </w:rPr>
        <w:tab/>
        <w:t>Transacciones en moneda extranjera</w:t>
      </w:r>
    </w:p>
    <w:p w:rsidR="00441518" w:rsidRPr="0000522C" w:rsidRDefault="00441518">
      <w:pPr>
        <w:jc w:val="both"/>
        <w:rPr>
          <w:b/>
          <w:sz w:val="24"/>
        </w:rPr>
      </w:pPr>
    </w:p>
    <w:p w:rsidR="00441518" w:rsidRPr="0000522C" w:rsidRDefault="00441518">
      <w:pPr>
        <w:pStyle w:val="Sangradetextonormal"/>
        <w:tabs>
          <w:tab w:val="left" w:pos="709"/>
        </w:tabs>
        <w:jc w:val="both"/>
        <w:rPr>
          <w:lang w:val="es-ES"/>
        </w:rPr>
      </w:pPr>
      <w:r w:rsidRPr="0000522C">
        <w:rPr>
          <w:lang w:val="es-ES"/>
        </w:rPr>
        <w:t xml:space="preserve">El valor de las transacciones activas y pasivas en moneda extranjera, se presentan en dólares Estadounidenses, valorados al tipo de cambio vigente del dólar Estadounidense. </w:t>
      </w:r>
    </w:p>
    <w:p w:rsidR="00441518" w:rsidRPr="0000522C" w:rsidRDefault="00441518">
      <w:pPr>
        <w:pStyle w:val="Sangradetextonormal"/>
        <w:tabs>
          <w:tab w:val="left" w:pos="709"/>
        </w:tabs>
        <w:jc w:val="both"/>
        <w:rPr>
          <w:lang w:val="es-ES"/>
        </w:rPr>
      </w:pPr>
    </w:p>
    <w:p w:rsidR="00441518" w:rsidRPr="0000522C" w:rsidRDefault="00441518">
      <w:pPr>
        <w:pStyle w:val="Sangradetextonormal"/>
        <w:tabs>
          <w:tab w:val="left" w:pos="709"/>
        </w:tabs>
        <w:jc w:val="both"/>
        <w:rPr>
          <w:lang w:val="es-ES"/>
        </w:rPr>
      </w:pPr>
      <w:r w:rsidRPr="0000522C">
        <w:rPr>
          <w:lang w:val="es-ES"/>
        </w:rPr>
        <w:t>Los ajustes por fluctuaciones de tipo de cambio se aplican a cuentas de gastos o ingresos, según corresponda.</w:t>
      </w:r>
    </w:p>
    <w:p w:rsidR="00441518" w:rsidRPr="0000522C" w:rsidRDefault="00441518">
      <w:pPr>
        <w:rPr>
          <w:b/>
          <w:sz w:val="24"/>
        </w:rPr>
      </w:pPr>
    </w:p>
    <w:p w:rsidR="00441518" w:rsidRPr="0000522C" w:rsidRDefault="00203E98" w:rsidP="00203E98">
      <w:pPr>
        <w:rPr>
          <w:sz w:val="24"/>
        </w:rPr>
      </w:pPr>
      <w:r w:rsidRPr="0000522C">
        <w:rPr>
          <w:sz w:val="24"/>
        </w:rPr>
        <w:t>2.11</w:t>
      </w:r>
      <w:r w:rsidRPr="0000522C">
        <w:rPr>
          <w:sz w:val="24"/>
        </w:rPr>
        <w:tab/>
      </w:r>
      <w:r w:rsidR="00441518" w:rsidRPr="0000522C">
        <w:rPr>
          <w:sz w:val="24"/>
        </w:rPr>
        <w:t>Cargos por riesgos generales de la banca</w:t>
      </w:r>
    </w:p>
    <w:p w:rsidR="00441518" w:rsidRPr="0000522C" w:rsidRDefault="00441518">
      <w:pPr>
        <w:ind w:left="705"/>
        <w:rPr>
          <w:b/>
          <w:sz w:val="24"/>
        </w:rPr>
      </w:pPr>
    </w:p>
    <w:p w:rsidR="00441518" w:rsidRPr="0000522C" w:rsidRDefault="00441518">
      <w:pPr>
        <w:ind w:left="708"/>
        <w:jc w:val="both"/>
        <w:rPr>
          <w:sz w:val="24"/>
        </w:rPr>
      </w:pPr>
      <w:r w:rsidRPr="0000522C">
        <w:rPr>
          <w:sz w:val="24"/>
        </w:rPr>
        <w:t>No se han efectuado cargos por riesgos adicionales.</w:t>
      </w:r>
    </w:p>
    <w:p w:rsidR="00441518" w:rsidRPr="0000522C" w:rsidRDefault="00441518">
      <w:pPr>
        <w:ind w:left="708"/>
        <w:jc w:val="both"/>
        <w:rPr>
          <w:sz w:val="24"/>
        </w:rPr>
      </w:pPr>
    </w:p>
    <w:p w:rsidR="00441518" w:rsidRPr="0000522C" w:rsidRDefault="00441518">
      <w:pPr>
        <w:jc w:val="both"/>
        <w:rPr>
          <w:sz w:val="24"/>
        </w:rPr>
      </w:pPr>
      <w:r w:rsidRPr="0000522C">
        <w:rPr>
          <w:sz w:val="24"/>
        </w:rPr>
        <w:t>2.12</w:t>
      </w:r>
      <w:r w:rsidRPr="0000522C">
        <w:rPr>
          <w:sz w:val="24"/>
        </w:rPr>
        <w:tab/>
        <w:t>Intereses por pagar</w:t>
      </w:r>
    </w:p>
    <w:p w:rsidR="00441518" w:rsidRPr="0000522C" w:rsidRDefault="00441518">
      <w:pPr>
        <w:jc w:val="both"/>
        <w:rPr>
          <w:b/>
          <w:sz w:val="24"/>
        </w:rPr>
      </w:pPr>
      <w:r w:rsidRPr="0000522C">
        <w:rPr>
          <w:b/>
          <w:sz w:val="24"/>
        </w:rPr>
        <w:tab/>
      </w:r>
    </w:p>
    <w:p w:rsidR="00441518" w:rsidRPr="0000522C" w:rsidRDefault="00441518">
      <w:pPr>
        <w:ind w:left="708"/>
        <w:jc w:val="both"/>
        <w:rPr>
          <w:sz w:val="24"/>
        </w:rPr>
      </w:pPr>
      <w:r w:rsidRPr="0000522C">
        <w:rPr>
          <w:sz w:val="24"/>
        </w:rPr>
        <w:t>Los intereses sobre los depósitos, títulos emitidos, préstamos y otras obligaciones se reconocen sobre la base de acumulación.</w:t>
      </w:r>
    </w:p>
    <w:p w:rsidR="00441518" w:rsidRPr="0000522C" w:rsidRDefault="00441518">
      <w:pPr>
        <w:rPr>
          <w:sz w:val="24"/>
        </w:rPr>
      </w:pPr>
    </w:p>
    <w:p w:rsidR="00441518" w:rsidRPr="0000522C" w:rsidRDefault="00441518">
      <w:pPr>
        <w:rPr>
          <w:sz w:val="24"/>
        </w:rPr>
      </w:pPr>
      <w:r w:rsidRPr="0000522C">
        <w:rPr>
          <w:sz w:val="24"/>
        </w:rPr>
        <w:t>2.13</w:t>
      </w:r>
      <w:r w:rsidRPr="0000522C">
        <w:rPr>
          <w:sz w:val="24"/>
        </w:rPr>
        <w:tab/>
        <w:t>Reconocimiento de ingresos</w:t>
      </w:r>
    </w:p>
    <w:p w:rsidR="00441518" w:rsidRPr="0000522C" w:rsidRDefault="00441518">
      <w:pPr>
        <w:rPr>
          <w:sz w:val="24"/>
        </w:rPr>
      </w:pPr>
    </w:p>
    <w:p w:rsidR="00441518" w:rsidRPr="0000522C" w:rsidRDefault="00441518">
      <w:pPr>
        <w:pStyle w:val="Sangra2detindependiente"/>
        <w:tabs>
          <w:tab w:val="left" w:pos="709"/>
        </w:tabs>
        <w:ind w:left="708"/>
        <w:rPr>
          <w:lang w:val="es-ES"/>
        </w:rPr>
      </w:pPr>
      <w:r w:rsidRPr="0000522C">
        <w:rPr>
          <w:lang w:val="es-ES"/>
        </w:rPr>
        <w:t>Se reconocen los ingresos devengados sobre la base de acumulación. Cuando un préstamo tiene mora superior a los noventa días, se suspende la provisión de intereses y se reconocen como ingresos hasta que son pagados en efectivo. Los intereses no provisionados se registran en cuentas de orden.</w:t>
      </w:r>
    </w:p>
    <w:p w:rsidR="00441518" w:rsidRPr="0000522C" w:rsidRDefault="00441518">
      <w:pPr>
        <w:pStyle w:val="Sangra2detindependiente"/>
        <w:tabs>
          <w:tab w:val="left" w:pos="709"/>
        </w:tabs>
        <w:ind w:left="708"/>
        <w:rPr>
          <w:b/>
          <w:lang w:val="es-ES"/>
        </w:rPr>
      </w:pPr>
      <w:r w:rsidRPr="0000522C">
        <w:rPr>
          <w:b/>
          <w:lang w:val="es-ES"/>
        </w:rPr>
        <w:tab/>
      </w:r>
    </w:p>
    <w:p w:rsidR="00441518" w:rsidRPr="0000522C" w:rsidRDefault="00441518">
      <w:pPr>
        <w:pStyle w:val="Sangra2detindependiente"/>
        <w:tabs>
          <w:tab w:val="left" w:pos="709"/>
        </w:tabs>
        <w:ind w:left="708"/>
        <w:rPr>
          <w:lang w:val="es-ES"/>
        </w:rPr>
      </w:pPr>
      <w:r w:rsidRPr="0000522C">
        <w:rPr>
          <w:lang w:val="es-ES"/>
        </w:rPr>
        <w:t xml:space="preserve">Las comisiones sobre préstamos y operaciones contingentes con plazo mayor de treinta días se registran como pasivos diferidos y se reconocen como ingresos en forma sistemática en el transcurso del contrato.  </w:t>
      </w:r>
    </w:p>
    <w:p w:rsidR="00441518" w:rsidRPr="0000522C" w:rsidRDefault="00441518">
      <w:pPr>
        <w:ind w:left="708"/>
        <w:rPr>
          <w:sz w:val="24"/>
        </w:rPr>
      </w:pPr>
    </w:p>
    <w:p w:rsidR="00441518" w:rsidRPr="0000522C" w:rsidRDefault="00441518">
      <w:pPr>
        <w:pStyle w:val="Sangra3detindependiente"/>
      </w:pPr>
      <w:r w:rsidRPr="0000522C">
        <w:t>Los intereses que pasan a formar parte del activo como consecuencia de otorgar un refinanciamiento se registran como pasivos diferidos y se reconocen como ingresos hasta que se perciben.</w:t>
      </w:r>
    </w:p>
    <w:p w:rsidR="00C44773" w:rsidRPr="0000522C" w:rsidRDefault="00C44773" w:rsidP="00C44773">
      <w:pPr>
        <w:pStyle w:val="Sangra3detindependiente"/>
        <w:ind w:left="0"/>
      </w:pPr>
    </w:p>
    <w:p w:rsidR="00441518" w:rsidRPr="0000522C" w:rsidRDefault="00441518">
      <w:pPr>
        <w:jc w:val="both"/>
        <w:rPr>
          <w:sz w:val="24"/>
        </w:rPr>
      </w:pPr>
      <w:r w:rsidRPr="0000522C">
        <w:rPr>
          <w:sz w:val="24"/>
        </w:rPr>
        <w:lastRenderedPageBreak/>
        <w:t>2.14</w:t>
      </w:r>
      <w:r w:rsidRPr="0000522C">
        <w:rPr>
          <w:sz w:val="24"/>
        </w:rPr>
        <w:tab/>
        <w:t>Reconocimiento de pérdidas en préstamos y cuentas por cobrar</w:t>
      </w:r>
    </w:p>
    <w:p w:rsidR="00441518" w:rsidRPr="0000522C" w:rsidRDefault="00441518">
      <w:pPr>
        <w:ind w:left="708"/>
        <w:rPr>
          <w:sz w:val="24"/>
        </w:rPr>
      </w:pPr>
    </w:p>
    <w:p w:rsidR="00441518" w:rsidRPr="0000522C" w:rsidRDefault="00441518">
      <w:pPr>
        <w:pStyle w:val="Textoindependiente2"/>
        <w:ind w:left="708"/>
      </w:pPr>
      <w:r w:rsidRPr="0000522C">
        <w:t>El  Banco reconoce como pérdidas de la cartera de préstamos los casos siguientes:</w:t>
      </w:r>
    </w:p>
    <w:p w:rsidR="00441518" w:rsidRPr="0000522C" w:rsidRDefault="00441518">
      <w:pPr>
        <w:pStyle w:val="Textoindependiente2"/>
        <w:ind w:left="708"/>
      </w:pPr>
    </w:p>
    <w:p w:rsidR="00441518" w:rsidRPr="0000522C" w:rsidRDefault="00441518">
      <w:pPr>
        <w:pStyle w:val="Textoindependiente2"/>
        <w:numPr>
          <w:ilvl w:val="0"/>
          <w:numId w:val="7"/>
        </w:numPr>
      </w:pPr>
      <w:r w:rsidRPr="0000522C">
        <w:t>Los saldos con garantía real que tienen más de veinticuatro meses sin reportar recuperaciones de capital, siempre que no se encuentren en proceso de ejecución judicial;</w:t>
      </w:r>
    </w:p>
    <w:p w:rsidR="00441518" w:rsidRPr="0000522C" w:rsidRDefault="00441518">
      <w:pPr>
        <w:pStyle w:val="Textoindependiente2"/>
        <w:ind w:left="708"/>
      </w:pPr>
    </w:p>
    <w:p w:rsidR="00441518" w:rsidRPr="0000522C" w:rsidRDefault="00441518">
      <w:pPr>
        <w:pStyle w:val="Textoindependiente2"/>
        <w:numPr>
          <w:ilvl w:val="0"/>
          <w:numId w:val="7"/>
        </w:numPr>
      </w:pPr>
      <w:r w:rsidRPr="0000522C">
        <w:t xml:space="preserve">Los saldos sin garantía real que tienen más de doce meses sin reportar recuperaciones de capital, siempre que no se encuentren en proceso de ejecución judicial; </w:t>
      </w:r>
    </w:p>
    <w:p w:rsidR="00441518" w:rsidRPr="0000522C" w:rsidRDefault="00441518">
      <w:pPr>
        <w:pStyle w:val="Textoindependiente2"/>
      </w:pPr>
    </w:p>
    <w:p w:rsidR="00441518" w:rsidRPr="0000522C" w:rsidRDefault="00441518">
      <w:pPr>
        <w:pStyle w:val="Textoindependiente2"/>
        <w:numPr>
          <w:ilvl w:val="0"/>
          <w:numId w:val="8"/>
        </w:numPr>
        <w:tabs>
          <w:tab w:val="clear" w:pos="720"/>
          <w:tab w:val="num" w:pos="1428"/>
        </w:tabs>
        <w:ind w:left="1428"/>
      </w:pPr>
      <w:r w:rsidRPr="0000522C">
        <w:t xml:space="preserve">Los saldos sin documento ejecutivo para iniciar la recuperación por la vía judicial; </w:t>
      </w:r>
    </w:p>
    <w:p w:rsidR="00441518" w:rsidRPr="0000522C" w:rsidRDefault="00441518">
      <w:pPr>
        <w:pStyle w:val="Textoindependiente2"/>
      </w:pPr>
    </w:p>
    <w:p w:rsidR="00441518" w:rsidRPr="0000522C" w:rsidRDefault="00441518">
      <w:pPr>
        <w:pStyle w:val="Textoindependiente2"/>
        <w:numPr>
          <w:ilvl w:val="0"/>
          <w:numId w:val="8"/>
        </w:numPr>
        <w:tabs>
          <w:tab w:val="clear" w:pos="720"/>
          <w:tab w:val="num" w:pos="1428"/>
        </w:tabs>
        <w:ind w:left="1428"/>
      </w:pPr>
      <w:r w:rsidRPr="0000522C">
        <w:t xml:space="preserve">Los saldos que después de veinticuatro meses de iniciada la acción judicial, no haya sido posible trabar embargo; </w:t>
      </w:r>
    </w:p>
    <w:p w:rsidR="00441518" w:rsidRPr="0000522C" w:rsidRDefault="00441518">
      <w:pPr>
        <w:pStyle w:val="Textoindependiente2"/>
      </w:pPr>
    </w:p>
    <w:p w:rsidR="00441518" w:rsidRPr="0000522C" w:rsidRDefault="00441518">
      <w:pPr>
        <w:pStyle w:val="Textoindependiente2"/>
        <w:numPr>
          <w:ilvl w:val="0"/>
          <w:numId w:val="8"/>
        </w:numPr>
        <w:tabs>
          <w:tab w:val="clear" w:pos="720"/>
          <w:tab w:val="num" w:pos="1428"/>
        </w:tabs>
        <w:ind w:left="1428"/>
      </w:pPr>
      <w:r w:rsidRPr="0000522C">
        <w:t xml:space="preserve">Los casos en los que se haya emitido sentencia de primera instancia a favor del deudor; </w:t>
      </w:r>
    </w:p>
    <w:p w:rsidR="00441518" w:rsidRPr="0000522C" w:rsidRDefault="00441518">
      <w:pPr>
        <w:pStyle w:val="Textoindependiente2"/>
      </w:pPr>
    </w:p>
    <w:p w:rsidR="00441518" w:rsidRPr="0000522C" w:rsidRDefault="00441518">
      <w:pPr>
        <w:pStyle w:val="Textoindependiente2"/>
        <w:numPr>
          <w:ilvl w:val="0"/>
          <w:numId w:val="8"/>
        </w:numPr>
        <w:tabs>
          <w:tab w:val="clear" w:pos="720"/>
          <w:tab w:val="num" w:pos="1428"/>
        </w:tabs>
        <w:ind w:left="1428"/>
      </w:pPr>
      <w:r w:rsidRPr="0000522C">
        <w:t>Cuando no exista evidencia de que el deudor reconoció su deuda en los últimos cinco años; y</w:t>
      </w:r>
    </w:p>
    <w:p w:rsidR="00441518" w:rsidRPr="0000522C" w:rsidRDefault="00441518">
      <w:pPr>
        <w:pStyle w:val="Textoindependiente2"/>
      </w:pPr>
    </w:p>
    <w:p w:rsidR="00441518" w:rsidRPr="0000522C" w:rsidRDefault="00441518">
      <w:pPr>
        <w:pStyle w:val="Textoindependiente2"/>
        <w:numPr>
          <w:ilvl w:val="0"/>
          <w:numId w:val="8"/>
        </w:numPr>
        <w:tabs>
          <w:tab w:val="clear" w:pos="720"/>
          <w:tab w:val="num" w:pos="1428"/>
        </w:tabs>
        <w:ind w:left="1428"/>
      </w:pPr>
      <w:r w:rsidRPr="0000522C">
        <w:t>Cuando a juicio del Banco no exista posibilidad de recuperación.</w:t>
      </w:r>
    </w:p>
    <w:p w:rsidR="00C44773" w:rsidRPr="0000522C" w:rsidRDefault="00C44773">
      <w:pPr>
        <w:rPr>
          <w:b/>
          <w:sz w:val="24"/>
        </w:rPr>
      </w:pPr>
    </w:p>
    <w:p w:rsidR="00441518" w:rsidRPr="0000522C" w:rsidRDefault="00441518">
      <w:pPr>
        <w:pStyle w:val="Textoindependiente"/>
        <w:tabs>
          <w:tab w:val="left" w:pos="-2160"/>
          <w:tab w:val="left" w:pos="-1980"/>
        </w:tabs>
        <w:jc w:val="left"/>
        <w:rPr>
          <w:rFonts w:ascii="Times New Roman" w:hAnsi="Times New Roman"/>
          <w:b w:val="0"/>
          <w:bCs/>
        </w:rPr>
      </w:pPr>
    </w:p>
    <w:p w:rsidR="00441518" w:rsidRPr="0000522C" w:rsidRDefault="00441518">
      <w:pPr>
        <w:pStyle w:val="Ttulo7"/>
        <w:numPr>
          <w:ilvl w:val="0"/>
          <w:numId w:val="2"/>
        </w:numPr>
        <w:tabs>
          <w:tab w:val="left" w:pos="1134"/>
          <w:tab w:val="num" w:pos="1276"/>
        </w:tabs>
        <w:ind w:left="1276" w:hanging="1276"/>
        <w:rPr>
          <w:bCs/>
        </w:rPr>
      </w:pPr>
      <w:r w:rsidRPr="0000522C">
        <w:rPr>
          <w:bCs/>
        </w:rPr>
        <w:t>CAJA Y BANCOS</w:t>
      </w:r>
    </w:p>
    <w:p w:rsidR="00441518" w:rsidRPr="0000522C" w:rsidRDefault="00441518">
      <w:pPr>
        <w:rPr>
          <w:b/>
        </w:rPr>
      </w:pPr>
    </w:p>
    <w:p w:rsidR="00D40B88" w:rsidRPr="0000522C" w:rsidRDefault="00D40B88" w:rsidP="00D40B88">
      <w:pPr>
        <w:tabs>
          <w:tab w:val="left" w:pos="-2160"/>
          <w:tab w:val="left" w:pos="-1980"/>
          <w:tab w:val="left" w:pos="709"/>
        </w:tabs>
        <w:snapToGrid w:val="0"/>
        <w:jc w:val="both"/>
        <w:rPr>
          <w:sz w:val="24"/>
        </w:rPr>
      </w:pPr>
      <w:r w:rsidRPr="0000522C">
        <w:rPr>
          <w:sz w:val="24"/>
        </w:rPr>
        <w:t>Al 30 de septiembre de 2016 y 2015, este rubro está compuesto por el efectivo disponible en moneda de curso legal por  $73,483.40 y $80,398.8 respectivamente.</w:t>
      </w:r>
    </w:p>
    <w:p w:rsidR="00D40B88" w:rsidRPr="0000522C" w:rsidRDefault="00D40B88" w:rsidP="00D40B88">
      <w:pPr>
        <w:tabs>
          <w:tab w:val="left" w:pos="-2160"/>
          <w:tab w:val="left" w:pos="-1980"/>
          <w:tab w:val="left" w:pos="709"/>
        </w:tabs>
        <w:snapToGrid w:val="0"/>
        <w:jc w:val="both"/>
        <w:rPr>
          <w:sz w:val="24"/>
        </w:rPr>
      </w:pPr>
    </w:p>
    <w:p w:rsidR="00D40B88" w:rsidRPr="0000522C" w:rsidRDefault="00D40B88" w:rsidP="00D40B88">
      <w:pPr>
        <w:tabs>
          <w:tab w:val="left" w:pos="-2160"/>
          <w:tab w:val="left" w:pos="-1980"/>
          <w:tab w:val="left" w:pos="709"/>
        </w:tabs>
        <w:snapToGrid w:val="0"/>
        <w:jc w:val="both"/>
        <w:rPr>
          <w:sz w:val="24"/>
        </w:rPr>
      </w:pPr>
      <w:r w:rsidRPr="0000522C">
        <w:rPr>
          <w:sz w:val="24"/>
        </w:rPr>
        <w:t>El rubro de disponibilidades se integra así:</w:t>
      </w:r>
    </w:p>
    <w:p w:rsidR="00D40B88" w:rsidRPr="0000522C" w:rsidRDefault="00D40B88" w:rsidP="00D40B88">
      <w:pPr>
        <w:tabs>
          <w:tab w:val="left" w:pos="-2160"/>
          <w:tab w:val="left" w:pos="-1980"/>
          <w:tab w:val="left" w:pos="709"/>
        </w:tabs>
        <w:snapToGrid w:val="0"/>
        <w:jc w:val="both"/>
        <w:rPr>
          <w:sz w:val="24"/>
          <w:szCs w:val="24"/>
          <w:lang w:val="es-ES_tradnl"/>
        </w:rPr>
      </w:pPr>
    </w:p>
    <w:bookmarkStart w:id="1" w:name="_MON_1402827188"/>
    <w:bookmarkStart w:id="2" w:name="_MON_1402827232"/>
    <w:bookmarkStart w:id="3" w:name="_MON_1402982855"/>
    <w:bookmarkStart w:id="4" w:name="_MON_1434529757"/>
    <w:bookmarkStart w:id="5" w:name="_MON_1434782259"/>
    <w:bookmarkStart w:id="6" w:name="_MON_1434804461"/>
    <w:bookmarkStart w:id="7" w:name="_MON_1442392049"/>
    <w:bookmarkStart w:id="8" w:name="_MON_1442392547"/>
    <w:bookmarkStart w:id="9" w:name="_MON_1451292528"/>
    <w:bookmarkStart w:id="10" w:name="_MON_1451292848"/>
    <w:bookmarkStart w:id="11" w:name="_MON_1458368088"/>
    <w:bookmarkStart w:id="12" w:name="_MON_1458368697"/>
    <w:bookmarkStart w:id="13" w:name="_MON_1458369220"/>
    <w:bookmarkStart w:id="14" w:name="_MON_1363588464"/>
    <w:bookmarkStart w:id="15" w:name="_MON_1363588582"/>
    <w:bookmarkStart w:id="16" w:name="_MON_1363672965"/>
    <w:bookmarkStart w:id="17" w:name="_MON_1367999032"/>
    <w:bookmarkStart w:id="18" w:name="_MON_1371447987"/>
    <w:bookmarkStart w:id="19" w:name="_MON_1376980831"/>
    <w:bookmarkStart w:id="20" w:name="_MON_1376980834"/>
    <w:bookmarkStart w:id="21" w:name="_MON_1378810508"/>
    <w:bookmarkStart w:id="22" w:name="_MON_1379485118"/>
    <w:bookmarkStart w:id="23" w:name="_MON_1379490829"/>
    <w:bookmarkStart w:id="24" w:name="_MON_1386399747"/>
    <w:bookmarkStart w:id="25" w:name="_MON_1387263039"/>
    <w:bookmarkStart w:id="26" w:name="_MON_1387264273"/>
    <w:bookmarkStart w:id="27" w:name="_MON_1387264307"/>
    <w:bookmarkStart w:id="28" w:name="_MON_1387264327"/>
    <w:bookmarkStart w:id="29" w:name="_MON_1387264402"/>
    <w:bookmarkStart w:id="30" w:name="_MON_1387264425"/>
    <w:bookmarkStart w:id="31" w:name="_MON_1387264436"/>
    <w:bookmarkStart w:id="32" w:name="_MON_1387264450"/>
    <w:bookmarkStart w:id="33" w:name="_MON_1395472782"/>
    <w:bookmarkStart w:id="34" w:name="_MON_1395492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Start w:id="35" w:name="_MON_1395493500"/>
    <w:bookmarkEnd w:id="35"/>
    <w:p w:rsidR="00D40B88" w:rsidRPr="0000522C" w:rsidRDefault="00D40B88" w:rsidP="00D40B88">
      <w:pPr>
        <w:tabs>
          <w:tab w:val="left" w:pos="-2160"/>
          <w:tab w:val="left" w:pos="-1980"/>
          <w:tab w:val="left" w:pos="709"/>
        </w:tabs>
        <w:snapToGrid w:val="0"/>
        <w:jc w:val="both"/>
        <w:rPr>
          <w:sz w:val="24"/>
          <w:szCs w:val="24"/>
          <w:lang w:val="es-ES_tradnl"/>
        </w:rPr>
      </w:pPr>
      <w:r w:rsidRPr="0000522C">
        <w:rPr>
          <w:sz w:val="24"/>
          <w:lang w:val="es-ES_tradnl"/>
        </w:rPr>
        <w:object w:dxaOrig="7370" w:dyaOrig="1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81pt" o:ole="" fillcolor="window">
            <v:imagedata r:id="rId9" o:title=""/>
          </v:shape>
          <o:OLEObject Type="Embed" ProgID="Excel.Sheet.8" ShapeID="_x0000_i1025" DrawAspect="Content" ObjectID="_1539668651" r:id="rId10"/>
        </w:object>
      </w:r>
    </w:p>
    <w:p w:rsidR="00D40B88" w:rsidRPr="0000522C" w:rsidRDefault="00D40B88" w:rsidP="00D40B88">
      <w:pPr>
        <w:tabs>
          <w:tab w:val="left" w:pos="-2160"/>
          <w:tab w:val="left" w:pos="-1980"/>
          <w:tab w:val="left" w:pos="709"/>
        </w:tabs>
        <w:snapToGrid w:val="0"/>
        <w:jc w:val="both"/>
        <w:rPr>
          <w:sz w:val="24"/>
        </w:rPr>
      </w:pPr>
    </w:p>
    <w:p w:rsidR="00D40B88" w:rsidRPr="0000522C" w:rsidRDefault="00D40B88" w:rsidP="00D40B88">
      <w:pPr>
        <w:tabs>
          <w:tab w:val="left" w:pos="-2160"/>
          <w:tab w:val="left" w:pos="-1980"/>
          <w:tab w:val="left" w:pos="709"/>
        </w:tabs>
        <w:snapToGrid w:val="0"/>
        <w:jc w:val="both"/>
        <w:rPr>
          <w:sz w:val="24"/>
        </w:rPr>
      </w:pPr>
      <w:r w:rsidRPr="0000522C">
        <w:rPr>
          <w:sz w:val="24"/>
        </w:rPr>
        <w:t>Los anteriores depósitos no están restringidos para ambos años.</w:t>
      </w:r>
      <w:r w:rsidRPr="0000522C">
        <w:rPr>
          <w:sz w:val="24"/>
        </w:rPr>
        <w:tab/>
      </w:r>
    </w:p>
    <w:p w:rsidR="00D40B88" w:rsidRPr="0000522C" w:rsidRDefault="00D40B88" w:rsidP="00D40B88">
      <w:pPr>
        <w:tabs>
          <w:tab w:val="left" w:pos="-2160"/>
          <w:tab w:val="left" w:pos="-1980"/>
          <w:tab w:val="left" w:pos="709"/>
        </w:tabs>
        <w:snapToGrid w:val="0"/>
        <w:jc w:val="both"/>
        <w:rPr>
          <w:sz w:val="24"/>
        </w:rPr>
      </w:pPr>
    </w:p>
    <w:p w:rsidR="00D40B88" w:rsidRPr="0000522C" w:rsidRDefault="00D40B88" w:rsidP="00D40B88">
      <w:r w:rsidRPr="0000522C">
        <w:rPr>
          <w:color w:val="000000" w:themeColor="text1"/>
          <w:sz w:val="24"/>
        </w:rPr>
        <w:t xml:space="preserve">La Reserva de Liquidez por los depósitos en moneda de curso legal asciende a $49,876.9 </w:t>
      </w:r>
      <w:r w:rsidRPr="0000522C">
        <w:rPr>
          <w:sz w:val="24"/>
        </w:rPr>
        <w:t>y $47,985.6  para el 30 de septiembre de 2016 y el 30 de septiembre de 2015 respectivamente.</w:t>
      </w:r>
    </w:p>
    <w:p w:rsidR="008A6EA6" w:rsidRPr="0000522C" w:rsidRDefault="008A6EA6" w:rsidP="008A6EA6">
      <w:pPr>
        <w:spacing w:after="200" w:line="276" w:lineRule="auto"/>
        <w:rPr>
          <w:rFonts w:asciiTheme="minorHAnsi" w:eastAsiaTheme="minorHAnsi" w:hAnsiTheme="minorHAnsi" w:cstheme="minorBidi"/>
          <w:sz w:val="22"/>
          <w:szCs w:val="22"/>
          <w:lang w:eastAsia="en-US"/>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lastRenderedPageBreak/>
        <w:t>REPORTOS Y OPERACIONES BURSÁTILES</w:t>
      </w:r>
      <w:r w:rsidR="000037ED" w:rsidRPr="0000522C">
        <w:rPr>
          <w:bCs/>
        </w:rPr>
        <w:t xml:space="preserve"> </w:t>
      </w:r>
    </w:p>
    <w:p w:rsidR="00441518" w:rsidRPr="0000522C" w:rsidRDefault="00441518">
      <w:pPr>
        <w:pStyle w:val="Textoindependiente2"/>
        <w:tabs>
          <w:tab w:val="clear" w:pos="-2160"/>
          <w:tab w:val="clear" w:pos="-1980"/>
        </w:tabs>
        <w:rPr>
          <w:b/>
        </w:rPr>
      </w:pPr>
    </w:p>
    <w:p w:rsidR="00A62560" w:rsidRPr="0000522C" w:rsidRDefault="00A62560" w:rsidP="00A62560">
      <w:pPr>
        <w:jc w:val="both"/>
        <w:rPr>
          <w:sz w:val="24"/>
        </w:rPr>
      </w:pPr>
      <w:r w:rsidRPr="0000522C">
        <w:rPr>
          <w:sz w:val="24"/>
        </w:rPr>
        <w:t>Este rubro representa los títulos valores transados en una bolsa de valores y los reportos que el Banco realice directamente con el reportado, a la fech</w:t>
      </w:r>
      <w:r w:rsidR="00796D46" w:rsidRPr="0000522C">
        <w:rPr>
          <w:sz w:val="24"/>
        </w:rPr>
        <w:t>a de los Estados Financieros</w:t>
      </w:r>
      <w:r w:rsidR="006576F9" w:rsidRPr="0000522C">
        <w:rPr>
          <w:sz w:val="24"/>
        </w:rPr>
        <w:t xml:space="preserve"> el Banco</w:t>
      </w:r>
      <w:r w:rsidR="00DA3D54" w:rsidRPr="0000522C">
        <w:rPr>
          <w:sz w:val="24"/>
        </w:rPr>
        <w:t>,</w:t>
      </w:r>
      <w:r w:rsidR="006576F9" w:rsidRPr="0000522C">
        <w:rPr>
          <w:sz w:val="24"/>
        </w:rPr>
        <w:t xml:space="preserve"> </w:t>
      </w:r>
      <w:r w:rsidR="00796D46" w:rsidRPr="0000522C">
        <w:rPr>
          <w:sz w:val="24"/>
        </w:rPr>
        <w:t xml:space="preserve">no </w:t>
      </w:r>
      <w:r w:rsidR="006576F9" w:rsidRPr="0000522C">
        <w:rPr>
          <w:sz w:val="24"/>
        </w:rPr>
        <w:t>ha efectuado esta clase de negociaciones.</w:t>
      </w:r>
    </w:p>
    <w:p w:rsidR="00700F8E" w:rsidRPr="0000522C" w:rsidRDefault="00700F8E">
      <w:pPr>
        <w:jc w:val="both"/>
        <w:rPr>
          <w:b/>
          <w:sz w:val="24"/>
        </w:rPr>
      </w:pPr>
    </w:p>
    <w:p w:rsidR="00585B64" w:rsidRPr="0000522C" w:rsidRDefault="00585B64">
      <w:pPr>
        <w:jc w:val="both"/>
        <w:rPr>
          <w:b/>
          <w:sz w:val="24"/>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INVERSIONES FINANCIERAS  Y SUS PROVISIONES</w:t>
      </w:r>
      <w:r w:rsidR="000037ED" w:rsidRPr="0000522C">
        <w:rPr>
          <w:bCs/>
          <w:sz w:val="40"/>
          <w:szCs w:val="40"/>
        </w:rPr>
        <w:t xml:space="preserve"> </w:t>
      </w:r>
    </w:p>
    <w:p w:rsidR="00441518" w:rsidRPr="0000522C" w:rsidRDefault="00441518">
      <w:pPr>
        <w:jc w:val="both"/>
        <w:rPr>
          <w:b/>
          <w:sz w:val="24"/>
        </w:rPr>
      </w:pPr>
    </w:p>
    <w:p w:rsidR="00DA6681" w:rsidRPr="0000522C" w:rsidRDefault="00DA6681" w:rsidP="00DA6681">
      <w:pPr>
        <w:jc w:val="both"/>
        <w:rPr>
          <w:sz w:val="24"/>
        </w:rPr>
      </w:pPr>
      <w:r w:rsidRPr="0000522C">
        <w:rPr>
          <w:sz w:val="24"/>
        </w:rPr>
        <w:t>Este rubro representa los títulos valores y otras inversiones en instrumentos monetarios, adquiridos para fines especulativos o por disposición de las autoridades monetarias, sus principales componentes son:</w:t>
      </w:r>
    </w:p>
    <w:p w:rsidR="00DA6681" w:rsidRPr="0000522C" w:rsidRDefault="00DA6681" w:rsidP="00DA6681">
      <w:pPr>
        <w:jc w:val="both"/>
        <w:rPr>
          <w:sz w:val="24"/>
        </w:rPr>
      </w:pPr>
    </w:p>
    <w:bookmarkStart w:id="36" w:name="_MON_1442731717"/>
    <w:bookmarkStart w:id="37" w:name="_MON_1332763964"/>
    <w:bookmarkStart w:id="38" w:name="_MON_1395663551"/>
    <w:bookmarkEnd w:id="36"/>
    <w:bookmarkEnd w:id="37"/>
    <w:bookmarkEnd w:id="38"/>
    <w:bookmarkStart w:id="39" w:name="_MON_1440925298"/>
    <w:bookmarkEnd w:id="39"/>
    <w:p w:rsidR="00DA6681" w:rsidRPr="0000522C" w:rsidRDefault="00E015F1" w:rsidP="00DA6681">
      <w:pPr>
        <w:jc w:val="both"/>
        <w:rPr>
          <w:sz w:val="24"/>
        </w:rPr>
      </w:pPr>
      <w:r w:rsidRPr="0000522C">
        <w:rPr>
          <w:sz w:val="24"/>
        </w:rPr>
        <w:object w:dxaOrig="8299" w:dyaOrig="1472">
          <v:shape id="_x0000_i1026" type="#_x0000_t75" style="width:361.5pt;height:75.5pt" o:ole="" fillcolor="window">
            <v:imagedata r:id="rId11" o:title=""/>
          </v:shape>
          <o:OLEObject Type="Embed" ProgID="Excel.Sheet.8" ShapeID="_x0000_i1026" DrawAspect="Content" ObjectID="_1539668652" r:id="rId12"/>
        </w:object>
      </w:r>
    </w:p>
    <w:p w:rsidR="00DA6681" w:rsidRPr="0000522C" w:rsidRDefault="00DA6681" w:rsidP="00DA6681">
      <w:pPr>
        <w:jc w:val="both"/>
        <w:rPr>
          <w:sz w:val="24"/>
        </w:rPr>
      </w:pPr>
    </w:p>
    <w:p w:rsidR="00842B07" w:rsidRPr="0000522C" w:rsidRDefault="00842B07" w:rsidP="00DA6681">
      <w:pPr>
        <w:jc w:val="both"/>
        <w:rPr>
          <w:sz w:val="24"/>
          <w:szCs w:val="24"/>
        </w:rPr>
      </w:pPr>
      <w:r w:rsidRPr="0000522C">
        <w:rPr>
          <w:sz w:val="24"/>
          <w:szCs w:val="24"/>
        </w:rPr>
        <w:t>Al 30 de septiembre de 2016 y 2015</w:t>
      </w:r>
      <w:r w:rsidR="00DA6681" w:rsidRPr="0000522C">
        <w:rPr>
          <w:sz w:val="24"/>
          <w:szCs w:val="24"/>
        </w:rPr>
        <w:t xml:space="preserve">, no </w:t>
      </w:r>
      <w:r w:rsidR="00A14BDF" w:rsidRPr="0000522C">
        <w:rPr>
          <w:sz w:val="24"/>
          <w:szCs w:val="24"/>
        </w:rPr>
        <w:t xml:space="preserve">se </w:t>
      </w:r>
      <w:r w:rsidR="00DA6681" w:rsidRPr="0000522C">
        <w:rPr>
          <w:sz w:val="24"/>
          <w:szCs w:val="24"/>
        </w:rPr>
        <w:t>ha</w:t>
      </w:r>
      <w:r w:rsidRPr="0000522C">
        <w:rPr>
          <w:sz w:val="24"/>
          <w:szCs w:val="24"/>
        </w:rPr>
        <w:t>n</w:t>
      </w:r>
      <w:r w:rsidR="00DA6681" w:rsidRPr="0000522C">
        <w:rPr>
          <w:sz w:val="24"/>
          <w:szCs w:val="24"/>
        </w:rPr>
        <w:t xml:space="preserve"> dado inversiones en garant</w:t>
      </w:r>
      <w:r w:rsidRPr="0000522C">
        <w:rPr>
          <w:sz w:val="24"/>
          <w:szCs w:val="24"/>
        </w:rPr>
        <w:t>ía.</w:t>
      </w:r>
    </w:p>
    <w:p w:rsidR="00842B07" w:rsidRPr="0000522C" w:rsidRDefault="00842B07" w:rsidP="00DA6681">
      <w:pPr>
        <w:jc w:val="both"/>
        <w:rPr>
          <w:sz w:val="24"/>
        </w:rPr>
      </w:pPr>
    </w:p>
    <w:p w:rsidR="00DA6681" w:rsidRPr="0000522C" w:rsidRDefault="00DA6681" w:rsidP="00DA6681">
      <w:pPr>
        <w:jc w:val="both"/>
        <w:rPr>
          <w:sz w:val="24"/>
        </w:rPr>
      </w:pPr>
      <w:r w:rsidRPr="0000522C">
        <w:rPr>
          <w:sz w:val="24"/>
        </w:rPr>
        <w:t>No se ha creado provisión por posibles pérdidas para ambos períodos, por no existir riesgo en la clase de títulos que se tiene.</w:t>
      </w:r>
    </w:p>
    <w:p w:rsidR="00DA6681" w:rsidRPr="0000522C" w:rsidRDefault="00DA6681" w:rsidP="00DA6681">
      <w:pPr>
        <w:keepNext/>
        <w:jc w:val="both"/>
        <w:outlineLvl w:val="3"/>
        <w:rPr>
          <w:sz w:val="24"/>
        </w:rPr>
      </w:pPr>
    </w:p>
    <w:p w:rsidR="00DA6681" w:rsidRPr="0000522C" w:rsidRDefault="00DA6681" w:rsidP="00DA6681">
      <w:pPr>
        <w:keepNext/>
        <w:jc w:val="both"/>
        <w:outlineLvl w:val="3"/>
        <w:rPr>
          <w:b/>
          <w:sz w:val="24"/>
          <w:szCs w:val="24"/>
        </w:rPr>
      </w:pPr>
      <w:r w:rsidRPr="0000522C">
        <w:rPr>
          <w:sz w:val="24"/>
          <w:szCs w:val="24"/>
        </w:rPr>
        <w:t>La tasa de rendimiento</w:t>
      </w:r>
      <w:r w:rsidR="00340D23" w:rsidRPr="0000522C">
        <w:rPr>
          <w:sz w:val="24"/>
          <w:szCs w:val="24"/>
        </w:rPr>
        <w:t xml:space="preserve"> promedio del período fue de 3.5% y 3.9</w:t>
      </w:r>
      <w:r w:rsidR="0014779D" w:rsidRPr="0000522C">
        <w:rPr>
          <w:sz w:val="24"/>
          <w:szCs w:val="24"/>
        </w:rPr>
        <w:t>%, que equivaldría al 4.7% y 5.2%, para el año 2016 y 2015</w:t>
      </w:r>
      <w:r w:rsidRPr="0000522C">
        <w:rPr>
          <w:sz w:val="24"/>
          <w:szCs w:val="24"/>
        </w:rPr>
        <w:t>, respectivamente</w:t>
      </w:r>
      <w:r w:rsidRPr="0000522C">
        <w:rPr>
          <w:b/>
          <w:sz w:val="24"/>
          <w:szCs w:val="24"/>
        </w:rPr>
        <w:t>.</w:t>
      </w:r>
    </w:p>
    <w:p w:rsidR="00DA6681" w:rsidRPr="0000522C" w:rsidRDefault="00DA6681" w:rsidP="00DA6681">
      <w:pPr>
        <w:jc w:val="both"/>
        <w:rPr>
          <w:b/>
          <w:sz w:val="24"/>
        </w:rPr>
      </w:pPr>
    </w:p>
    <w:p w:rsidR="00DA6681" w:rsidRPr="0000522C" w:rsidRDefault="00DA6681" w:rsidP="00DA6681">
      <w:pPr>
        <w:tabs>
          <w:tab w:val="left" w:pos="-2160"/>
          <w:tab w:val="left" w:pos="-1980"/>
          <w:tab w:val="left" w:pos="709"/>
        </w:tabs>
        <w:jc w:val="both"/>
        <w:rPr>
          <w:sz w:val="24"/>
        </w:rPr>
      </w:pPr>
      <w:r w:rsidRPr="0000522C">
        <w:rPr>
          <w:sz w:val="24"/>
        </w:rPr>
        <w:t>La tasa de rendimiento promedio es el porcentaje que resulta de dividir los ingresos (incluyendo intereses y comisiones) de la cartera de inversiones entre el saldo promedio de la cartera bruta de inversiones por el período reportado.</w:t>
      </w: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A36B22" w:rsidRPr="0000522C" w:rsidRDefault="00A36B22" w:rsidP="00DA6681">
      <w:pPr>
        <w:tabs>
          <w:tab w:val="left" w:pos="-2160"/>
          <w:tab w:val="left" w:pos="-1980"/>
          <w:tab w:val="left" w:pos="709"/>
        </w:tabs>
        <w:jc w:val="both"/>
        <w:rPr>
          <w:sz w:val="24"/>
        </w:rPr>
      </w:pPr>
    </w:p>
    <w:p w:rsidR="00441518" w:rsidRPr="0000522C" w:rsidRDefault="00441518" w:rsidP="00B15414">
      <w:pPr>
        <w:pStyle w:val="Ttulo7"/>
        <w:numPr>
          <w:ilvl w:val="0"/>
          <w:numId w:val="2"/>
        </w:numPr>
        <w:tabs>
          <w:tab w:val="left" w:pos="1134"/>
          <w:tab w:val="num" w:pos="1276"/>
        </w:tabs>
        <w:ind w:left="1276" w:hanging="1276"/>
      </w:pPr>
      <w:r w:rsidRPr="0000522C">
        <w:lastRenderedPageBreak/>
        <w:t>CARTERA DE PRÉSTAMOS</w:t>
      </w:r>
    </w:p>
    <w:p w:rsidR="00441518" w:rsidRPr="0000522C" w:rsidRDefault="00441518">
      <w:pPr>
        <w:pStyle w:val="Textoindependiente"/>
        <w:tabs>
          <w:tab w:val="clear" w:pos="720"/>
          <w:tab w:val="clear" w:pos="1296"/>
          <w:tab w:val="clear" w:pos="2016"/>
          <w:tab w:val="left" w:pos="-2160"/>
          <w:tab w:val="left" w:pos="-1980"/>
        </w:tabs>
        <w:jc w:val="left"/>
        <w:rPr>
          <w:rFonts w:ascii="Times New Roman" w:hAnsi="Times New Roman"/>
          <w:lang w:val="es-ES"/>
        </w:rPr>
      </w:pPr>
      <w:bookmarkStart w:id="40" w:name="_Hlk45616564"/>
    </w:p>
    <w:p w:rsidR="004006D0" w:rsidRPr="0000522C" w:rsidRDefault="004006D0" w:rsidP="004006D0">
      <w:pPr>
        <w:jc w:val="both"/>
        <w:rPr>
          <w:sz w:val="24"/>
        </w:rPr>
      </w:pPr>
      <w:r w:rsidRPr="0000522C">
        <w:rPr>
          <w:sz w:val="24"/>
        </w:rPr>
        <w:t>La cartera de préstamos de la entidad se encuentra diversificada en los siguientes sectores de la economía:</w:t>
      </w:r>
    </w:p>
    <w:p w:rsidR="00B61E00" w:rsidRPr="0000522C" w:rsidRDefault="00B61E00" w:rsidP="00B61E00">
      <w:pPr>
        <w:pStyle w:val="Textoindependiente2"/>
        <w:tabs>
          <w:tab w:val="clear" w:pos="-2160"/>
          <w:tab w:val="clear" w:pos="-1980"/>
        </w:tabs>
      </w:pPr>
      <w:bookmarkStart w:id="41" w:name="_MON_1458389335"/>
      <w:bookmarkStart w:id="42" w:name="_MON_1458462822"/>
      <w:bookmarkStart w:id="43" w:name="_MON_1464600289"/>
      <w:bookmarkStart w:id="44" w:name="_MON_1466317790"/>
      <w:bookmarkStart w:id="45" w:name="_MON_1471674515"/>
      <w:bookmarkStart w:id="46" w:name="_MON_1332314090"/>
      <w:bookmarkStart w:id="47" w:name="_MON_1332314119"/>
      <w:bookmarkStart w:id="48" w:name="_MON_1332314145"/>
      <w:bookmarkStart w:id="49" w:name="_MON_1332314153"/>
      <w:bookmarkStart w:id="50" w:name="_MON_1332317810"/>
      <w:bookmarkStart w:id="51" w:name="_MON_1332318582"/>
      <w:bookmarkStart w:id="52" w:name="_MON_1332319297"/>
      <w:bookmarkStart w:id="53" w:name="_MON_1332319461"/>
      <w:bookmarkStart w:id="54" w:name="_MON_1332322046"/>
      <w:bookmarkStart w:id="55" w:name="_MON_1332322701"/>
      <w:bookmarkStart w:id="56" w:name="_MON_1332573004"/>
      <w:bookmarkStart w:id="57" w:name="_MON_1332763992"/>
      <w:bookmarkStart w:id="58" w:name="_MON_1332764050"/>
      <w:bookmarkStart w:id="59" w:name="_MON_1340000293"/>
      <w:bookmarkStart w:id="60" w:name="_MON_1340435678"/>
      <w:bookmarkStart w:id="61" w:name="_MON_1340616578"/>
      <w:bookmarkStart w:id="62" w:name="_MON_1340616779"/>
      <w:bookmarkStart w:id="63" w:name="_MON_1340616800"/>
      <w:bookmarkStart w:id="64" w:name="_MON_1340616880"/>
      <w:bookmarkStart w:id="65" w:name="_MON_1345895385"/>
      <w:bookmarkStart w:id="66" w:name="_MON_1347877551"/>
      <w:bookmarkStart w:id="67" w:name="_MON_1356153042"/>
      <w:bookmarkStart w:id="68" w:name="_MON_1356154713"/>
      <w:bookmarkStart w:id="69" w:name="_MON_1356156103"/>
      <w:bookmarkStart w:id="70" w:name="_MON_1356333895"/>
      <w:bookmarkStart w:id="71" w:name="_MON_1357469383"/>
      <w:bookmarkStart w:id="72" w:name="_MON_1359287282"/>
      <w:bookmarkStart w:id="73" w:name="_MON_1359287315"/>
      <w:bookmarkStart w:id="74" w:name="_MON_1360674347"/>
      <w:bookmarkStart w:id="75" w:name="_MON_1361005307"/>
      <w:bookmarkStart w:id="76" w:name="_MON_1361005350"/>
      <w:bookmarkStart w:id="77" w:name="_MON_1361699448"/>
      <w:bookmarkStart w:id="78" w:name="_MON_1361699501"/>
      <w:bookmarkStart w:id="79" w:name="_MON_1363416382"/>
      <w:bookmarkStart w:id="80" w:name="_MON_1363506093"/>
      <w:bookmarkStart w:id="81" w:name="_MON_1363680340"/>
      <w:bookmarkStart w:id="82" w:name="_MON_1368941094"/>
      <w:bookmarkStart w:id="83" w:name="_MON_1371457304"/>
      <w:bookmarkStart w:id="84" w:name="_MON_1371458325"/>
      <w:bookmarkStart w:id="85" w:name="_MON_1371463591"/>
      <w:bookmarkStart w:id="86" w:name="_MON_1376900904"/>
      <w:bookmarkStart w:id="87" w:name="_MON_1379407062"/>
      <w:bookmarkStart w:id="88" w:name="_MON_1380437472"/>
      <w:bookmarkStart w:id="89" w:name="_MON_1381048529"/>
      <w:bookmarkStart w:id="90" w:name="_MON_1387352964"/>
      <w:bookmarkStart w:id="91" w:name="_MON_1387699717"/>
      <w:bookmarkStart w:id="92" w:name="_MON_1393141315"/>
      <w:bookmarkStart w:id="93" w:name="_MON_1393306411"/>
      <w:bookmarkStart w:id="94" w:name="_MON_1393306835"/>
      <w:bookmarkStart w:id="95" w:name="_MON_1395471979"/>
      <w:bookmarkStart w:id="96" w:name="_MON_1395482776"/>
      <w:bookmarkStart w:id="97" w:name="_MON_1401519367"/>
      <w:bookmarkStart w:id="98" w:name="_MON_1402987477"/>
      <w:bookmarkStart w:id="99" w:name="_MON_1409644257"/>
      <w:bookmarkStart w:id="100" w:name="_MON_1410946273"/>
      <w:bookmarkStart w:id="101" w:name="_MON_1410949855"/>
      <w:bookmarkStart w:id="102" w:name="_MON_1419248082"/>
      <w:bookmarkStart w:id="103" w:name="_MON_1419672207"/>
      <w:bookmarkStart w:id="104" w:name="_MON_1423558065"/>
      <w:bookmarkStart w:id="105" w:name="_MON_1424521210"/>
      <w:bookmarkStart w:id="106" w:name="_MON_1426674937"/>
      <w:bookmarkStart w:id="107" w:name="_MON_1426930796"/>
      <w:bookmarkStart w:id="108" w:name="_MON_1426930908"/>
      <w:bookmarkStart w:id="109" w:name="_MON_1426939362"/>
      <w:bookmarkStart w:id="110" w:name="_MON_1432382455"/>
      <w:bookmarkStart w:id="111" w:name="_MON_1432384190"/>
      <w:bookmarkStart w:id="112" w:name="_MON_1440828375"/>
      <w:bookmarkStart w:id="113" w:name="_MON_1440829529"/>
      <w:bookmarkStart w:id="114" w:name="_MON_1442646154"/>
      <w:bookmarkStart w:id="115" w:name="_MON_1443356692"/>
      <w:bookmarkStart w:id="116" w:name="_MON_1451284435"/>
      <w:bookmarkStart w:id="117" w:name="_MON_1451284711"/>
      <w:bookmarkStart w:id="118" w:name="_MON_1451455127"/>
      <w:bookmarkStart w:id="119" w:name="_MON_1454762411"/>
      <w:bookmarkStart w:id="120" w:name="_MON_1454836121"/>
      <w:bookmarkStart w:id="121" w:name="_MON_1457873215"/>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bookmarkStart w:id="122" w:name="_MON_1458105348"/>
    <w:bookmarkEnd w:id="122"/>
    <w:bookmarkStart w:id="123" w:name="_MON_1434787389"/>
    <w:bookmarkEnd w:id="123"/>
    <w:p w:rsidR="000B34CE" w:rsidRPr="0000522C" w:rsidRDefault="00B61E00" w:rsidP="00B61E00">
      <w:pPr>
        <w:jc w:val="both"/>
      </w:pPr>
      <w:r w:rsidRPr="0000522C">
        <w:object w:dxaOrig="8268" w:dyaOrig="3729">
          <v:shape id="_x0000_i1027" type="#_x0000_t75" style="width:463.5pt;height:209pt" o:ole="">
            <v:imagedata r:id="rId13" o:title=""/>
          </v:shape>
          <o:OLEObject Type="Embed" ProgID="Excel.Sheet.8" ShapeID="_x0000_i1027" DrawAspect="Content" ObjectID="_1539668653" r:id="rId14"/>
        </w:object>
      </w:r>
    </w:p>
    <w:p w:rsidR="004006D0" w:rsidRPr="0000522C" w:rsidRDefault="004006D0" w:rsidP="00B61E00">
      <w:pPr>
        <w:jc w:val="both"/>
        <w:rPr>
          <w:sz w:val="24"/>
        </w:rPr>
      </w:pPr>
      <w:r w:rsidRPr="0000522C">
        <w:rPr>
          <w:sz w:val="24"/>
        </w:rPr>
        <w:t xml:space="preserve">El movimiento de las provisiones en el período reportado es: </w:t>
      </w:r>
    </w:p>
    <w:p w:rsidR="00B61E00" w:rsidRPr="0000522C" w:rsidRDefault="00B61E00" w:rsidP="00B61E00">
      <w:pPr>
        <w:pStyle w:val="Textoindependiente2"/>
        <w:tabs>
          <w:tab w:val="clear" w:pos="-2160"/>
          <w:tab w:val="clear" w:pos="-1980"/>
        </w:tabs>
      </w:pPr>
    </w:p>
    <w:bookmarkStart w:id="124" w:name="_MON_1464600472"/>
    <w:bookmarkStart w:id="125" w:name="_MON_1466317919"/>
    <w:bookmarkStart w:id="126" w:name="_MON_1466320558"/>
    <w:bookmarkStart w:id="127" w:name="_MON_1466321178"/>
    <w:bookmarkStart w:id="128" w:name="_MON_1471674856"/>
    <w:bookmarkEnd w:id="124"/>
    <w:bookmarkEnd w:id="125"/>
    <w:bookmarkEnd w:id="126"/>
    <w:bookmarkEnd w:id="127"/>
    <w:bookmarkEnd w:id="128"/>
    <w:bookmarkStart w:id="129" w:name="_MON_1151820775"/>
    <w:bookmarkEnd w:id="129"/>
    <w:p w:rsidR="00B61E00" w:rsidRPr="0000522C" w:rsidRDefault="00B61E00" w:rsidP="00B61E00">
      <w:pPr>
        <w:pStyle w:val="Textoindependiente2"/>
        <w:tabs>
          <w:tab w:val="clear" w:pos="-2160"/>
          <w:tab w:val="clear" w:pos="-1980"/>
        </w:tabs>
      </w:pPr>
      <w:r w:rsidRPr="0000522C">
        <w:object w:dxaOrig="7401" w:dyaOrig="1503">
          <v:shape id="_x0000_i1028" type="#_x0000_t75" style="width:451.5pt;height:94pt" o:ole="" fillcolor="window">
            <v:imagedata r:id="rId15" o:title=""/>
          </v:shape>
          <o:OLEObject Type="Embed" ProgID="Excel.Sheet.8" ShapeID="_x0000_i1028" DrawAspect="Content" ObjectID="_1539668654" r:id="rId16"/>
        </w:object>
      </w:r>
    </w:p>
    <w:bookmarkStart w:id="130" w:name="_MON_1361701515"/>
    <w:bookmarkStart w:id="131" w:name="_MON_1361701853"/>
    <w:bookmarkStart w:id="132" w:name="_MON_1361701895"/>
    <w:bookmarkStart w:id="133" w:name="_MON_1361705562"/>
    <w:bookmarkStart w:id="134" w:name="_MON_1361705572"/>
    <w:bookmarkStart w:id="135" w:name="_MON_1361708215"/>
    <w:bookmarkStart w:id="136" w:name="_MON_1363680588"/>
    <w:bookmarkStart w:id="137" w:name="_MON_1368940230"/>
    <w:bookmarkStart w:id="138" w:name="_MON_1368941245"/>
    <w:bookmarkStart w:id="139" w:name="_MON_1371458957"/>
    <w:bookmarkStart w:id="140" w:name="_MON_1376901084"/>
    <w:bookmarkStart w:id="141" w:name="_MON_1381047683"/>
    <w:bookmarkStart w:id="142" w:name="_MON_1381048862"/>
    <w:bookmarkStart w:id="143" w:name="_MON_1387354027"/>
    <w:bookmarkStart w:id="144" w:name="_MON_1387357792"/>
    <w:bookmarkStart w:id="145" w:name="_MON_1393141562"/>
    <w:bookmarkStart w:id="146" w:name="_MON_1393306871"/>
    <w:bookmarkStart w:id="147" w:name="_MON_1395472536"/>
    <w:bookmarkStart w:id="148" w:name="_MON_1395472556"/>
    <w:bookmarkStart w:id="149" w:name="_MON_1395759094"/>
    <w:bookmarkStart w:id="150" w:name="_MON_1401519595"/>
    <w:bookmarkStart w:id="151" w:name="_MON_1403002706"/>
    <w:bookmarkStart w:id="152" w:name="_MON_1409644428"/>
    <w:bookmarkStart w:id="153" w:name="_MON_1410946558"/>
    <w:bookmarkStart w:id="154" w:name="_MON_1410949944"/>
    <w:bookmarkStart w:id="155" w:name="_MON_1414473024"/>
    <w:bookmarkStart w:id="156" w:name="_MON_1419248556"/>
    <w:bookmarkStart w:id="157" w:name="_MON_1419248660"/>
    <w:bookmarkStart w:id="158" w:name="_MON_1419672269"/>
    <w:bookmarkStart w:id="159" w:name="_MON_1423557994"/>
    <w:bookmarkStart w:id="160" w:name="_MON_1423558120"/>
    <w:bookmarkStart w:id="161" w:name="_MON_1424521498"/>
    <w:bookmarkStart w:id="162" w:name="_MON_1426675224"/>
    <w:bookmarkStart w:id="163" w:name="_MON_1432382954"/>
    <w:bookmarkStart w:id="164" w:name="_MON_1432383235"/>
    <w:bookmarkStart w:id="165" w:name="_MON_1432384314"/>
    <w:bookmarkStart w:id="166" w:name="_MON_1434787709"/>
    <w:bookmarkStart w:id="167" w:name="_MON_1440828427"/>
    <w:bookmarkStart w:id="168" w:name="_MON_1440829762"/>
    <w:bookmarkStart w:id="169" w:name="_MON_1442646585"/>
    <w:bookmarkStart w:id="170" w:name="_MON_1443355761"/>
    <w:bookmarkStart w:id="171" w:name="_MON_1443356794"/>
    <w:bookmarkStart w:id="172" w:name="_MON_1451284900"/>
    <w:bookmarkStart w:id="173" w:name="_MON_1454762479"/>
    <w:bookmarkStart w:id="174" w:name="_MON_1454836267"/>
    <w:bookmarkStart w:id="175" w:name="_MON_1457873253"/>
    <w:bookmarkStart w:id="176" w:name="_MON_1458105491"/>
    <w:bookmarkStart w:id="177" w:name="_MON_1464600512"/>
    <w:bookmarkStart w:id="178" w:name="_MON_1471674869"/>
    <w:bookmarkStart w:id="179" w:name="_MON_1277016512"/>
    <w:bookmarkStart w:id="180" w:name="_MON_1277016798"/>
    <w:bookmarkStart w:id="181" w:name="_MON_1277622258"/>
    <w:bookmarkStart w:id="182" w:name="_MON_1277622270"/>
    <w:bookmarkStart w:id="183" w:name="_MON_1283929602"/>
    <w:bookmarkStart w:id="184" w:name="_MON_1299497117"/>
    <w:bookmarkStart w:id="185" w:name="_MON_1306338924"/>
    <w:bookmarkStart w:id="186" w:name="_MON_1308394843"/>
    <w:bookmarkStart w:id="187" w:name="_MON_1308412798"/>
    <w:bookmarkStart w:id="188" w:name="_MON_1309965489"/>
    <w:bookmarkStart w:id="189" w:name="_MON_1309966445"/>
    <w:bookmarkStart w:id="190" w:name="_MON_1317304411"/>
    <w:bookmarkStart w:id="191" w:name="_MON_1317304910"/>
    <w:bookmarkStart w:id="192" w:name="_MON_1329543848"/>
    <w:bookmarkStart w:id="193" w:name="_MON_1329545002"/>
    <w:bookmarkStart w:id="194" w:name="_MON_1345895615"/>
    <w:bookmarkStart w:id="195" w:name="_MON_1345895673"/>
    <w:bookmarkStart w:id="196" w:name="_MON_1347877769"/>
    <w:bookmarkStart w:id="197" w:name="_MON_1347946554"/>
    <w:bookmarkStart w:id="198" w:name="_MON_1347947656"/>
    <w:bookmarkStart w:id="199" w:name="_MON_135615499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0" w:name="_MON_1356334277"/>
    <w:bookmarkEnd w:id="200"/>
    <w:p w:rsidR="00B61E00" w:rsidRPr="0000522C" w:rsidRDefault="00B61E00" w:rsidP="00B61E00">
      <w:pPr>
        <w:pStyle w:val="Textoindependiente2"/>
        <w:tabs>
          <w:tab w:val="clear" w:pos="-2160"/>
          <w:tab w:val="clear" w:pos="-1980"/>
        </w:tabs>
      </w:pPr>
      <w:r w:rsidRPr="0000522C">
        <w:object w:dxaOrig="7449" w:dyaOrig="1503">
          <v:shape id="_x0000_i1029" type="#_x0000_t75" style="width:447pt;height:92.5pt" o:ole="" fillcolor="window">
            <v:imagedata r:id="rId17" o:title=""/>
          </v:shape>
          <o:OLEObject Type="Embed" ProgID="Excel.Sheet.8" ShapeID="_x0000_i1029" DrawAspect="Content" ObjectID="_1539668655" r:id="rId18"/>
        </w:object>
      </w:r>
    </w:p>
    <w:p w:rsidR="004006D0" w:rsidRPr="0000522C" w:rsidRDefault="004006D0" w:rsidP="004006D0">
      <w:pPr>
        <w:jc w:val="both"/>
        <w:rPr>
          <w:sz w:val="24"/>
        </w:rPr>
      </w:pPr>
    </w:p>
    <w:p w:rsidR="00417BAA" w:rsidRPr="0000522C" w:rsidRDefault="008237D8" w:rsidP="00417BAA">
      <w:pPr>
        <w:pStyle w:val="Textoindependiente2"/>
        <w:tabs>
          <w:tab w:val="clear" w:pos="-2160"/>
          <w:tab w:val="clear" w:pos="-1980"/>
        </w:tabs>
      </w:pPr>
      <w:r w:rsidRPr="0000522C">
        <w:t>Al 30/09/1</w:t>
      </w:r>
      <w:r w:rsidR="00A07BF8" w:rsidRPr="0000522C">
        <w:t>6</w:t>
      </w:r>
      <w:r w:rsidRPr="0000522C">
        <w:t xml:space="preserve">, las Reservas Voluntarias son de </w:t>
      </w:r>
      <w:r w:rsidR="00417BAA" w:rsidRPr="0000522C">
        <w:t xml:space="preserve">$ </w:t>
      </w:r>
      <w:r w:rsidR="0085785F" w:rsidRPr="0000522C">
        <w:t>435.0  y  al 30/09/15 eran</w:t>
      </w:r>
      <w:r w:rsidR="00417BAA" w:rsidRPr="0000522C">
        <w:t xml:space="preserve"> de  $ 1,202.4. </w:t>
      </w:r>
    </w:p>
    <w:p w:rsidR="00417BAA" w:rsidRPr="0000522C" w:rsidRDefault="00417BAA" w:rsidP="00417BAA">
      <w:pPr>
        <w:pStyle w:val="Textoindependiente2"/>
        <w:tabs>
          <w:tab w:val="clear" w:pos="-2160"/>
          <w:tab w:val="clear" w:pos="-1980"/>
        </w:tabs>
      </w:pPr>
    </w:p>
    <w:p w:rsidR="00417BAA" w:rsidRPr="0000522C" w:rsidRDefault="00417BAA" w:rsidP="00417BAA">
      <w:pPr>
        <w:pStyle w:val="Textoindependiente2"/>
        <w:tabs>
          <w:tab w:val="clear" w:pos="-2160"/>
          <w:tab w:val="clear" w:pos="-1980"/>
        </w:tabs>
      </w:pPr>
      <w:r w:rsidRPr="0000522C">
        <w:t>Las reservas de saneamiento por "Contingencias" se presentan en el rubro de Otros Pasivos "Diversos".</w:t>
      </w:r>
    </w:p>
    <w:p w:rsidR="00417BAA" w:rsidRPr="0000522C" w:rsidRDefault="00417BAA" w:rsidP="00417BAA">
      <w:pPr>
        <w:pStyle w:val="Textoindependiente2"/>
        <w:tabs>
          <w:tab w:val="clear" w:pos="-2160"/>
          <w:tab w:val="clear" w:pos="-1980"/>
        </w:tabs>
      </w:pPr>
    </w:p>
    <w:p w:rsidR="00417BAA" w:rsidRPr="0000522C" w:rsidRDefault="00417BAA" w:rsidP="00417BAA">
      <w:pPr>
        <w:pStyle w:val="Textoindependiente2"/>
        <w:tabs>
          <w:tab w:val="clear" w:pos="-2160"/>
          <w:tab w:val="clear" w:pos="-1980"/>
        </w:tabs>
      </w:pPr>
      <w:r w:rsidRPr="0000522C">
        <w:t>La tasa de cobertura fue de 3.4 %, para el 2016 y 3.8 % para 2015.</w:t>
      </w:r>
    </w:p>
    <w:p w:rsidR="00417BAA" w:rsidRPr="0000522C" w:rsidRDefault="00417BAA" w:rsidP="00417BAA">
      <w:pPr>
        <w:pStyle w:val="Textoindependiente2"/>
        <w:tabs>
          <w:tab w:val="clear" w:pos="-2160"/>
          <w:tab w:val="clear" w:pos="-1980"/>
        </w:tabs>
      </w:pPr>
    </w:p>
    <w:p w:rsidR="00417BAA" w:rsidRPr="0000522C" w:rsidRDefault="00417BAA" w:rsidP="00417BAA">
      <w:pPr>
        <w:pStyle w:val="Textoindependiente2"/>
        <w:tabs>
          <w:tab w:val="clear" w:pos="-2160"/>
          <w:tab w:val="clear" w:pos="-1980"/>
        </w:tabs>
      </w:pPr>
      <w:r w:rsidRPr="0000522C">
        <w:lastRenderedPageBreak/>
        <w:t>La tasa de cobertura es el cociente expresado en porcentaje, que resulta de dividir el monto de las provisiones entre el monto del activo.</w:t>
      </w:r>
    </w:p>
    <w:p w:rsidR="00417BAA" w:rsidRPr="0000522C" w:rsidRDefault="00417BAA" w:rsidP="00417BAA">
      <w:pPr>
        <w:pStyle w:val="Textoindependiente2"/>
        <w:tabs>
          <w:tab w:val="clear" w:pos="-2160"/>
          <w:tab w:val="clear" w:pos="-1980"/>
        </w:tabs>
      </w:pPr>
    </w:p>
    <w:p w:rsidR="00417BAA" w:rsidRPr="0000522C" w:rsidRDefault="00417BAA" w:rsidP="00417BAA">
      <w:pPr>
        <w:pStyle w:val="Textoindependiente2"/>
        <w:tabs>
          <w:tab w:val="clear" w:pos="-2160"/>
          <w:tab w:val="clear" w:pos="-1980"/>
        </w:tabs>
      </w:pPr>
      <w:r w:rsidRPr="0000522C">
        <w:t>La tasa de rendimiento promedio al 30/09/16 y al 30/09/15 es de 9.9% y 10.0%, que equivaldría al 13.2 y 13.3 %, anual</w:t>
      </w:r>
      <w:r w:rsidR="008237D8" w:rsidRPr="0000522C">
        <w:t>, respectivamente</w:t>
      </w:r>
      <w:r w:rsidRPr="0000522C">
        <w:t>.</w:t>
      </w:r>
    </w:p>
    <w:p w:rsidR="00417BAA" w:rsidRPr="0000522C" w:rsidRDefault="00417BAA" w:rsidP="00417BAA">
      <w:pPr>
        <w:pStyle w:val="Textoindependiente2"/>
        <w:tabs>
          <w:tab w:val="clear" w:pos="-2160"/>
          <w:tab w:val="clear" w:pos="-1980"/>
        </w:tabs>
      </w:pPr>
      <w:r w:rsidRPr="0000522C">
        <w:t xml:space="preserve"> </w:t>
      </w:r>
    </w:p>
    <w:p w:rsidR="00417BAA" w:rsidRPr="0000522C" w:rsidRDefault="00417BAA" w:rsidP="00417BAA">
      <w:pPr>
        <w:pStyle w:val="Textoindependiente2"/>
        <w:tabs>
          <w:tab w:val="clear" w:pos="-2160"/>
          <w:tab w:val="clear" w:pos="-1980"/>
        </w:tabs>
      </w:pPr>
      <w:r w:rsidRPr="0000522C">
        <w:t>La tasa de rendimiento promedio es el porcentaje que resulta de dividir los ingresos de la cartera de préstamos (incluidos los intereses y comisiones), entre el saldo promedio de la cartera bruta de préstamos por el período reportado.</w:t>
      </w:r>
    </w:p>
    <w:p w:rsidR="00417BAA" w:rsidRPr="0000522C" w:rsidRDefault="00417BAA" w:rsidP="00417BAA">
      <w:pPr>
        <w:jc w:val="both"/>
        <w:rPr>
          <w:b/>
          <w:sz w:val="24"/>
        </w:rPr>
      </w:pPr>
    </w:p>
    <w:p w:rsidR="00417BAA" w:rsidRPr="0000522C" w:rsidRDefault="00417BAA" w:rsidP="00417BAA">
      <w:pPr>
        <w:pStyle w:val="Textoindependiente3"/>
        <w:rPr>
          <w:u w:val="none"/>
        </w:rPr>
      </w:pPr>
      <w:r w:rsidRPr="0000522C">
        <w:rPr>
          <w:u w:val="none"/>
        </w:rPr>
        <w:t>Los préstamos con tasa de interés ajustable al 30 de septiembre de 2016 y 2015, representan el 100.0%, de la cartera de préstamos.</w:t>
      </w:r>
    </w:p>
    <w:p w:rsidR="00417BAA" w:rsidRPr="0000522C" w:rsidRDefault="00417BAA" w:rsidP="00417BAA">
      <w:pPr>
        <w:pStyle w:val="Textoindependiente3"/>
        <w:rPr>
          <w:u w:val="none"/>
        </w:rPr>
      </w:pPr>
    </w:p>
    <w:p w:rsidR="00417BAA" w:rsidRPr="0000522C" w:rsidRDefault="00417BAA" w:rsidP="00417BAA">
      <w:pPr>
        <w:pStyle w:val="Ttulo7"/>
        <w:rPr>
          <w:b w:val="0"/>
        </w:rPr>
      </w:pPr>
      <w:r w:rsidRPr="0000522C">
        <w:rPr>
          <w:b w:val="0"/>
        </w:rPr>
        <w:t>Los intereses devengados por la cartera de préstamos y no reconocidos como resultados en el período reportado ascienden a $ 3,173.1 y  $ 2,727.3 para 2016 y 2015, respectivamente.</w:t>
      </w:r>
    </w:p>
    <w:p w:rsidR="004006D0" w:rsidRPr="0000522C" w:rsidRDefault="004006D0" w:rsidP="004006D0"/>
    <w:p w:rsidR="004006D0" w:rsidRPr="0000522C" w:rsidRDefault="004006D0" w:rsidP="004006D0"/>
    <w:p w:rsidR="00441518" w:rsidRPr="0000522C" w:rsidRDefault="00441518" w:rsidP="00B15414">
      <w:pPr>
        <w:pStyle w:val="Ttulo7"/>
        <w:numPr>
          <w:ilvl w:val="0"/>
          <w:numId w:val="2"/>
        </w:numPr>
        <w:tabs>
          <w:tab w:val="left" w:pos="1134"/>
          <w:tab w:val="num" w:pos="1276"/>
        </w:tabs>
        <w:ind w:left="1276" w:hanging="1276"/>
        <w:rPr>
          <w:bCs/>
        </w:rPr>
      </w:pPr>
      <w:r w:rsidRPr="0000522C">
        <w:rPr>
          <w:bCs/>
        </w:rPr>
        <w:t>RESERVAS DE SANEAMIENTO</w:t>
      </w:r>
    </w:p>
    <w:p w:rsidR="00441518" w:rsidRPr="0000522C" w:rsidRDefault="00441518">
      <w:pPr>
        <w:pStyle w:val="Textoindependiente2"/>
        <w:tabs>
          <w:tab w:val="left" w:pos="709"/>
        </w:tabs>
      </w:pPr>
    </w:p>
    <w:p w:rsidR="00BD36A9" w:rsidRPr="0000522C" w:rsidRDefault="00BD36A9" w:rsidP="00BD36A9">
      <w:pPr>
        <w:pStyle w:val="Textoindependiente2"/>
        <w:tabs>
          <w:tab w:val="clear" w:pos="-2160"/>
          <w:tab w:val="clear" w:pos="-1980"/>
        </w:tabs>
      </w:pPr>
      <w:r w:rsidRPr="0000522C">
        <w:t>La institución mantiene reservas de saneamiento para cubrir eventuales pérdidas por un total de $12,305.7 y $12,377.6, para el 30/09/16 y 30/09/15 respectivamente.</w:t>
      </w:r>
    </w:p>
    <w:p w:rsidR="00BD36A9" w:rsidRPr="0000522C" w:rsidRDefault="00BD36A9" w:rsidP="00BD36A9">
      <w:pPr>
        <w:jc w:val="both"/>
        <w:rPr>
          <w:sz w:val="24"/>
        </w:rPr>
      </w:pPr>
    </w:p>
    <w:p w:rsidR="00BD36A9" w:rsidRPr="0000522C" w:rsidRDefault="00BD36A9" w:rsidP="00BD36A9">
      <w:pPr>
        <w:pStyle w:val="Textoindependiente2"/>
        <w:tabs>
          <w:tab w:val="clear" w:pos="-2160"/>
          <w:tab w:val="clear" w:pos="-1980"/>
        </w:tabs>
      </w:pPr>
      <w:r w:rsidRPr="0000522C">
        <w:t>El movimiento registrado durante el período en las cuentas de reservas de saneamiento se resume a continuación:</w:t>
      </w:r>
    </w:p>
    <w:p w:rsidR="00BD36A9" w:rsidRPr="0000522C" w:rsidRDefault="00BD36A9" w:rsidP="00BD36A9">
      <w:pPr>
        <w:pStyle w:val="Textoindependiente2"/>
        <w:tabs>
          <w:tab w:val="clear" w:pos="-2160"/>
          <w:tab w:val="clear" w:pos="-1980"/>
        </w:tabs>
      </w:pPr>
    </w:p>
    <w:p w:rsidR="00BD36A9" w:rsidRPr="0000522C" w:rsidRDefault="00BD36A9" w:rsidP="00BD36A9">
      <w:pPr>
        <w:numPr>
          <w:ilvl w:val="0"/>
          <w:numId w:val="9"/>
        </w:numPr>
        <w:jc w:val="both"/>
        <w:rPr>
          <w:sz w:val="24"/>
        </w:rPr>
      </w:pPr>
      <w:r w:rsidRPr="0000522C">
        <w:rPr>
          <w:bCs/>
          <w:sz w:val="24"/>
        </w:rPr>
        <w:t>Reservas por deudores de créditos a empresas privadas:</w:t>
      </w:r>
    </w:p>
    <w:p w:rsidR="00BD36A9" w:rsidRPr="0000522C" w:rsidRDefault="00BD36A9" w:rsidP="00BD36A9">
      <w:pPr>
        <w:jc w:val="both"/>
        <w:rPr>
          <w:sz w:val="24"/>
        </w:rPr>
      </w:pPr>
    </w:p>
    <w:bookmarkStart w:id="201" w:name="_MON_1471675177"/>
    <w:bookmarkStart w:id="202" w:name="_MON_1361704412"/>
    <w:bookmarkStart w:id="203" w:name="_MON_1363681074"/>
    <w:bookmarkStart w:id="204" w:name="_MON_1363691859"/>
    <w:bookmarkStart w:id="205" w:name="_MON_1368940378"/>
    <w:bookmarkStart w:id="206" w:name="_MON_1371459094"/>
    <w:bookmarkStart w:id="207" w:name="_MON_1376901645"/>
    <w:bookmarkStart w:id="208" w:name="_MON_1379407703"/>
    <w:bookmarkStart w:id="209" w:name="_MON_1379412597"/>
    <w:bookmarkStart w:id="210" w:name="_MON_1387354380"/>
    <w:bookmarkStart w:id="211" w:name="_MON_1387709027"/>
    <w:bookmarkStart w:id="212" w:name="_MON_1387709137"/>
    <w:bookmarkStart w:id="213" w:name="_MON_1387716198"/>
    <w:bookmarkStart w:id="214" w:name="_MON_1387716398"/>
    <w:bookmarkStart w:id="215" w:name="_MON_1387776292"/>
    <w:bookmarkStart w:id="216" w:name="_MON_1393142099"/>
    <w:bookmarkStart w:id="217" w:name="_MON_1395472786"/>
    <w:bookmarkStart w:id="218" w:name="_MON_1395483159"/>
    <w:bookmarkStart w:id="219" w:name="_MON_1395759325"/>
    <w:bookmarkStart w:id="220" w:name="_MON_1401519931"/>
    <w:bookmarkStart w:id="221" w:name="_MON_1403002922"/>
    <w:bookmarkStart w:id="222" w:name="_MON_1409644691"/>
    <w:bookmarkStart w:id="223" w:name="_MON_1410866863"/>
    <w:bookmarkStart w:id="224" w:name="_MON_1410950117"/>
    <w:bookmarkStart w:id="225" w:name="_MON_1414473148"/>
    <w:bookmarkStart w:id="226" w:name="_MON_1419249030"/>
    <w:bookmarkStart w:id="227" w:name="_MON_1419845205"/>
    <w:bookmarkStart w:id="228" w:name="_MON_1423558244"/>
    <w:bookmarkStart w:id="229" w:name="_MON_1424602020"/>
    <w:bookmarkStart w:id="230" w:name="_MON_1424602124"/>
    <w:bookmarkStart w:id="231" w:name="_MON_1426675377"/>
    <w:bookmarkStart w:id="232" w:name="_MON_1432384590"/>
    <w:bookmarkStart w:id="233" w:name="_MON_1434787955"/>
    <w:bookmarkStart w:id="234" w:name="_MON_1434788080"/>
    <w:bookmarkStart w:id="235" w:name="_MON_1440828540"/>
    <w:bookmarkStart w:id="236" w:name="_MON_1442646723"/>
    <w:bookmarkStart w:id="237" w:name="_MON_1443355871"/>
    <w:bookmarkStart w:id="238" w:name="_MON_1451285030"/>
    <w:bookmarkStart w:id="239" w:name="_MON_1451455872"/>
    <w:bookmarkStart w:id="240" w:name="_MON_1451456260"/>
    <w:bookmarkStart w:id="241" w:name="_MON_1454762683"/>
    <w:bookmarkStart w:id="242" w:name="_MON_1458389772"/>
    <w:bookmarkStart w:id="243" w:name="_MON_1458463027"/>
    <w:bookmarkStart w:id="244" w:name="_MON_1464600855"/>
    <w:bookmarkStart w:id="245" w:name="_MON_1466318795"/>
    <w:bookmarkStart w:id="246" w:name="_MON_1466320787"/>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7" w:name="_MON_1466321191"/>
    <w:bookmarkEnd w:id="247"/>
    <w:p w:rsidR="00BD36A9" w:rsidRPr="0000522C" w:rsidRDefault="00A07BF8" w:rsidP="00BD36A9">
      <w:pPr>
        <w:jc w:val="both"/>
        <w:rPr>
          <w:sz w:val="24"/>
        </w:rPr>
      </w:pPr>
      <w:r w:rsidRPr="0000522C">
        <w:object w:dxaOrig="7902" w:dyaOrig="1503">
          <v:shape id="_x0000_i1030" type="#_x0000_t75" style="width:424.5pt;height:87pt" o:ole="" fillcolor="window">
            <v:imagedata r:id="rId19" o:title=""/>
          </v:shape>
          <o:OLEObject Type="Embed" ProgID="Excel.Sheet.8" ShapeID="_x0000_i1030" DrawAspect="Content" ObjectID="_1539668656" r:id="rId20"/>
        </w:object>
      </w:r>
      <w:r w:rsidR="00BD36A9" w:rsidRPr="0000522C">
        <w:rPr>
          <w:sz w:val="24"/>
        </w:rPr>
        <w:t xml:space="preserve"> </w:t>
      </w:r>
      <w:bookmarkStart w:id="248" w:name="_MON_1443355888"/>
      <w:bookmarkStart w:id="249" w:name="_MON_1443357016"/>
      <w:bookmarkStart w:id="250" w:name="_MON_1451285070"/>
      <w:bookmarkStart w:id="251" w:name="_MON_1454762732"/>
      <w:bookmarkStart w:id="252" w:name="_MON_1454844165"/>
      <w:bookmarkStart w:id="253" w:name="_MON_1458389826"/>
      <w:bookmarkStart w:id="254" w:name="_MON_1464600879"/>
      <w:bookmarkStart w:id="255" w:name="_MON_1471675197"/>
      <w:bookmarkStart w:id="256" w:name="_MON_1423558361"/>
      <w:bookmarkStart w:id="257" w:name="_MON_1424521767"/>
      <w:bookmarkStart w:id="258" w:name="_MON_1426675420"/>
      <w:bookmarkStart w:id="259" w:name="_MON_1432384617"/>
      <w:bookmarkStart w:id="260" w:name="_MON_1440828559"/>
      <w:bookmarkStart w:id="261" w:name="_MON_1440830013"/>
      <w:bookmarkStart w:id="262" w:name="_MON_144110354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BD36A9" w:rsidRPr="0000522C" w:rsidRDefault="00BD36A9" w:rsidP="00BD36A9">
      <w:pPr>
        <w:jc w:val="both"/>
        <w:rPr>
          <w:sz w:val="24"/>
        </w:rPr>
      </w:pPr>
    </w:p>
    <w:bookmarkStart w:id="263" w:name="_MON_1361705212"/>
    <w:bookmarkStart w:id="264" w:name="_MON_1361705231"/>
    <w:bookmarkStart w:id="265" w:name="_MON_1361705476"/>
    <w:bookmarkStart w:id="266" w:name="_MON_1361708130"/>
    <w:bookmarkStart w:id="267" w:name="_MON_1363680437"/>
    <w:bookmarkStart w:id="268" w:name="_MON_1368940185"/>
    <w:bookmarkStart w:id="269" w:name="_MON_1371458913"/>
    <w:bookmarkStart w:id="270" w:name="_MON_1376901050"/>
    <w:bookmarkStart w:id="271" w:name="_MON_1379407470"/>
    <w:bookmarkStart w:id="272" w:name="_MON_1379412474"/>
    <w:bookmarkStart w:id="273" w:name="_MON_1381048756"/>
    <w:bookmarkStart w:id="274" w:name="_MON_1387353981"/>
    <w:bookmarkStart w:id="275" w:name="_MON_1387700186"/>
    <w:bookmarkStart w:id="276" w:name="_MON_1393141521"/>
    <w:bookmarkStart w:id="277" w:name="_MON_1393306857"/>
    <w:bookmarkStart w:id="278" w:name="_MON_1395472450"/>
    <w:bookmarkStart w:id="279" w:name="_MON_1395483114"/>
    <w:bookmarkStart w:id="280" w:name="_MON_1395759027"/>
    <w:bookmarkStart w:id="281" w:name="_MON_1401519552"/>
    <w:bookmarkStart w:id="282" w:name="_MON_1401519581"/>
    <w:bookmarkStart w:id="283" w:name="_MON_1403002632"/>
    <w:bookmarkStart w:id="284" w:name="_MON_1403004317"/>
    <w:bookmarkStart w:id="285" w:name="_MON_1409644396"/>
    <w:bookmarkStart w:id="286" w:name="_MON_1410946434"/>
    <w:bookmarkStart w:id="287" w:name="_MON_1410949914"/>
    <w:bookmarkStart w:id="288" w:name="_MON_1414472990"/>
    <w:bookmarkStart w:id="289" w:name="_MON_1419248482"/>
    <w:bookmarkStart w:id="290" w:name="_MON_1419672242"/>
    <w:bookmarkStart w:id="291" w:name="_MON_1419845104"/>
    <w:bookmarkStart w:id="292" w:name="_MON_1423557952"/>
    <w:bookmarkStart w:id="293" w:name="_MON_1423558085"/>
    <w:bookmarkStart w:id="294" w:name="_MON_1424601957"/>
    <w:bookmarkStart w:id="295" w:name="_MON_1424602073"/>
    <w:bookmarkStart w:id="296" w:name="_MON_1426675132"/>
    <w:bookmarkStart w:id="297" w:name="_MON_1432382787"/>
    <w:bookmarkStart w:id="298" w:name="_MON_1434787630"/>
    <w:bookmarkStart w:id="299" w:name="_MON_1434787739"/>
    <w:bookmarkStart w:id="300" w:name="_MON_1440828387"/>
    <w:bookmarkStart w:id="301" w:name="_MON_1440828422"/>
    <w:bookmarkStart w:id="302" w:name="_MON_1440829704"/>
    <w:bookmarkStart w:id="303" w:name="_MON_1440829726"/>
    <w:bookmarkStart w:id="304" w:name="_MON_1440829746"/>
    <w:bookmarkStart w:id="305" w:name="_MON_1442646541"/>
    <w:bookmarkStart w:id="306" w:name="_MON_1443355733"/>
    <w:bookmarkStart w:id="307" w:name="_MON_1451284848"/>
    <w:bookmarkStart w:id="308" w:name="_MON_1451455247"/>
    <w:bookmarkStart w:id="309" w:name="_MON_1451455427"/>
    <w:bookmarkStart w:id="310" w:name="_MON_1451456273"/>
    <w:bookmarkStart w:id="311" w:name="_MON_1451456504"/>
    <w:bookmarkStart w:id="312" w:name="_MON_1454762435"/>
    <w:bookmarkStart w:id="313" w:name="_MON_1454762471"/>
    <w:bookmarkStart w:id="314" w:name="_MON_1454836254"/>
    <w:bookmarkStart w:id="315" w:name="_MON_1458105474"/>
    <w:bookmarkStart w:id="316" w:name="_MON_1458389479"/>
    <w:bookmarkStart w:id="317" w:name="_MON_1458391412"/>
    <w:bookmarkStart w:id="318" w:name="_MON_1458462892"/>
    <w:bookmarkStart w:id="319" w:name="_MON_1111822761"/>
    <w:bookmarkStart w:id="320" w:name="_MON_1111823501"/>
    <w:bookmarkStart w:id="321" w:name="_MON_1111852236"/>
    <w:bookmarkStart w:id="322" w:name="_MON_1111852281"/>
    <w:bookmarkStart w:id="323" w:name="_MON_1111852322"/>
    <w:bookmarkStart w:id="324" w:name="_MON_1111852333"/>
    <w:bookmarkStart w:id="325" w:name="_MON_1111852609"/>
    <w:bookmarkStart w:id="326" w:name="_MON_1111852662"/>
    <w:bookmarkStart w:id="327" w:name="_MON_1111852796"/>
    <w:bookmarkStart w:id="328" w:name="_MON_1111852824"/>
    <w:bookmarkStart w:id="329" w:name="_MON_1111921769"/>
    <w:bookmarkStart w:id="330" w:name="_MON_1112461581"/>
    <w:bookmarkStart w:id="331" w:name="_MON_1112506897"/>
    <w:bookmarkStart w:id="332" w:name="_MON_1112595736"/>
    <w:bookmarkStart w:id="333" w:name="_MON_1119522234"/>
    <w:bookmarkStart w:id="334" w:name="_MON_1119522299"/>
    <w:bookmarkStart w:id="335" w:name="_MON_1119522355"/>
    <w:bookmarkStart w:id="336" w:name="_MON_1119525466"/>
    <w:bookmarkStart w:id="337" w:name="_MON_1119525549"/>
    <w:bookmarkStart w:id="338" w:name="_MON_1127055067"/>
    <w:bookmarkStart w:id="339" w:name="_MON_1135417081"/>
    <w:bookmarkStart w:id="340" w:name="_MON_1136885808"/>
    <w:bookmarkStart w:id="341" w:name="_MON_1143357743"/>
    <w:bookmarkStart w:id="342" w:name="_MON_1144659924"/>
    <w:bookmarkStart w:id="343" w:name="_MON_1144660053"/>
    <w:bookmarkStart w:id="344" w:name="_MON_1144660239"/>
    <w:bookmarkStart w:id="345" w:name="_MON_1144660429"/>
    <w:bookmarkStart w:id="346" w:name="_MON_1144660757"/>
    <w:bookmarkStart w:id="347" w:name="_MON_1144660872"/>
    <w:bookmarkStart w:id="348" w:name="_MON_1151498267"/>
    <w:bookmarkStart w:id="349" w:name="_MON_1151575438"/>
    <w:bookmarkStart w:id="350" w:name="_MON_1159169519"/>
    <w:bookmarkStart w:id="351" w:name="_MON_1213711937"/>
    <w:bookmarkStart w:id="352" w:name="_MON_1213712033"/>
    <w:bookmarkStart w:id="353" w:name="_MON_1232439640"/>
    <w:bookmarkStart w:id="354" w:name="_MON_1276931671"/>
    <w:bookmarkStart w:id="355" w:name="_MON_1283929676"/>
    <w:bookmarkStart w:id="356" w:name="_MON_1284790397"/>
    <w:bookmarkStart w:id="357" w:name="_MON_1299497039"/>
    <w:bookmarkStart w:id="358" w:name="_MON_1300524040"/>
    <w:bookmarkStart w:id="359" w:name="_MON_1301144024"/>
    <w:bookmarkStart w:id="360" w:name="_MON_1306338893"/>
    <w:bookmarkStart w:id="361" w:name="_MON_1308412727"/>
    <w:bookmarkStart w:id="362" w:name="_MON_1309965455"/>
    <w:bookmarkStart w:id="363" w:name="_MON_1316429445"/>
    <w:bookmarkStart w:id="364" w:name="_MON_1316516470"/>
    <w:bookmarkStart w:id="365" w:name="_MON_1317304371"/>
    <w:bookmarkStart w:id="366" w:name="_MON_1324711169"/>
    <w:bookmarkStart w:id="367" w:name="_MON_1329543805"/>
    <w:bookmarkStart w:id="368" w:name="_MON_1332158910"/>
    <w:bookmarkStart w:id="369" w:name="_MON_1332573182"/>
    <w:bookmarkStart w:id="370" w:name="_MON_1340435737"/>
    <w:bookmarkStart w:id="371" w:name="_MON_1340441158"/>
    <w:bookmarkStart w:id="372" w:name="_MON_1345897384"/>
    <w:bookmarkStart w:id="373" w:name="_MON_1347877723"/>
    <w:bookmarkStart w:id="374" w:name="_MON_1347945842"/>
    <w:bookmarkStart w:id="375" w:name="_MON_1347946447"/>
    <w:bookmarkStart w:id="376" w:name="_MON_1356155098"/>
    <w:bookmarkStart w:id="377" w:name="_MON_1356334235"/>
    <w:bookmarkStart w:id="378" w:name="_MON_1361696674"/>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MON_1361699592"/>
    <w:bookmarkEnd w:id="379"/>
    <w:p w:rsidR="00BD36A9" w:rsidRPr="0000522C" w:rsidRDefault="00A07BF8" w:rsidP="00BD36A9">
      <w:pPr>
        <w:jc w:val="both"/>
      </w:pPr>
      <w:r w:rsidRPr="0000522C">
        <w:object w:dxaOrig="7902" w:dyaOrig="1503">
          <v:shape id="_x0000_i1031" type="#_x0000_t75" style="width:428.5pt;height:85.5pt" o:ole="" fillcolor="window">
            <v:imagedata r:id="rId21" o:title=""/>
          </v:shape>
          <o:OLEObject Type="Embed" ProgID="Excel.Sheet.8" ShapeID="_x0000_i1031" DrawAspect="Content" ObjectID="_1539668657" r:id="rId22"/>
        </w:object>
      </w:r>
    </w:p>
    <w:p w:rsidR="00461D30" w:rsidRPr="0000522C" w:rsidRDefault="00461D30" w:rsidP="00461D30">
      <w:pPr>
        <w:jc w:val="both"/>
        <w:rPr>
          <w:sz w:val="24"/>
        </w:rPr>
      </w:pPr>
    </w:p>
    <w:p w:rsidR="00BD36A9" w:rsidRPr="0000522C" w:rsidRDefault="00BD36A9" w:rsidP="00BD36A9">
      <w:pPr>
        <w:pStyle w:val="Ttulo5"/>
      </w:pPr>
      <w:bookmarkStart w:id="380" w:name="_MON_1443355925"/>
      <w:bookmarkStart w:id="381" w:name="_MON_1451285106"/>
      <w:bookmarkStart w:id="382" w:name="_MON_1454762783"/>
      <w:bookmarkStart w:id="383" w:name="_MON_1458389855"/>
      <w:bookmarkStart w:id="384" w:name="_MON_1458389972"/>
      <w:bookmarkStart w:id="385" w:name="_MON_1464601002"/>
      <w:bookmarkStart w:id="386" w:name="_MON_1466318929"/>
      <w:bookmarkStart w:id="387" w:name="_MON_1471675303"/>
      <w:bookmarkStart w:id="388" w:name="_MON_1426675531"/>
      <w:bookmarkStart w:id="389" w:name="_MON_1432384720"/>
      <w:bookmarkStart w:id="390" w:name="_MON_1434788102"/>
      <w:bookmarkStart w:id="391" w:name="_MON_1440828625"/>
      <w:bookmarkStart w:id="392" w:name="_MON_1441103625"/>
      <w:bookmarkEnd w:id="380"/>
      <w:bookmarkEnd w:id="381"/>
      <w:bookmarkEnd w:id="382"/>
      <w:bookmarkEnd w:id="383"/>
      <w:bookmarkEnd w:id="384"/>
      <w:bookmarkEnd w:id="385"/>
      <w:bookmarkEnd w:id="386"/>
      <w:bookmarkEnd w:id="387"/>
      <w:bookmarkEnd w:id="388"/>
      <w:bookmarkEnd w:id="389"/>
      <w:bookmarkEnd w:id="390"/>
      <w:bookmarkEnd w:id="391"/>
      <w:bookmarkEnd w:id="392"/>
    </w:p>
    <w:p w:rsidR="00267388" w:rsidRPr="0000522C" w:rsidRDefault="00A07BF8" w:rsidP="00267388">
      <w:pPr>
        <w:rPr>
          <w:sz w:val="24"/>
        </w:rPr>
      </w:pPr>
      <w:r w:rsidRPr="0000522C">
        <w:rPr>
          <w:sz w:val="24"/>
        </w:rPr>
        <w:t>La Tasa de cobertura al 31/12/16 y 31/12/15 es 3.7 % y 3.6 %, respectivamente.</w:t>
      </w:r>
    </w:p>
    <w:p w:rsidR="00A07BF8" w:rsidRPr="0000522C" w:rsidRDefault="00A07BF8" w:rsidP="00267388"/>
    <w:p w:rsidR="00267388" w:rsidRDefault="00267388" w:rsidP="00267388"/>
    <w:p w:rsidR="00870C12" w:rsidRPr="0000522C" w:rsidRDefault="00870C12" w:rsidP="00267388"/>
    <w:p w:rsidR="00267388" w:rsidRPr="0000522C" w:rsidRDefault="00267388" w:rsidP="00267388"/>
    <w:p w:rsidR="00267388" w:rsidRPr="0000522C" w:rsidRDefault="00267388" w:rsidP="00267388">
      <w:pPr>
        <w:pStyle w:val="Prrafodelista"/>
        <w:numPr>
          <w:ilvl w:val="0"/>
          <w:numId w:val="9"/>
        </w:numPr>
        <w:jc w:val="both"/>
        <w:rPr>
          <w:bCs/>
          <w:sz w:val="24"/>
        </w:rPr>
      </w:pPr>
      <w:r w:rsidRPr="0000522C">
        <w:rPr>
          <w:bCs/>
          <w:sz w:val="24"/>
        </w:rPr>
        <w:lastRenderedPageBreak/>
        <w:t>Reservas por deudores de créditos para vivienda</w:t>
      </w:r>
    </w:p>
    <w:p w:rsidR="00267388" w:rsidRPr="0000522C" w:rsidRDefault="00267388" w:rsidP="00267388">
      <w:pPr>
        <w:rPr>
          <w:sz w:val="24"/>
        </w:rPr>
      </w:pPr>
    </w:p>
    <w:bookmarkStart w:id="393" w:name="_MON_1451455900"/>
    <w:bookmarkEnd w:id="393"/>
    <w:bookmarkStart w:id="394" w:name="_MON_1442646865"/>
    <w:bookmarkEnd w:id="394"/>
    <w:p w:rsidR="00267388" w:rsidRPr="0000522C" w:rsidRDefault="00267388" w:rsidP="00267388">
      <w:pPr>
        <w:jc w:val="both"/>
        <w:rPr>
          <w:sz w:val="24"/>
        </w:rPr>
      </w:pPr>
      <w:r w:rsidRPr="0000522C">
        <w:rPr>
          <w:sz w:val="24"/>
        </w:rPr>
        <w:object w:dxaOrig="5073" w:dyaOrig="1503">
          <v:shape id="_x0000_i1032" type="#_x0000_t75" style="width:263.5pt;height:96pt" o:ole="" fillcolor="window">
            <v:imagedata r:id="rId23" o:title=""/>
          </v:shape>
          <o:OLEObject Type="Embed" ProgID="Excel.Sheet.8" ShapeID="_x0000_i1032" DrawAspect="Content" ObjectID="_1539668658" r:id="rId24"/>
        </w:object>
      </w:r>
    </w:p>
    <w:p w:rsidR="00267388" w:rsidRPr="0000522C" w:rsidRDefault="00267388" w:rsidP="00267388">
      <w:pPr>
        <w:rPr>
          <w:sz w:val="24"/>
        </w:rPr>
      </w:pPr>
    </w:p>
    <w:bookmarkStart w:id="395" w:name="_MON_1143709230"/>
    <w:bookmarkStart w:id="396" w:name="_MON_1144674716"/>
    <w:bookmarkStart w:id="397" w:name="_MON_1144674920"/>
    <w:bookmarkStart w:id="398" w:name="_MON_1145101616"/>
    <w:bookmarkStart w:id="399" w:name="_MON_1151499493"/>
    <w:bookmarkStart w:id="400" w:name="_MON_1159021980"/>
    <w:bookmarkStart w:id="401" w:name="_MON_1159022068"/>
    <w:bookmarkStart w:id="402" w:name="_MON_1159096862"/>
    <w:bookmarkStart w:id="403" w:name="_MON_1159097002"/>
    <w:bookmarkStart w:id="404" w:name="_MON_1283930170"/>
    <w:bookmarkStart w:id="405" w:name="_MON_1299497948"/>
    <w:bookmarkStart w:id="406" w:name="_MON_1300524933"/>
    <w:bookmarkStart w:id="407" w:name="_MON_1301136290"/>
    <w:bookmarkStart w:id="408" w:name="_MON_1306339150"/>
    <w:bookmarkStart w:id="409" w:name="_MON_1308404013"/>
    <w:bookmarkStart w:id="410" w:name="_MON_1308413224"/>
    <w:bookmarkStart w:id="411" w:name="_MON_1309965692"/>
    <w:bookmarkStart w:id="412" w:name="_MON_1309966759"/>
    <w:bookmarkStart w:id="413" w:name="_MON_1317304612"/>
    <w:bookmarkStart w:id="414" w:name="_MON_1317305133"/>
    <w:bookmarkStart w:id="415" w:name="_MON_1329544487"/>
    <w:bookmarkStart w:id="416" w:name="_MON_1332606141"/>
    <w:bookmarkStart w:id="417" w:name="_MON_1345896041"/>
    <w:bookmarkStart w:id="418" w:name="_MON_1347878120"/>
    <w:bookmarkStart w:id="419" w:name="_MON_1347946899"/>
    <w:bookmarkStart w:id="420" w:name="_MON_1356334829"/>
    <w:bookmarkStart w:id="421" w:name="_MON_1356758167"/>
    <w:bookmarkStart w:id="422" w:name="_MON_1361703263"/>
    <w:bookmarkStart w:id="423" w:name="_MON_1368940495"/>
    <w:bookmarkStart w:id="424" w:name="_MON_1368941569"/>
    <w:bookmarkStart w:id="425" w:name="_MON_1371459240"/>
    <w:bookmarkStart w:id="426" w:name="_MON_1376901783"/>
    <w:bookmarkStart w:id="427" w:name="_MON_1381047881"/>
    <w:bookmarkStart w:id="428" w:name="_MON_1381049296"/>
    <w:bookmarkStart w:id="429" w:name="_MON_1387354533"/>
    <w:bookmarkStart w:id="430" w:name="_MON_1393142331"/>
    <w:bookmarkStart w:id="431" w:name="_MON_1393307614"/>
    <w:bookmarkStart w:id="432" w:name="_MON_1395472955"/>
    <w:bookmarkStart w:id="433" w:name="_MON_1401520091"/>
    <w:bookmarkStart w:id="434" w:name="_MON_1403003044"/>
    <w:bookmarkStart w:id="435" w:name="_MON_1409644950"/>
    <w:bookmarkStart w:id="436" w:name="_MON_1410950229"/>
    <w:bookmarkStart w:id="437" w:name="_MON_1414473218"/>
    <w:bookmarkStart w:id="438" w:name="_MON_1419249273"/>
    <w:bookmarkStart w:id="439" w:name="_MON_1423558423"/>
    <w:bookmarkStart w:id="440" w:name="_MON_1424521844"/>
    <w:bookmarkStart w:id="441" w:name="_MON_1426675478"/>
    <w:bookmarkStart w:id="442" w:name="_MON_1426675513"/>
    <w:bookmarkStart w:id="443" w:name="_MON_1432384743"/>
    <w:bookmarkStart w:id="444" w:name="_MON_1440828637"/>
    <w:bookmarkStart w:id="445" w:name="_MON_1440830100"/>
    <w:bookmarkStart w:id="446" w:name="_MON_1441103652"/>
    <w:bookmarkStart w:id="447" w:name="_MON_1443355947"/>
    <w:bookmarkStart w:id="448" w:name="_MON_1443357065"/>
    <w:bookmarkStart w:id="449" w:name="_MON_1451285136"/>
    <w:bookmarkStart w:id="450" w:name="_MON_1454762821"/>
    <w:bookmarkStart w:id="451" w:name="_MON_1454844320"/>
    <w:bookmarkStart w:id="452" w:name="_MON_1458389887"/>
    <w:bookmarkStart w:id="453" w:name="_MON_1464601021"/>
    <w:bookmarkStart w:id="454" w:name="_MON_1471675316"/>
    <w:bookmarkStart w:id="455" w:name="_MON_1080373926"/>
    <w:bookmarkStart w:id="456" w:name="_MON_1080635790"/>
    <w:bookmarkStart w:id="457" w:name="_MON_1087390565"/>
    <w:bookmarkStart w:id="458" w:name="_MON_1087629458"/>
    <w:bookmarkStart w:id="459" w:name="_MON_1095664956"/>
    <w:bookmarkStart w:id="460" w:name="_MON_1105527225"/>
    <w:bookmarkStart w:id="461" w:name="_MON_1107078458"/>
    <w:bookmarkStart w:id="462" w:name="_MON_1107078503"/>
    <w:bookmarkStart w:id="463" w:name="_MON_1107174664"/>
    <w:bookmarkStart w:id="464" w:name="_MON_1110889173"/>
    <w:bookmarkStart w:id="465" w:name="_MON_1112446924"/>
    <w:bookmarkStart w:id="466" w:name="_MON_1119457212"/>
    <w:bookmarkStart w:id="467" w:name="_MON_1127131096"/>
    <w:bookmarkStart w:id="468" w:name="_MON_1136965327"/>
    <w:bookmarkStart w:id="469" w:name="_MON_1143359437"/>
    <w:bookmarkStart w:id="470" w:name="_MON_1143621209"/>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MON_1143709203"/>
    <w:bookmarkEnd w:id="471"/>
    <w:p w:rsidR="00267388" w:rsidRPr="0000522C" w:rsidRDefault="00267388" w:rsidP="00267388">
      <w:pPr>
        <w:rPr>
          <w:sz w:val="24"/>
        </w:rPr>
      </w:pPr>
      <w:r w:rsidRPr="0000522C">
        <w:rPr>
          <w:sz w:val="24"/>
        </w:rPr>
        <w:object w:dxaOrig="5073" w:dyaOrig="1503">
          <v:shape id="_x0000_i1033" type="#_x0000_t75" style="width:263.5pt;height:96pt" o:ole="" fillcolor="window">
            <v:imagedata r:id="rId25" o:title=""/>
          </v:shape>
          <o:OLEObject Type="Embed" ProgID="Excel.Sheet.8" ShapeID="_x0000_i1033" DrawAspect="Content" ObjectID="_1539668659" r:id="rId26"/>
        </w:object>
      </w:r>
    </w:p>
    <w:p w:rsidR="00267388" w:rsidRPr="0000522C" w:rsidRDefault="00267388" w:rsidP="00267388">
      <w:pPr>
        <w:rPr>
          <w:bCs/>
          <w:sz w:val="24"/>
        </w:rPr>
      </w:pPr>
    </w:p>
    <w:p w:rsidR="00267388" w:rsidRPr="0000522C" w:rsidRDefault="00267388" w:rsidP="00267388">
      <w:pPr>
        <w:rPr>
          <w:bCs/>
          <w:sz w:val="24"/>
        </w:rPr>
      </w:pPr>
      <w:r w:rsidRPr="0000522C">
        <w:rPr>
          <w:bCs/>
          <w:sz w:val="24"/>
        </w:rPr>
        <w:t>La tasa de cobertura es 0.4 % para ambos periodos.</w:t>
      </w:r>
    </w:p>
    <w:p w:rsidR="00BD36A9" w:rsidRPr="0000522C" w:rsidRDefault="00BD36A9" w:rsidP="00BD36A9">
      <w:pPr>
        <w:rPr>
          <w:bCs/>
          <w:sz w:val="24"/>
        </w:rPr>
      </w:pPr>
    </w:p>
    <w:p w:rsidR="00BD36A9" w:rsidRPr="0000522C" w:rsidRDefault="00BD36A9" w:rsidP="00267388">
      <w:pPr>
        <w:pStyle w:val="Prrafodelista"/>
        <w:numPr>
          <w:ilvl w:val="0"/>
          <w:numId w:val="9"/>
        </w:numPr>
        <w:jc w:val="both"/>
        <w:rPr>
          <w:sz w:val="24"/>
        </w:rPr>
      </w:pPr>
      <w:r w:rsidRPr="0000522C">
        <w:rPr>
          <w:sz w:val="24"/>
        </w:rPr>
        <w:t>Reservas por deudores de créditos para consumo</w:t>
      </w:r>
    </w:p>
    <w:p w:rsidR="00BD36A9" w:rsidRPr="0000522C" w:rsidRDefault="00BD36A9" w:rsidP="00BD36A9">
      <w:pPr>
        <w:jc w:val="both"/>
        <w:rPr>
          <w:sz w:val="24"/>
        </w:rPr>
      </w:pPr>
    </w:p>
    <w:bookmarkStart w:id="472" w:name="_MON_1464601198"/>
    <w:bookmarkStart w:id="473" w:name="_MON_1466318976"/>
    <w:bookmarkEnd w:id="472"/>
    <w:bookmarkEnd w:id="473"/>
    <w:bookmarkStart w:id="474" w:name="_MON_1471675386"/>
    <w:bookmarkEnd w:id="474"/>
    <w:p w:rsidR="00BD36A9" w:rsidRPr="0000522C" w:rsidRDefault="00BD36A9" w:rsidP="00BD36A9">
      <w:pPr>
        <w:jc w:val="both"/>
        <w:rPr>
          <w:sz w:val="24"/>
        </w:rPr>
      </w:pPr>
      <w:r w:rsidRPr="0000522C">
        <w:rPr>
          <w:sz w:val="24"/>
        </w:rPr>
        <w:object w:dxaOrig="5073" w:dyaOrig="1503">
          <v:shape id="_x0000_i1034" type="#_x0000_t75" style="width:263.5pt;height:96pt" o:ole="" fillcolor="window">
            <v:imagedata r:id="rId27" o:title=""/>
          </v:shape>
          <o:OLEObject Type="Embed" ProgID="Excel.Sheet.8" ShapeID="_x0000_i1034" DrawAspect="Content" ObjectID="_1539668660" r:id="rId28"/>
        </w:object>
      </w:r>
    </w:p>
    <w:p w:rsidR="00BD36A9" w:rsidRPr="0000522C" w:rsidRDefault="00BD36A9" w:rsidP="00BD36A9">
      <w:pPr>
        <w:rPr>
          <w:sz w:val="24"/>
        </w:rPr>
      </w:pPr>
    </w:p>
    <w:bookmarkStart w:id="475" w:name="_MON_1393142548"/>
    <w:bookmarkStart w:id="476" w:name="_MON_1393142660"/>
    <w:bookmarkStart w:id="477" w:name="_MON_1393307714"/>
    <w:bookmarkStart w:id="478" w:name="_MON_1395473026"/>
    <w:bookmarkStart w:id="479" w:name="_MON_1395759455"/>
    <w:bookmarkStart w:id="480" w:name="_MON_1395759475"/>
    <w:bookmarkStart w:id="481" w:name="_MON_1395759517"/>
    <w:bookmarkStart w:id="482" w:name="_MON_1401520192"/>
    <w:bookmarkStart w:id="483" w:name="_MON_1403003563"/>
    <w:bookmarkStart w:id="484" w:name="_MON_1409645037"/>
    <w:bookmarkStart w:id="485" w:name="_MON_1410950304"/>
    <w:bookmarkStart w:id="486" w:name="_MON_1414473266"/>
    <w:bookmarkStart w:id="487" w:name="_MON_1419249404"/>
    <w:bookmarkStart w:id="488" w:name="_MON_1423558496"/>
    <w:bookmarkStart w:id="489" w:name="_MON_1424521891"/>
    <w:bookmarkStart w:id="490" w:name="_MON_1424521926"/>
    <w:bookmarkStart w:id="491" w:name="_MON_1426675648"/>
    <w:bookmarkStart w:id="492" w:name="_MON_1432384823"/>
    <w:bookmarkStart w:id="493" w:name="_MON_1440828675"/>
    <w:bookmarkStart w:id="494" w:name="_MON_1440830158"/>
    <w:bookmarkStart w:id="495" w:name="_MON_1441103702"/>
    <w:bookmarkStart w:id="496" w:name="_MON_1442649218"/>
    <w:bookmarkStart w:id="497" w:name="_MON_1443356001"/>
    <w:bookmarkStart w:id="498" w:name="_MON_1443357106"/>
    <w:bookmarkStart w:id="499" w:name="_MON_1451285266"/>
    <w:bookmarkStart w:id="500" w:name="_MON_1454762898"/>
    <w:bookmarkStart w:id="501" w:name="_MON_1454844372"/>
    <w:bookmarkStart w:id="502" w:name="_MON_1458390018"/>
    <w:bookmarkStart w:id="503" w:name="_MON_1464601104"/>
    <w:bookmarkStart w:id="504" w:name="_MON_1471675402"/>
    <w:bookmarkStart w:id="505" w:name="_MON_1356335003"/>
    <w:bookmarkStart w:id="506" w:name="_MON_1356758217"/>
    <w:bookmarkStart w:id="507" w:name="_MON_1361696219"/>
    <w:bookmarkStart w:id="508" w:name="_MON_1361696255"/>
    <w:bookmarkStart w:id="509" w:name="_MON_1361703375"/>
    <w:bookmarkStart w:id="510" w:name="_MON_1368940557"/>
    <w:bookmarkStart w:id="511" w:name="_MON_1371459437"/>
    <w:bookmarkStart w:id="512" w:name="_MON_1376901881"/>
    <w:bookmarkStart w:id="513" w:name="_MON_1381047939"/>
    <w:bookmarkStart w:id="514" w:name="_MON_1381049353"/>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Start w:id="515" w:name="_MON_1387355222"/>
    <w:bookmarkEnd w:id="515"/>
    <w:p w:rsidR="00BD36A9" w:rsidRPr="0000522C" w:rsidRDefault="00BD36A9" w:rsidP="00BD36A9">
      <w:pPr>
        <w:rPr>
          <w:bCs/>
          <w:sz w:val="24"/>
        </w:rPr>
      </w:pPr>
      <w:r w:rsidRPr="0000522C">
        <w:rPr>
          <w:sz w:val="24"/>
        </w:rPr>
        <w:object w:dxaOrig="5073" w:dyaOrig="1503">
          <v:shape id="_x0000_i1035" type="#_x0000_t75" style="width:263.5pt;height:96pt" o:ole="" fillcolor="window">
            <v:imagedata r:id="rId29" o:title=""/>
          </v:shape>
          <o:OLEObject Type="Embed" ProgID="Excel.Sheet.8" ShapeID="_x0000_i1035" DrawAspect="Content" ObjectID="_1539668661" r:id="rId30"/>
        </w:object>
      </w:r>
    </w:p>
    <w:p w:rsidR="00BD36A9" w:rsidRPr="0000522C" w:rsidRDefault="00BD36A9" w:rsidP="00BD36A9">
      <w:pPr>
        <w:rPr>
          <w:bCs/>
          <w:sz w:val="24"/>
        </w:rPr>
      </w:pPr>
    </w:p>
    <w:p w:rsidR="00BD36A9" w:rsidRPr="0000522C" w:rsidRDefault="00BD36A9" w:rsidP="00BD36A9">
      <w:pPr>
        <w:rPr>
          <w:rFonts w:ascii="Calibri" w:eastAsia="Arial Unicode MS" w:hAnsi="Calibri" w:cs="Arial Unicode MS"/>
          <w:sz w:val="24"/>
          <w:szCs w:val="22"/>
          <w:lang w:val="es-SV" w:eastAsia="en-US"/>
        </w:rPr>
      </w:pPr>
      <w:r w:rsidRPr="0000522C">
        <w:rPr>
          <w:bCs/>
          <w:sz w:val="24"/>
        </w:rPr>
        <w:t xml:space="preserve">La tasa de cobertura es 1.3 %  </w:t>
      </w:r>
      <w:r w:rsidRPr="0000522C">
        <w:rPr>
          <w:sz w:val="24"/>
          <w:lang w:val="es-SV"/>
        </w:rPr>
        <w:t>para  2016 y 2015, para ambos periodos.</w:t>
      </w:r>
    </w:p>
    <w:p w:rsidR="00BD36A9" w:rsidRPr="0000522C" w:rsidRDefault="00BD36A9" w:rsidP="00BD36A9">
      <w:pPr>
        <w:rPr>
          <w:rFonts w:ascii="Calibri" w:eastAsia="Arial Unicode MS" w:hAnsi="Calibri" w:cs="Arial Unicode MS"/>
          <w:sz w:val="24"/>
          <w:szCs w:val="22"/>
          <w:lang w:val="es-SV" w:eastAsia="en-US"/>
        </w:rPr>
      </w:pPr>
    </w:p>
    <w:p w:rsidR="00D67B09" w:rsidRPr="0000522C" w:rsidRDefault="00D67B09" w:rsidP="00BD36A9">
      <w:pPr>
        <w:rPr>
          <w:rFonts w:ascii="Calibri" w:eastAsia="Arial Unicode MS" w:hAnsi="Calibri" w:cs="Arial Unicode MS"/>
          <w:sz w:val="24"/>
          <w:szCs w:val="22"/>
          <w:lang w:val="es-SV" w:eastAsia="en-US"/>
        </w:rPr>
      </w:pPr>
    </w:p>
    <w:p w:rsidR="00D67B09" w:rsidRPr="0000522C" w:rsidRDefault="00D67B09" w:rsidP="00BD36A9">
      <w:pPr>
        <w:rPr>
          <w:rFonts w:ascii="Calibri" w:eastAsia="Arial Unicode MS" w:hAnsi="Calibri" w:cs="Arial Unicode MS"/>
          <w:sz w:val="24"/>
          <w:szCs w:val="22"/>
          <w:lang w:val="es-SV" w:eastAsia="en-US"/>
        </w:rPr>
      </w:pPr>
    </w:p>
    <w:p w:rsidR="00D67B09" w:rsidRPr="0000522C" w:rsidRDefault="00D67B09" w:rsidP="00BD36A9">
      <w:pPr>
        <w:rPr>
          <w:rFonts w:ascii="Calibri" w:eastAsia="Arial Unicode MS" w:hAnsi="Calibri" w:cs="Arial Unicode MS"/>
          <w:sz w:val="24"/>
          <w:szCs w:val="22"/>
          <w:lang w:val="es-SV" w:eastAsia="en-US"/>
        </w:rPr>
      </w:pPr>
    </w:p>
    <w:p w:rsidR="00D67B09" w:rsidRPr="0000522C" w:rsidRDefault="00D67B09" w:rsidP="00BD36A9">
      <w:pPr>
        <w:rPr>
          <w:rFonts w:ascii="Calibri" w:eastAsia="Arial Unicode MS" w:hAnsi="Calibri" w:cs="Arial Unicode MS"/>
          <w:sz w:val="24"/>
          <w:szCs w:val="22"/>
          <w:lang w:val="es-SV" w:eastAsia="en-US"/>
        </w:rPr>
      </w:pPr>
    </w:p>
    <w:p w:rsidR="00D67B09" w:rsidRPr="0000522C" w:rsidRDefault="00D67B09" w:rsidP="00BD36A9">
      <w:pPr>
        <w:rPr>
          <w:rFonts w:ascii="Calibri" w:eastAsia="Arial Unicode MS" w:hAnsi="Calibri" w:cs="Arial Unicode MS"/>
          <w:sz w:val="24"/>
          <w:szCs w:val="22"/>
          <w:lang w:val="es-SV" w:eastAsia="en-US"/>
        </w:rPr>
      </w:pPr>
    </w:p>
    <w:p w:rsidR="00D67B09" w:rsidRPr="0000522C" w:rsidRDefault="00D67B09" w:rsidP="00BD36A9">
      <w:pPr>
        <w:rPr>
          <w:rFonts w:ascii="Calibri" w:eastAsia="Arial Unicode MS" w:hAnsi="Calibri" w:cs="Arial Unicode MS"/>
          <w:sz w:val="24"/>
          <w:szCs w:val="22"/>
          <w:lang w:val="es-SV" w:eastAsia="en-US"/>
        </w:rPr>
      </w:pPr>
    </w:p>
    <w:p w:rsidR="00BD36A9" w:rsidRPr="0000522C" w:rsidRDefault="00BD36A9" w:rsidP="00267388">
      <w:pPr>
        <w:pStyle w:val="Prrafodelista"/>
        <w:numPr>
          <w:ilvl w:val="0"/>
          <w:numId w:val="9"/>
        </w:numPr>
        <w:rPr>
          <w:bCs/>
          <w:sz w:val="24"/>
        </w:rPr>
      </w:pPr>
      <w:r w:rsidRPr="0000522C">
        <w:rPr>
          <w:bCs/>
          <w:sz w:val="24"/>
        </w:rPr>
        <w:lastRenderedPageBreak/>
        <w:t xml:space="preserve">Reservas Voluntarias  </w:t>
      </w:r>
    </w:p>
    <w:p w:rsidR="00BD36A9" w:rsidRPr="0000522C" w:rsidRDefault="00BD36A9" w:rsidP="00BD36A9">
      <w:pPr>
        <w:rPr>
          <w:b/>
          <w:sz w:val="24"/>
        </w:rPr>
      </w:pPr>
    </w:p>
    <w:bookmarkStart w:id="516" w:name="_MON_1395759583"/>
    <w:bookmarkStart w:id="517" w:name="_MON_1395759605"/>
    <w:bookmarkStart w:id="518" w:name="_MON_1401520280"/>
    <w:bookmarkStart w:id="519" w:name="_MON_1403003591"/>
    <w:bookmarkStart w:id="520" w:name="_MON_1409645120"/>
    <w:bookmarkStart w:id="521" w:name="_MON_1410950338"/>
    <w:bookmarkStart w:id="522" w:name="_MON_1414473301"/>
    <w:bookmarkStart w:id="523" w:name="_MON_1419249491"/>
    <w:bookmarkStart w:id="524" w:name="_MON_1419249585"/>
    <w:bookmarkStart w:id="525" w:name="_MON_1423558550"/>
    <w:bookmarkStart w:id="526" w:name="_MON_1426675689"/>
    <w:bookmarkStart w:id="527" w:name="_MON_1432384911"/>
    <w:bookmarkStart w:id="528" w:name="_MON_1434788181"/>
    <w:bookmarkStart w:id="529" w:name="_MON_1440828719"/>
    <w:bookmarkStart w:id="530" w:name="_MON_1440828769"/>
    <w:bookmarkStart w:id="531" w:name="_MON_1441103814"/>
    <w:bookmarkStart w:id="532" w:name="_MON_1442649272"/>
    <w:bookmarkStart w:id="533" w:name="_MON_1443356044"/>
    <w:bookmarkStart w:id="534" w:name="_MON_1451285315"/>
    <w:bookmarkStart w:id="535" w:name="_MON_1451455926"/>
    <w:bookmarkStart w:id="536" w:name="_MON_1454762945"/>
    <w:bookmarkStart w:id="537" w:name="_MON_1458390072"/>
    <w:bookmarkStart w:id="538" w:name="_MON_1464601241"/>
    <w:bookmarkStart w:id="539" w:name="_MON_1466319029"/>
    <w:bookmarkStart w:id="540" w:name="_MON_1471675490"/>
    <w:bookmarkStart w:id="541" w:name="_MON_1301136516"/>
    <w:bookmarkStart w:id="542" w:name="_MON_1301136600"/>
    <w:bookmarkStart w:id="543" w:name="_MON_1301145492"/>
    <w:bookmarkStart w:id="544" w:name="_MON_1306339181"/>
    <w:bookmarkStart w:id="545" w:name="_MON_1308413286"/>
    <w:bookmarkStart w:id="546" w:name="_MON_1309965717"/>
    <w:bookmarkStart w:id="547" w:name="_MON_1316439146"/>
    <w:bookmarkStart w:id="548" w:name="_MON_1317304650"/>
    <w:bookmarkStart w:id="549" w:name="_MON_1324711626"/>
    <w:bookmarkStart w:id="550" w:name="_MON_1329544566"/>
    <w:bookmarkStart w:id="551" w:name="_MON_1332159379"/>
    <w:bookmarkStart w:id="552" w:name="_MON_1345896107"/>
    <w:bookmarkStart w:id="553" w:name="_MON_1347878152"/>
    <w:bookmarkStart w:id="554" w:name="_MON_1347946916"/>
    <w:bookmarkStart w:id="555" w:name="_MON_1347947021"/>
    <w:bookmarkStart w:id="556" w:name="_MON_1356335067"/>
    <w:bookmarkStart w:id="557" w:name="_MON_1361695636"/>
    <w:bookmarkStart w:id="558" w:name="_MON_1361704872"/>
    <w:bookmarkStart w:id="559" w:name="_MON_1363681427"/>
    <w:bookmarkStart w:id="560" w:name="_MON_1368940591"/>
    <w:bookmarkStart w:id="561" w:name="_MON_1371459492"/>
    <w:bookmarkStart w:id="562" w:name="_MON_1376901961"/>
    <w:bookmarkStart w:id="563" w:name="_MON_1379407979"/>
    <w:bookmarkStart w:id="564" w:name="_MON_1379492628"/>
    <w:bookmarkStart w:id="565" w:name="_MON_1381047973"/>
    <w:bookmarkStart w:id="566" w:name="_MON_1387355263"/>
    <w:bookmarkStart w:id="567" w:name="_MON_1387709218"/>
    <w:bookmarkStart w:id="568" w:name="_MON_1387774920"/>
    <w:bookmarkStart w:id="569" w:name="_MON_1387775159"/>
    <w:bookmarkStart w:id="570" w:name="_MON_1387775742"/>
    <w:bookmarkStart w:id="571" w:name="_MON_1393142703"/>
    <w:bookmarkStart w:id="572" w:name="_MON_1393307786"/>
    <w:bookmarkStart w:id="573" w:name="_MON_1395473072"/>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Start w:id="574" w:name="_MON_1395483228"/>
    <w:bookmarkEnd w:id="574"/>
    <w:p w:rsidR="00BD36A9" w:rsidRPr="0000522C" w:rsidRDefault="00BD36A9" w:rsidP="00BD36A9">
      <w:pPr>
        <w:rPr>
          <w:sz w:val="24"/>
        </w:rPr>
      </w:pPr>
      <w:r w:rsidRPr="0000522C">
        <w:rPr>
          <w:sz w:val="24"/>
        </w:rPr>
        <w:object w:dxaOrig="4932" w:dyaOrig="1503">
          <v:shape id="_x0000_i1036" type="#_x0000_t75" style="width:263.5pt;height:86.5pt" o:ole="" fillcolor="window">
            <v:imagedata r:id="rId31" o:title=""/>
          </v:shape>
          <o:OLEObject Type="Embed" ProgID="Excel.Sheet.8" ShapeID="_x0000_i1036" DrawAspect="Content" ObjectID="_1539668662" r:id="rId32"/>
        </w:object>
      </w:r>
    </w:p>
    <w:p w:rsidR="00BD36A9" w:rsidRPr="0000522C" w:rsidRDefault="00BD36A9" w:rsidP="00BD36A9">
      <w:pPr>
        <w:rPr>
          <w:b/>
          <w:sz w:val="24"/>
        </w:rPr>
      </w:pPr>
    </w:p>
    <w:bookmarkStart w:id="575" w:name="_MON_1087800526"/>
    <w:bookmarkStart w:id="576" w:name="_MON_1087800611"/>
    <w:bookmarkStart w:id="577" w:name="_MON_1095666851"/>
    <w:bookmarkStart w:id="578" w:name="_MON_1095667003"/>
    <w:bookmarkStart w:id="579" w:name="_MON_1105527479"/>
    <w:bookmarkStart w:id="580" w:name="_MON_1107078656"/>
    <w:bookmarkStart w:id="581" w:name="_MON_1107174738"/>
    <w:bookmarkStart w:id="582" w:name="_MON_1107174811"/>
    <w:bookmarkStart w:id="583" w:name="_MON_1107174825"/>
    <w:bookmarkStart w:id="584" w:name="_MON_1110889240"/>
    <w:bookmarkStart w:id="585" w:name="_MON_1112447240"/>
    <w:bookmarkStart w:id="586" w:name="_MON_1119457335"/>
    <w:bookmarkStart w:id="587" w:name="_MON_1119942777"/>
    <w:bookmarkStart w:id="588" w:name="_MON_1120479901"/>
    <w:bookmarkStart w:id="589" w:name="_MON_1120545500"/>
    <w:bookmarkStart w:id="590" w:name="_MON_1120545580"/>
    <w:bookmarkStart w:id="591" w:name="_MON_1120545630"/>
    <w:bookmarkStart w:id="592" w:name="_MON_1127131234"/>
    <w:bookmarkStart w:id="593" w:name="_MON_1127801726"/>
    <w:bookmarkStart w:id="594" w:name="_MON_1136965422"/>
    <w:bookmarkStart w:id="595" w:name="_MON_1143359615"/>
    <w:bookmarkStart w:id="596" w:name="_MON_1143359700"/>
    <w:bookmarkStart w:id="597" w:name="_MON_1143621332"/>
    <w:bookmarkStart w:id="598" w:name="_MON_1144674998"/>
    <w:bookmarkStart w:id="599" w:name="_MON_1151499617"/>
    <w:bookmarkStart w:id="600" w:name="_MON_1159022169"/>
    <w:bookmarkStart w:id="601" w:name="_MON_1159097080"/>
    <w:bookmarkStart w:id="602" w:name="_MON_1283930265"/>
    <w:bookmarkStart w:id="603" w:name="_MON_1299498118"/>
    <w:bookmarkStart w:id="604" w:name="_MON_1301136190"/>
    <w:bookmarkStart w:id="605" w:name="_MON_1301136324"/>
    <w:bookmarkStart w:id="606" w:name="_MON_1301136398"/>
    <w:bookmarkStart w:id="607" w:name="_MON_1301136460"/>
    <w:bookmarkStart w:id="608" w:name="_MON_1306339211"/>
    <w:bookmarkStart w:id="609" w:name="_MON_1306339235"/>
    <w:bookmarkStart w:id="610" w:name="_MON_1308404186"/>
    <w:bookmarkStart w:id="611" w:name="_MON_1309965735"/>
    <w:bookmarkStart w:id="612" w:name="_MON_1309966804"/>
    <w:bookmarkStart w:id="613" w:name="_MON_1317304675"/>
    <w:bookmarkStart w:id="614" w:name="_MON_1317305164"/>
    <w:bookmarkStart w:id="615" w:name="_MON_1329544604"/>
    <w:bookmarkStart w:id="616" w:name="_MON_1332606327"/>
    <w:bookmarkStart w:id="617" w:name="_MON_1332606348"/>
    <w:bookmarkStart w:id="618" w:name="_MON_1345896121"/>
    <w:bookmarkStart w:id="619" w:name="_MON_1356335108"/>
    <w:bookmarkStart w:id="620" w:name="_MON_1361695543"/>
    <w:bookmarkStart w:id="621" w:name="_MON_1361703966"/>
    <w:bookmarkStart w:id="622" w:name="_MON_1368940619"/>
    <w:bookmarkStart w:id="623" w:name="_MON_1368941672"/>
    <w:bookmarkStart w:id="624" w:name="_MON_1371459533"/>
    <w:bookmarkStart w:id="625" w:name="_MON_1376901981"/>
    <w:bookmarkStart w:id="626" w:name="_MON_1381047998"/>
    <w:bookmarkStart w:id="627" w:name="_MON_1381049402"/>
    <w:bookmarkStart w:id="628" w:name="_MON_1387355320"/>
    <w:bookmarkStart w:id="629" w:name="_MON_1393142751"/>
    <w:bookmarkStart w:id="630" w:name="_MON_1393307814"/>
    <w:bookmarkStart w:id="631" w:name="_MON_1395473111"/>
    <w:bookmarkStart w:id="632" w:name="_MON_1395759616"/>
    <w:bookmarkStart w:id="633" w:name="_MON_1401520300"/>
    <w:bookmarkStart w:id="634" w:name="_MON_1403003635"/>
    <w:bookmarkStart w:id="635" w:name="_MON_1409645143"/>
    <w:bookmarkStart w:id="636" w:name="_MON_1410950371"/>
    <w:bookmarkStart w:id="637" w:name="_MON_1414473317"/>
    <w:bookmarkStart w:id="638" w:name="_MON_1419249524"/>
    <w:bookmarkStart w:id="639" w:name="_MON_1423558577"/>
    <w:bookmarkStart w:id="640" w:name="_MON_1424521962"/>
    <w:bookmarkStart w:id="641" w:name="_MON_1426675762"/>
    <w:bookmarkStart w:id="642" w:name="_MON_1432384930"/>
    <w:bookmarkStart w:id="643" w:name="_MON_1440828730"/>
    <w:bookmarkStart w:id="644" w:name="_MON_1440828754"/>
    <w:bookmarkStart w:id="645" w:name="_MON_1440830198"/>
    <w:bookmarkStart w:id="646" w:name="_MON_1441103822"/>
    <w:bookmarkStart w:id="647" w:name="_MON_1442649314"/>
    <w:bookmarkStart w:id="648" w:name="_MON_1443356060"/>
    <w:bookmarkStart w:id="649" w:name="_MON_1443357156"/>
    <w:bookmarkStart w:id="650" w:name="_MON_1451285350"/>
    <w:bookmarkStart w:id="651" w:name="_MON_1454762972"/>
    <w:bookmarkStart w:id="652" w:name="_MON_1454844434"/>
    <w:bookmarkStart w:id="653" w:name="_MON_1458390123"/>
    <w:bookmarkStart w:id="654" w:name="_MON_1464601275"/>
    <w:bookmarkStart w:id="655" w:name="_MON_1471675506"/>
    <w:bookmarkStart w:id="656" w:name="_MON_1080374260"/>
    <w:bookmarkStart w:id="657" w:name="_MON_1080374340"/>
    <w:bookmarkStart w:id="658" w:name="_MON_1080635877"/>
    <w:bookmarkStart w:id="659" w:name="_MON_1087390893"/>
    <w:bookmarkStart w:id="660" w:name="_MON_1087390949"/>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MON_1087390997"/>
    <w:bookmarkEnd w:id="661"/>
    <w:p w:rsidR="00BD36A9" w:rsidRPr="0000522C" w:rsidRDefault="00BD36A9" w:rsidP="00BD36A9">
      <w:pPr>
        <w:rPr>
          <w:sz w:val="24"/>
        </w:rPr>
      </w:pPr>
      <w:r w:rsidRPr="0000522C">
        <w:rPr>
          <w:sz w:val="24"/>
        </w:rPr>
        <w:object w:dxaOrig="4932" w:dyaOrig="1503">
          <v:shape id="_x0000_i1037" type="#_x0000_t75" style="width:263.5pt;height:86.5pt" o:ole="" fillcolor="window">
            <v:imagedata r:id="rId33" o:title=""/>
          </v:shape>
          <o:OLEObject Type="Embed" ProgID="Excel.Sheet.8" ShapeID="_x0000_i1037" DrawAspect="Content" ObjectID="_1539668663" r:id="rId34"/>
        </w:object>
      </w:r>
    </w:p>
    <w:p w:rsidR="00BD36A9" w:rsidRPr="0000522C" w:rsidRDefault="00BD36A9" w:rsidP="00BD36A9">
      <w:pPr>
        <w:jc w:val="both"/>
        <w:rPr>
          <w:sz w:val="24"/>
        </w:rPr>
      </w:pPr>
    </w:p>
    <w:p w:rsidR="00BD36A9" w:rsidRPr="0000522C" w:rsidRDefault="00BD36A9" w:rsidP="00BD36A9">
      <w:pPr>
        <w:jc w:val="both"/>
        <w:rPr>
          <w:sz w:val="24"/>
        </w:rPr>
      </w:pPr>
      <w:r w:rsidRPr="0000522C">
        <w:rPr>
          <w:sz w:val="24"/>
        </w:rPr>
        <w:t>Las reservas de Saneamiento por Contingencias para el 30/09/16 y 30/09/15 son de $ 4,395.1 y   $ 4,202.1,  respectivamente, se presentan en el rubro de pasivos Diversos.</w:t>
      </w:r>
    </w:p>
    <w:p w:rsidR="002B26CE" w:rsidRPr="0000522C" w:rsidRDefault="002B26CE" w:rsidP="00461D30">
      <w:pPr>
        <w:spacing w:after="200" w:line="276" w:lineRule="auto"/>
        <w:rPr>
          <w:rFonts w:asciiTheme="minorHAnsi" w:eastAsiaTheme="minorHAnsi" w:hAnsiTheme="minorHAnsi" w:cstheme="minorBidi"/>
          <w:sz w:val="22"/>
          <w:szCs w:val="22"/>
          <w:lang w:eastAsia="en-US"/>
        </w:rPr>
      </w:pPr>
    </w:p>
    <w:p w:rsidR="00441518" w:rsidRPr="0000522C" w:rsidRDefault="00441518" w:rsidP="00B15414">
      <w:pPr>
        <w:pStyle w:val="Ttulo7"/>
        <w:numPr>
          <w:ilvl w:val="0"/>
          <w:numId w:val="2"/>
        </w:numPr>
        <w:tabs>
          <w:tab w:val="left" w:pos="1134"/>
          <w:tab w:val="num" w:pos="1276"/>
        </w:tabs>
        <w:ind w:left="1276" w:hanging="1276"/>
      </w:pPr>
      <w:r w:rsidRPr="0000522C">
        <w:t xml:space="preserve">CARTERA PIGNORADA  </w:t>
      </w:r>
    </w:p>
    <w:p w:rsidR="005E37E0" w:rsidRPr="0000522C" w:rsidRDefault="005E37E0" w:rsidP="005E37E0"/>
    <w:p w:rsidR="00CA441E" w:rsidRPr="0000522C" w:rsidRDefault="00CA441E" w:rsidP="00CA441E">
      <w:pPr>
        <w:jc w:val="both"/>
        <w:rPr>
          <w:sz w:val="24"/>
        </w:rPr>
      </w:pPr>
      <w:r w:rsidRPr="0000522C">
        <w:rPr>
          <w:sz w:val="24"/>
        </w:rPr>
        <w:t>Se han obtenido recursos con garantía de la cartera de préstamos para el 30/09/16 y 30/09/15, como a continuación se describe:</w:t>
      </w:r>
    </w:p>
    <w:p w:rsidR="00CA441E" w:rsidRPr="0000522C" w:rsidRDefault="00CA441E" w:rsidP="00CA441E">
      <w:pPr>
        <w:jc w:val="both"/>
        <w:rPr>
          <w:sz w:val="24"/>
        </w:rPr>
      </w:pPr>
      <w:bookmarkStart w:id="662" w:name="OLE_LINK46"/>
    </w:p>
    <w:p w:rsidR="00CA441E" w:rsidRPr="0000522C" w:rsidRDefault="00CA441E" w:rsidP="00CA441E">
      <w:pPr>
        <w:numPr>
          <w:ilvl w:val="0"/>
          <w:numId w:val="10"/>
        </w:numPr>
        <w:jc w:val="both"/>
        <w:rPr>
          <w:sz w:val="24"/>
        </w:rPr>
      </w:pPr>
      <w:r w:rsidRPr="0000522C">
        <w:rPr>
          <w:sz w:val="24"/>
        </w:rPr>
        <w:t xml:space="preserve">Préstamos recibidos al 30 de septiembre de 2016 del Banco de Desarrollo de El Salvador por $26,201.4, garantizados con créditos categoría “A” hasta la “C” por un monto de  $50,481.7, el saldo de préstamos más intereses es de $26,426.3 y </w:t>
      </w:r>
      <w:bookmarkEnd w:id="662"/>
      <w:r w:rsidRPr="0000522C">
        <w:rPr>
          <w:sz w:val="24"/>
        </w:rPr>
        <w:t>al 30 de septiembre de 2015 tenían un saldo de $27,706.4, garantizados con créditos categoría “A” hasta la “C” por un monto de $51,183.0, el saldo de préstamos más intereses es de $28,004.7.</w:t>
      </w:r>
    </w:p>
    <w:p w:rsidR="00CA441E" w:rsidRPr="0000522C" w:rsidRDefault="00CA441E" w:rsidP="00CA441E">
      <w:pPr>
        <w:ind w:left="705"/>
        <w:jc w:val="both"/>
        <w:rPr>
          <w:sz w:val="24"/>
        </w:rPr>
      </w:pPr>
    </w:p>
    <w:p w:rsidR="00CA441E" w:rsidRPr="0000522C" w:rsidRDefault="00CA441E" w:rsidP="00196A95">
      <w:pPr>
        <w:numPr>
          <w:ilvl w:val="0"/>
          <w:numId w:val="10"/>
        </w:numPr>
        <w:jc w:val="both"/>
        <w:rPr>
          <w:sz w:val="24"/>
        </w:rPr>
      </w:pPr>
      <w:r w:rsidRPr="0000522C">
        <w:rPr>
          <w:sz w:val="24"/>
        </w:rPr>
        <w:t>Préstamos recibidos al 30 de septiembre de 2016 del Banco Centroamericano de Integración Económica (BCIE), por $289.5, garantizados con créditos categoría “A” hasta “B” por un monto de $301.5 y efectivo por $457.1</w:t>
      </w:r>
      <w:r w:rsidR="00196A95" w:rsidRPr="0000522C">
        <w:rPr>
          <w:sz w:val="24"/>
        </w:rPr>
        <w:t>,siendo el total de garantía de $758.6</w:t>
      </w:r>
      <w:r w:rsidRPr="0000522C">
        <w:rPr>
          <w:sz w:val="24"/>
        </w:rPr>
        <w:t>, el saldo de los préstamos más intereses es de $292.1 y al 30 de septiembre de 2015 tenía un saldo por $355.0, garantizados con créditos categoría “A” ha</w:t>
      </w:r>
      <w:r w:rsidR="0000522C">
        <w:rPr>
          <w:sz w:val="24"/>
        </w:rPr>
        <w:t>sta “B” por un monto de $356.6</w:t>
      </w:r>
      <w:r w:rsidR="00196A95" w:rsidRPr="0000522C">
        <w:rPr>
          <w:sz w:val="24"/>
        </w:rPr>
        <w:t xml:space="preserve"> y efectivo por $457.1,</w:t>
      </w:r>
      <w:r w:rsidR="0000522C">
        <w:rPr>
          <w:sz w:val="24"/>
        </w:rPr>
        <w:t xml:space="preserve"> </w:t>
      </w:r>
      <w:r w:rsidR="00196A95" w:rsidRPr="0000522C">
        <w:rPr>
          <w:sz w:val="24"/>
        </w:rPr>
        <w:t xml:space="preserve">siendo el total de garantía de $813.8, </w:t>
      </w:r>
      <w:r w:rsidRPr="0000522C">
        <w:rPr>
          <w:sz w:val="24"/>
        </w:rPr>
        <w:t>el saldo de los préstamos más intereses es de $358.1.</w:t>
      </w:r>
    </w:p>
    <w:p w:rsidR="00CA441E" w:rsidRPr="0000522C" w:rsidRDefault="00CA441E" w:rsidP="00CA441E">
      <w:pPr>
        <w:jc w:val="both"/>
        <w:rPr>
          <w:sz w:val="24"/>
        </w:rPr>
      </w:pPr>
    </w:p>
    <w:p w:rsidR="00CA441E" w:rsidRPr="0000522C" w:rsidRDefault="00CA441E" w:rsidP="00CA441E">
      <w:pPr>
        <w:jc w:val="both"/>
        <w:rPr>
          <w:rFonts w:ascii="Calibri" w:hAnsi="Calibri"/>
          <w:sz w:val="24"/>
          <w:szCs w:val="22"/>
          <w:lang w:val="es-SV" w:eastAsia="en-US"/>
        </w:rPr>
      </w:pPr>
      <w:r w:rsidRPr="0000522C">
        <w:rPr>
          <w:sz w:val="24"/>
        </w:rPr>
        <w:t>Los créditos referidos constan en registros que permiten su identificación plena, a efecto de responder ante nuestros acreedores por las responsabilidades legales derivadas de los contratos respectivos.</w:t>
      </w:r>
    </w:p>
    <w:p w:rsidR="00CA441E" w:rsidRPr="0000522C" w:rsidRDefault="00CA441E" w:rsidP="00CA441E">
      <w:pPr>
        <w:rPr>
          <w:b/>
        </w:rPr>
      </w:pPr>
      <w:r w:rsidRPr="0000522C">
        <w:rPr>
          <w:b/>
        </w:rPr>
        <w:t xml:space="preserve"> </w:t>
      </w:r>
    </w:p>
    <w:p w:rsidR="00D67B09" w:rsidRPr="0000522C" w:rsidRDefault="00D67B09" w:rsidP="00CA441E">
      <w:pPr>
        <w:rPr>
          <w:b/>
        </w:rPr>
      </w:pPr>
    </w:p>
    <w:p w:rsidR="00D67B09" w:rsidRPr="0000522C" w:rsidRDefault="00D67B09" w:rsidP="00CA441E">
      <w:pPr>
        <w:rPr>
          <w:b/>
        </w:rPr>
      </w:pPr>
    </w:p>
    <w:p w:rsidR="00B85E72" w:rsidRPr="0000522C" w:rsidRDefault="00B85E72" w:rsidP="00130BC9">
      <w:pPr>
        <w:jc w:val="both"/>
        <w:rPr>
          <w:sz w:val="24"/>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lastRenderedPageBreak/>
        <w:t>BI</w:t>
      </w:r>
      <w:r w:rsidR="001802D0" w:rsidRPr="0000522C">
        <w:rPr>
          <w:bCs/>
        </w:rPr>
        <w:t xml:space="preserve">ENES RECIBIDOS EN PAGO (ACTIVOS </w:t>
      </w:r>
      <w:r w:rsidRPr="0000522C">
        <w:rPr>
          <w:bCs/>
        </w:rPr>
        <w:t>EXTRAORDINARIOS)</w:t>
      </w:r>
    </w:p>
    <w:p w:rsidR="00441518" w:rsidRPr="0000522C" w:rsidRDefault="00441518"/>
    <w:p w:rsidR="00FF63DA" w:rsidRPr="0000522C" w:rsidRDefault="00FF63DA" w:rsidP="00FF63DA">
      <w:pPr>
        <w:tabs>
          <w:tab w:val="left" w:pos="-2160"/>
          <w:tab w:val="left" w:pos="-1980"/>
          <w:tab w:val="left" w:pos="709"/>
        </w:tabs>
        <w:jc w:val="both"/>
        <w:rPr>
          <w:sz w:val="24"/>
          <w:szCs w:val="24"/>
        </w:rPr>
      </w:pPr>
      <w:r w:rsidRPr="0000522C">
        <w:rPr>
          <w:sz w:val="24"/>
          <w:szCs w:val="24"/>
        </w:rPr>
        <w:t>Al 30/09/16 y 30/09/15, la institución mantiene saldos netos de activos extraordinarios por valor de $375.3 y $264.2, respectivamente.</w:t>
      </w:r>
    </w:p>
    <w:p w:rsidR="00FF63DA" w:rsidRPr="0000522C" w:rsidRDefault="00FF63DA" w:rsidP="00FF63DA">
      <w:pPr>
        <w:tabs>
          <w:tab w:val="left" w:pos="-2160"/>
          <w:tab w:val="left" w:pos="-1980"/>
          <w:tab w:val="left" w:pos="709"/>
        </w:tabs>
        <w:jc w:val="both"/>
        <w:rPr>
          <w:sz w:val="24"/>
          <w:szCs w:val="24"/>
        </w:rPr>
      </w:pPr>
    </w:p>
    <w:p w:rsidR="00FF63DA" w:rsidRPr="0000522C" w:rsidRDefault="00FF63DA" w:rsidP="00FF63DA">
      <w:pPr>
        <w:tabs>
          <w:tab w:val="left" w:pos="-2160"/>
          <w:tab w:val="left" w:pos="-1980"/>
          <w:tab w:val="left" w:pos="709"/>
        </w:tabs>
        <w:jc w:val="both"/>
        <w:rPr>
          <w:sz w:val="24"/>
          <w:szCs w:val="24"/>
        </w:rPr>
      </w:pPr>
      <w:r w:rsidRPr="0000522C">
        <w:rPr>
          <w:sz w:val="24"/>
          <w:szCs w:val="24"/>
        </w:rPr>
        <w:t>El movimiento de activos extraordinarios, registrados durante los períodos reportados, se resume a continuación:</w:t>
      </w:r>
    </w:p>
    <w:p w:rsidR="00FF63DA" w:rsidRPr="0000522C" w:rsidRDefault="00FF63DA" w:rsidP="00FF63DA">
      <w:pPr>
        <w:tabs>
          <w:tab w:val="left" w:pos="-2160"/>
          <w:tab w:val="left" w:pos="-1980"/>
          <w:tab w:val="left" w:pos="709"/>
        </w:tabs>
        <w:jc w:val="both"/>
        <w:rPr>
          <w:sz w:val="24"/>
          <w:szCs w:val="24"/>
        </w:rPr>
      </w:pPr>
    </w:p>
    <w:bookmarkStart w:id="663" w:name="_MON_1452951941"/>
    <w:bookmarkStart w:id="664" w:name="_MON_1458630587"/>
    <w:bookmarkStart w:id="665" w:name="_MON_1458631050"/>
    <w:bookmarkStart w:id="666" w:name="_MON_1458631708"/>
    <w:bookmarkStart w:id="667" w:name="_MON_1458631766"/>
    <w:bookmarkStart w:id="668" w:name="_MON_1458631901"/>
    <w:bookmarkStart w:id="669" w:name="_MON_1458632162"/>
    <w:bookmarkStart w:id="670" w:name="_MON_1458632303"/>
    <w:bookmarkStart w:id="671" w:name="_MON_1332231004"/>
    <w:bookmarkStart w:id="672" w:name="_MON_1332307766"/>
    <w:bookmarkStart w:id="673" w:name="_MON_1332312435"/>
    <w:bookmarkStart w:id="674" w:name="_MON_1339832801"/>
    <w:bookmarkStart w:id="675" w:name="_MON_1339834197"/>
    <w:bookmarkStart w:id="676" w:name="_MON_1339932176"/>
    <w:bookmarkStart w:id="677" w:name="_MON_1341304001"/>
    <w:bookmarkStart w:id="678" w:name="_MON_1347955596"/>
    <w:bookmarkStart w:id="679" w:name="_MON_1347960439"/>
    <w:bookmarkStart w:id="680" w:name="_MON_1347965615"/>
    <w:bookmarkStart w:id="681" w:name="_MON_1347965640"/>
    <w:bookmarkStart w:id="682" w:name="_MON_1347967515"/>
    <w:bookmarkStart w:id="683" w:name="_MON_1348040686"/>
    <w:bookmarkStart w:id="684" w:name="_MON_1348043881"/>
    <w:bookmarkStart w:id="685" w:name="_MON_1363763663"/>
    <w:bookmarkStart w:id="686" w:name="_MON_1376981012"/>
    <w:bookmarkStart w:id="687" w:name="_MON_1376981034"/>
    <w:bookmarkStart w:id="688" w:name="_MON_1378811367"/>
    <w:bookmarkStart w:id="689" w:name="_MON_1379486188"/>
    <w:bookmarkStart w:id="690" w:name="_MON_1379507978"/>
    <w:bookmarkStart w:id="691" w:name="_MON_1379508068"/>
    <w:bookmarkStart w:id="692" w:name="_MON_1379753623"/>
    <w:bookmarkStart w:id="693" w:name="_MON_1379753633"/>
    <w:bookmarkStart w:id="694" w:name="_MON_1395759721"/>
    <w:bookmarkStart w:id="695" w:name="_MON_1396108861"/>
    <w:bookmarkStart w:id="696" w:name="_MON_1442752774"/>
    <w:bookmarkStart w:id="697" w:name="_MON_1442823656"/>
    <w:bookmarkStart w:id="698" w:name="_MON_1442827331"/>
    <w:bookmarkStart w:id="699" w:name="_MON_1442828832"/>
    <w:bookmarkStart w:id="700" w:name="_MON_1442832583"/>
    <w:bookmarkStart w:id="701" w:name="_MON_1442924102"/>
    <w:bookmarkStart w:id="702" w:name="_MON_1452609972"/>
    <w:bookmarkStart w:id="703" w:name="_MON_1452610920"/>
    <w:bookmarkStart w:id="704" w:name="_MON_1452664630"/>
    <w:bookmarkStart w:id="705" w:name="_MON_145294843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06" w:name="_MON_1452950104"/>
    <w:bookmarkEnd w:id="706"/>
    <w:p w:rsidR="00FF63DA" w:rsidRPr="0000522C" w:rsidRDefault="00FF63DA" w:rsidP="00FF63DA">
      <w:r w:rsidRPr="0000522C">
        <w:rPr>
          <w:sz w:val="24"/>
          <w:szCs w:val="24"/>
        </w:rPr>
        <w:object w:dxaOrig="8124" w:dyaOrig="2303">
          <v:shape id="_x0000_i1038" type="#_x0000_t75" style="width:437.5pt;height:129pt" o:ole="" fillcolor="window">
            <v:imagedata r:id="rId35" o:title=""/>
          </v:shape>
          <o:OLEObject Type="Embed" ProgID="Excel.Sheet.8" ShapeID="_x0000_i1038" DrawAspect="Content" ObjectID="_1539668664" r:id="rId36"/>
        </w:object>
      </w:r>
    </w:p>
    <w:p w:rsidR="00FF63DA" w:rsidRPr="0000522C" w:rsidRDefault="00FF63DA" w:rsidP="00FF63DA">
      <w:pPr>
        <w:tabs>
          <w:tab w:val="left" w:pos="-2160"/>
          <w:tab w:val="left" w:pos="-1980"/>
          <w:tab w:val="left" w:pos="709"/>
        </w:tabs>
        <w:jc w:val="both"/>
        <w:rPr>
          <w:sz w:val="24"/>
          <w:szCs w:val="24"/>
        </w:rPr>
      </w:pPr>
    </w:p>
    <w:p w:rsidR="00FF63DA" w:rsidRPr="0000522C" w:rsidRDefault="00FF63DA" w:rsidP="00FF63DA">
      <w:pPr>
        <w:tabs>
          <w:tab w:val="left" w:pos="-2160"/>
          <w:tab w:val="left" w:pos="-1980"/>
          <w:tab w:val="left" w:pos="709"/>
        </w:tabs>
        <w:jc w:val="both"/>
        <w:rPr>
          <w:sz w:val="24"/>
          <w:szCs w:val="24"/>
        </w:rPr>
      </w:pPr>
      <w:r w:rsidRPr="0000522C">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r w:rsidRPr="0000522C">
        <w:rPr>
          <w:szCs w:val="24"/>
        </w:rPr>
        <w:t>En el período comprendido del 1 de enero al 30 de septiembre de 2015, no se han dado de bajas activos extraordinarios.</w:t>
      </w: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r w:rsidRPr="0000522C">
        <w:rPr>
          <w:szCs w:val="24"/>
        </w:rPr>
        <w:t>En el período comprendido del 1 de enero al 30 de septiembre de 2016, las bajas fueron como se describen a continuación:</w:t>
      </w: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p w:rsidR="00FF63DA" w:rsidRPr="0000522C" w:rsidRDefault="00FF63DA" w:rsidP="00FF63DA">
      <w:pPr>
        <w:pStyle w:val="Textoindependiente2"/>
        <w:tabs>
          <w:tab w:val="left" w:pos="709"/>
        </w:tabs>
        <w:rPr>
          <w:szCs w:val="24"/>
        </w:rPr>
      </w:pPr>
    </w:p>
    <w:bookmarkStart w:id="707" w:name="_MON_1522568067"/>
    <w:bookmarkEnd w:id="707"/>
    <w:p w:rsidR="00FF63DA" w:rsidRPr="0000522C" w:rsidRDefault="00BA2317" w:rsidP="00FF63DA">
      <w:pPr>
        <w:pStyle w:val="Textoindependiente2"/>
        <w:tabs>
          <w:tab w:val="left" w:pos="709"/>
        </w:tabs>
        <w:rPr>
          <w:szCs w:val="24"/>
        </w:rPr>
      </w:pPr>
      <w:r w:rsidRPr="0000522C">
        <w:rPr>
          <w:szCs w:val="24"/>
        </w:rPr>
        <w:object w:dxaOrig="9849" w:dyaOrig="9183">
          <v:shape id="_x0000_i1039" type="#_x0000_t75" style="width:441pt;height:458pt" o:ole="">
            <v:imagedata r:id="rId37" o:title=""/>
          </v:shape>
          <o:OLEObject Type="Embed" ProgID="Excel.Sheet.12" ShapeID="_x0000_i1039" DrawAspect="Content" ObjectID="_1539668665" r:id="rId38"/>
        </w:object>
      </w:r>
    </w:p>
    <w:p w:rsidR="00FF63DA" w:rsidRPr="0000522C" w:rsidRDefault="00FF63DA" w:rsidP="00FF63DA">
      <w:pPr>
        <w:pStyle w:val="Textoindependiente2"/>
        <w:tabs>
          <w:tab w:val="left" w:pos="709"/>
        </w:tabs>
        <w:rPr>
          <w:szCs w:val="24"/>
        </w:rPr>
      </w:pPr>
    </w:p>
    <w:p w:rsidR="00FF63DA" w:rsidRPr="0000522C" w:rsidRDefault="00FF63DA" w:rsidP="00FF63DA"/>
    <w:p w:rsidR="00401B9E" w:rsidRPr="0000522C" w:rsidRDefault="00DC77B8" w:rsidP="00205383">
      <w:pPr>
        <w:pStyle w:val="Ttulo7"/>
        <w:numPr>
          <w:ilvl w:val="0"/>
          <w:numId w:val="2"/>
        </w:numPr>
        <w:tabs>
          <w:tab w:val="left" w:pos="1134"/>
          <w:tab w:val="num" w:pos="1276"/>
        </w:tabs>
        <w:ind w:left="1276" w:hanging="1276"/>
        <w:rPr>
          <w:bCs/>
        </w:rPr>
      </w:pPr>
      <w:r w:rsidRPr="0000522C">
        <w:rPr>
          <w:bCs/>
        </w:rPr>
        <w:t>INVERSIONES ACCIONARIAS</w:t>
      </w:r>
    </w:p>
    <w:p w:rsidR="00441518" w:rsidRPr="0000522C" w:rsidRDefault="00441518" w:rsidP="001C72C4">
      <w:pPr>
        <w:pStyle w:val="Ttulo7"/>
        <w:tabs>
          <w:tab w:val="left" w:pos="1134"/>
        </w:tabs>
        <w:rPr>
          <w:bCs/>
        </w:rPr>
      </w:pPr>
    </w:p>
    <w:p w:rsidR="00175E72" w:rsidRPr="0000522C" w:rsidRDefault="00175E72" w:rsidP="00175E72">
      <w:pPr>
        <w:jc w:val="both"/>
        <w:rPr>
          <w:sz w:val="24"/>
        </w:rPr>
      </w:pPr>
      <w:r w:rsidRPr="0000522C">
        <w:rPr>
          <w:sz w:val="24"/>
        </w:rPr>
        <w:t xml:space="preserve">El Banco de Fomento Agropecuario al 30 de </w:t>
      </w:r>
      <w:r w:rsidR="00BB5052" w:rsidRPr="0000522C">
        <w:rPr>
          <w:sz w:val="24"/>
        </w:rPr>
        <w:t>septiembre</w:t>
      </w:r>
      <w:r w:rsidR="00264639" w:rsidRPr="0000522C">
        <w:rPr>
          <w:sz w:val="24"/>
        </w:rPr>
        <w:t xml:space="preserve"> de 2016 y 2015</w:t>
      </w:r>
      <w:r w:rsidRPr="0000522C">
        <w:rPr>
          <w:sz w:val="24"/>
        </w:rPr>
        <w:t>, no posee inversiones accionarias en subsidiarias o en sociedades de inversión conjuntas.</w:t>
      </w:r>
    </w:p>
    <w:p w:rsidR="00414EE3" w:rsidRPr="0000522C" w:rsidRDefault="00414EE3" w:rsidP="00175E72">
      <w:pPr>
        <w:jc w:val="both"/>
        <w:rPr>
          <w:sz w:val="24"/>
        </w:rPr>
      </w:pPr>
    </w:p>
    <w:p w:rsidR="00D12961" w:rsidRDefault="00D12961" w:rsidP="00175E72">
      <w:pPr>
        <w:jc w:val="both"/>
        <w:rPr>
          <w:sz w:val="24"/>
        </w:rPr>
      </w:pPr>
    </w:p>
    <w:p w:rsidR="00BA2317" w:rsidRPr="00BA2317" w:rsidRDefault="00DC77B8" w:rsidP="00BA2317">
      <w:pPr>
        <w:pStyle w:val="Prrafodelista"/>
        <w:numPr>
          <w:ilvl w:val="0"/>
          <w:numId w:val="2"/>
        </w:numPr>
        <w:tabs>
          <w:tab w:val="left" w:pos="1134"/>
          <w:tab w:val="num" w:pos="1276"/>
        </w:tabs>
        <w:ind w:left="1276" w:hanging="1276"/>
      </w:pPr>
      <w:r w:rsidRPr="0000522C">
        <w:rPr>
          <w:b/>
          <w:sz w:val="24"/>
          <w:szCs w:val="24"/>
        </w:rPr>
        <w:lastRenderedPageBreak/>
        <w:t>ACTIVO FIJO (BIENES MUEBLES E INMUEBLES</w:t>
      </w:r>
      <w:r w:rsidRPr="0000522C">
        <w:rPr>
          <w:sz w:val="24"/>
          <w:szCs w:val="24"/>
        </w:rPr>
        <w:t>)</w:t>
      </w:r>
      <w:bookmarkEnd w:id="40"/>
    </w:p>
    <w:p w:rsidR="00BA2317" w:rsidRPr="00BA2317" w:rsidRDefault="00BA2317" w:rsidP="00BA2317">
      <w:pPr>
        <w:pStyle w:val="Prrafodelista"/>
        <w:tabs>
          <w:tab w:val="left" w:pos="1134"/>
          <w:tab w:val="num" w:pos="1276"/>
        </w:tabs>
        <w:ind w:left="1276"/>
      </w:pPr>
    </w:p>
    <w:p w:rsidR="009826C1" w:rsidRDefault="00C964AB" w:rsidP="00BA2317">
      <w:pPr>
        <w:tabs>
          <w:tab w:val="left" w:pos="1134"/>
          <w:tab w:val="num" w:pos="1276"/>
        </w:tabs>
        <w:rPr>
          <w:sz w:val="24"/>
          <w:szCs w:val="24"/>
        </w:rPr>
      </w:pPr>
      <w:r>
        <w:rPr>
          <w:noProof/>
          <w:sz w:val="24"/>
          <w:szCs w:val="23"/>
          <w:lang w:val="es-SV" w:eastAsia="es-SV"/>
        </w:rPr>
        <w:pict>
          <v:shape id="_x0000_s1490" type="#_x0000_t75" style="position:absolute;margin-left:-5.2pt;margin-top:24.8pt;width:494.6pt;height:346.15pt;z-index:251679232" fillcolor="window">
            <v:imagedata r:id="rId39" o:title=""/>
            <w10:wrap type="square" side="right"/>
          </v:shape>
          <o:OLEObject Type="Embed" ProgID="Excel.Sheet.8" ShapeID="_x0000_s1490" DrawAspect="Content" ObjectID="_1539668676" r:id="rId40"/>
        </w:pict>
      </w:r>
      <w:r w:rsidR="009826C1" w:rsidRPr="00843CB5">
        <w:rPr>
          <w:sz w:val="24"/>
          <w:szCs w:val="24"/>
        </w:rPr>
        <w:t>Los bienes muebles e inmuebles de la entidad se detallan a continuación:</w:t>
      </w:r>
    </w:p>
    <w:p w:rsidR="00BA2317" w:rsidRPr="00BA2317" w:rsidRDefault="00BA2317" w:rsidP="00BA2317">
      <w:pPr>
        <w:tabs>
          <w:tab w:val="left" w:pos="1134"/>
          <w:tab w:val="num" w:pos="1276"/>
        </w:tabs>
      </w:pPr>
    </w:p>
    <w:p w:rsidR="009826C1" w:rsidRPr="00843CB5" w:rsidRDefault="009826C1" w:rsidP="009826C1">
      <w:pPr>
        <w:widowControl w:val="0"/>
        <w:tabs>
          <w:tab w:val="left" w:pos="720"/>
          <w:tab w:val="left" w:pos="1296"/>
          <w:tab w:val="left" w:pos="2016"/>
        </w:tabs>
        <w:snapToGrid w:val="0"/>
        <w:jc w:val="both"/>
        <w:rPr>
          <w:sz w:val="24"/>
          <w:szCs w:val="23"/>
          <w:lang w:val="es-ES_tradnl"/>
        </w:rPr>
      </w:pPr>
      <w:r w:rsidRPr="00843CB5">
        <w:rPr>
          <w:sz w:val="24"/>
          <w:szCs w:val="23"/>
          <w:lang w:val="es-ES_tradnl"/>
        </w:rPr>
        <w:t>Durante el presente ejercicio no se efectuaron revalúos.</w:t>
      </w:r>
    </w:p>
    <w:p w:rsidR="009826C1" w:rsidRPr="00843CB5" w:rsidRDefault="009826C1" w:rsidP="009826C1">
      <w:pPr>
        <w:widowControl w:val="0"/>
        <w:tabs>
          <w:tab w:val="left" w:pos="720"/>
          <w:tab w:val="left" w:pos="1296"/>
          <w:tab w:val="left" w:pos="2016"/>
        </w:tabs>
        <w:snapToGrid w:val="0"/>
        <w:jc w:val="both"/>
        <w:rPr>
          <w:b/>
          <w:szCs w:val="23"/>
        </w:rPr>
      </w:pPr>
    </w:p>
    <w:p w:rsidR="009826C1" w:rsidRDefault="009826C1" w:rsidP="009826C1">
      <w:pPr>
        <w:widowControl w:val="0"/>
        <w:tabs>
          <w:tab w:val="left" w:pos="720"/>
          <w:tab w:val="left" w:pos="1296"/>
          <w:tab w:val="left" w:pos="2016"/>
        </w:tabs>
        <w:snapToGrid w:val="0"/>
        <w:jc w:val="both"/>
        <w:rPr>
          <w:sz w:val="24"/>
          <w:szCs w:val="24"/>
        </w:rPr>
      </w:pPr>
      <w:r w:rsidRPr="00843CB5">
        <w:rPr>
          <w:sz w:val="24"/>
          <w:szCs w:val="24"/>
        </w:rPr>
        <w:t>El movimiento del activo fijo en el ejercicio reportado fue el siguiente:</w:t>
      </w:r>
    </w:p>
    <w:p w:rsidR="009826C1" w:rsidRDefault="009826C1" w:rsidP="009826C1">
      <w:pPr>
        <w:widowControl w:val="0"/>
        <w:tabs>
          <w:tab w:val="left" w:pos="720"/>
          <w:tab w:val="left" w:pos="1296"/>
          <w:tab w:val="left" w:pos="2016"/>
        </w:tabs>
        <w:snapToGrid w:val="0"/>
        <w:jc w:val="both"/>
        <w:rPr>
          <w:sz w:val="24"/>
          <w:szCs w:val="24"/>
        </w:rPr>
      </w:pPr>
    </w:p>
    <w:p w:rsidR="009826C1" w:rsidRPr="00843CB5" w:rsidRDefault="00C964AB" w:rsidP="009826C1">
      <w:pPr>
        <w:widowControl w:val="0"/>
        <w:tabs>
          <w:tab w:val="left" w:pos="720"/>
          <w:tab w:val="left" w:pos="1296"/>
          <w:tab w:val="left" w:pos="2016"/>
        </w:tabs>
        <w:snapToGrid w:val="0"/>
        <w:jc w:val="both"/>
      </w:pPr>
      <w:r>
        <w:rPr>
          <w:noProof/>
          <w:lang w:val="es-SV" w:eastAsia="es-SV"/>
        </w:rPr>
        <w:pict>
          <v:shape id="_x0000_s1491" type="#_x0000_t75" style="position:absolute;left:0;text-align:left;margin-left:-2.75pt;margin-top:3.25pt;width:405.7pt;height:181.1pt;z-index:251680256" fillcolor="window">
            <v:imagedata r:id="rId41" o:title=""/>
            <w10:wrap type="square" side="right"/>
          </v:shape>
          <o:OLEObject Type="Embed" ProgID="Excel.Sheet.8" ShapeID="_x0000_s1491" DrawAspect="Content" ObjectID="_1539668677" r:id="rId42"/>
        </w:pict>
      </w:r>
    </w:p>
    <w:p w:rsidR="00F31EF7" w:rsidRDefault="00F31EF7"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Default="009826C1" w:rsidP="00F31EF7"/>
    <w:p w:rsidR="009826C1" w:rsidRPr="0000522C" w:rsidRDefault="009826C1" w:rsidP="00F31EF7"/>
    <w:p w:rsidR="00176A8A" w:rsidRPr="0000522C" w:rsidRDefault="00176A8A" w:rsidP="00F31EF7"/>
    <w:p w:rsidR="00441518" w:rsidRPr="0000522C" w:rsidRDefault="00441518" w:rsidP="00B15414">
      <w:pPr>
        <w:pStyle w:val="Ttulo7"/>
        <w:numPr>
          <w:ilvl w:val="0"/>
          <w:numId w:val="2"/>
        </w:numPr>
        <w:tabs>
          <w:tab w:val="left" w:pos="1134"/>
          <w:tab w:val="num" w:pos="1276"/>
        </w:tabs>
        <w:ind w:left="1276" w:hanging="1276"/>
        <w:rPr>
          <w:bCs/>
        </w:rPr>
      </w:pPr>
      <w:r w:rsidRPr="0000522C">
        <w:rPr>
          <w:bCs/>
        </w:rPr>
        <w:t>DEPÓSITOS DE CLIENTES</w:t>
      </w:r>
      <w:r w:rsidR="000037ED" w:rsidRPr="0000522C">
        <w:rPr>
          <w:bCs/>
        </w:rPr>
        <w:t xml:space="preserve">  </w:t>
      </w:r>
    </w:p>
    <w:p w:rsidR="00441518" w:rsidRPr="0000522C" w:rsidRDefault="00441518">
      <w:pPr>
        <w:rPr>
          <w:b/>
          <w:sz w:val="24"/>
        </w:rPr>
      </w:pPr>
    </w:p>
    <w:p w:rsidR="007C6D6B" w:rsidRPr="0000522C" w:rsidRDefault="007C6D6B" w:rsidP="007C6D6B">
      <w:pPr>
        <w:tabs>
          <w:tab w:val="left" w:pos="-2160"/>
          <w:tab w:val="left" w:pos="-1980"/>
          <w:tab w:val="left" w:pos="709"/>
        </w:tabs>
        <w:jc w:val="both"/>
        <w:rPr>
          <w:sz w:val="24"/>
        </w:rPr>
      </w:pPr>
      <w:r w:rsidRPr="0000522C">
        <w:rPr>
          <w:sz w:val="24"/>
        </w:rPr>
        <w:t>La cartera de depósitos del Banco se encuentra distribuida así:</w:t>
      </w:r>
    </w:p>
    <w:p w:rsidR="007C6D6B" w:rsidRPr="0000522C" w:rsidRDefault="007C6D6B" w:rsidP="007C6D6B">
      <w:pPr>
        <w:ind w:left="4248"/>
        <w:rPr>
          <w:b/>
        </w:rPr>
      </w:pPr>
    </w:p>
    <w:bookmarkStart w:id="708" w:name="_MON_1442737795"/>
    <w:bookmarkStart w:id="709" w:name="_MON_1332607529"/>
    <w:bookmarkStart w:id="710" w:name="_MON_1332607562"/>
    <w:bookmarkStart w:id="711" w:name="_MON_1395668447"/>
    <w:bookmarkStart w:id="712" w:name="_MON_1395668485"/>
    <w:bookmarkStart w:id="713" w:name="_MON_1395669247"/>
    <w:bookmarkEnd w:id="708"/>
    <w:bookmarkEnd w:id="709"/>
    <w:bookmarkEnd w:id="710"/>
    <w:bookmarkEnd w:id="711"/>
    <w:bookmarkEnd w:id="712"/>
    <w:bookmarkEnd w:id="713"/>
    <w:bookmarkStart w:id="714" w:name="_MON_1440925410"/>
    <w:bookmarkEnd w:id="714"/>
    <w:p w:rsidR="007C6D6B" w:rsidRPr="0000522C" w:rsidRDefault="00DD3710" w:rsidP="007C6D6B">
      <w:pPr>
        <w:rPr>
          <w:b/>
        </w:rPr>
      </w:pPr>
      <w:r w:rsidRPr="0000522C">
        <w:rPr>
          <w:b/>
        </w:rPr>
        <w:object w:dxaOrig="7794" w:dyaOrig="1835">
          <v:shape id="_x0000_i1040" type="#_x0000_t75" style="width:369pt;height:85.5pt" o:ole="" fillcolor="window">
            <v:imagedata r:id="rId43" o:title=""/>
          </v:shape>
          <o:OLEObject Type="Embed" ProgID="Excel.Sheet.8" ShapeID="_x0000_i1040" DrawAspect="Content" ObjectID="_1539668666" r:id="rId44"/>
        </w:object>
      </w:r>
    </w:p>
    <w:p w:rsidR="007C6D6B" w:rsidRPr="0000522C" w:rsidRDefault="007C6D6B" w:rsidP="007C6D6B"/>
    <w:p w:rsidR="007C6D6B" w:rsidRPr="0000522C" w:rsidRDefault="007C6D6B" w:rsidP="007C6D6B">
      <w:pPr>
        <w:tabs>
          <w:tab w:val="left" w:pos="-2160"/>
          <w:tab w:val="left" w:pos="-1980"/>
          <w:tab w:val="left" w:pos="709"/>
        </w:tabs>
        <w:jc w:val="both"/>
        <w:rPr>
          <w:sz w:val="24"/>
        </w:rPr>
      </w:pPr>
      <w:r w:rsidRPr="0000522C">
        <w:rPr>
          <w:sz w:val="24"/>
        </w:rPr>
        <w:t>Las diferentes clases de depósitos del Banco son las siguientes:</w:t>
      </w:r>
    </w:p>
    <w:p w:rsidR="007C6D6B" w:rsidRPr="0000522C" w:rsidRDefault="007C6D6B" w:rsidP="007C6D6B">
      <w:pPr>
        <w:tabs>
          <w:tab w:val="left" w:pos="142"/>
          <w:tab w:val="left" w:pos="284"/>
          <w:tab w:val="left" w:pos="7371"/>
        </w:tabs>
        <w:ind w:left="4248"/>
        <w:rPr>
          <w:b/>
        </w:rPr>
      </w:pPr>
    </w:p>
    <w:bookmarkStart w:id="715" w:name="_MON_1442737849"/>
    <w:bookmarkStart w:id="716" w:name="_MON_1332607520"/>
    <w:bookmarkStart w:id="717" w:name="_MON_1395668547"/>
    <w:bookmarkStart w:id="718" w:name="_MON_1395669273"/>
    <w:bookmarkStart w:id="719" w:name="_MON_1440925429"/>
    <w:bookmarkEnd w:id="715"/>
    <w:bookmarkEnd w:id="716"/>
    <w:bookmarkEnd w:id="717"/>
    <w:bookmarkEnd w:id="718"/>
    <w:bookmarkEnd w:id="719"/>
    <w:bookmarkStart w:id="720" w:name="_MON_1440925435"/>
    <w:bookmarkEnd w:id="720"/>
    <w:p w:rsidR="007C6D6B" w:rsidRPr="0000522C" w:rsidRDefault="00AA33CB" w:rsidP="007C6D6B">
      <w:pPr>
        <w:rPr>
          <w:b/>
        </w:rPr>
      </w:pPr>
      <w:r w:rsidRPr="0000522C">
        <w:rPr>
          <w:b/>
        </w:rPr>
        <w:object w:dxaOrig="7839" w:dyaOrig="1544">
          <v:shape id="_x0000_i1041" type="#_x0000_t75" style="width:369pt;height:1in" o:ole="" fillcolor="window">
            <v:imagedata r:id="rId45" o:title=""/>
          </v:shape>
          <o:OLEObject Type="Embed" ProgID="Excel.Sheet.8" ShapeID="_x0000_i1041" DrawAspect="Content" ObjectID="_1539668667" r:id="rId46"/>
        </w:object>
      </w:r>
    </w:p>
    <w:p w:rsidR="007C6D6B" w:rsidRPr="0000522C" w:rsidRDefault="007C6D6B" w:rsidP="00827DD5">
      <w:pPr>
        <w:jc w:val="both"/>
        <w:rPr>
          <w:sz w:val="24"/>
          <w:szCs w:val="24"/>
        </w:rPr>
      </w:pPr>
    </w:p>
    <w:p w:rsidR="007C6D6B" w:rsidRPr="0000522C" w:rsidRDefault="007C6D6B" w:rsidP="007C6D6B">
      <w:pPr>
        <w:ind w:left="284" w:hanging="284"/>
        <w:jc w:val="both"/>
        <w:rPr>
          <w:sz w:val="24"/>
          <w:szCs w:val="24"/>
        </w:rPr>
      </w:pPr>
      <w:r w:rsidRPr="0000522C">
        <w:rPr>
          <w:sz w:val="24"/>
          <w:szCs w:val="24"/>
        </w:rPr>
        <w:t>Todos los Depósitos están constituidos en dólares de los Estados Unidos de América.</w:t>
      </w:r>
    </w:p>
    <w:p w:rsidR="007C6D6B" w:rsidRPr="0000522C" w:rsidRDefault="007C6D6B" w:rsidP="007C6D6B">
      <w:pPr>
        <w:jc w:val="both"/>
        <w:rPr>
          <w:sz w:val="24"/>
          <w:szCs w:val="24"/>
        </w:rPr>
      </w:pPr>
    </w:p>
    <w:p w:rsidR="007C6D6B" w:rsidRPr="0000522C" w:rsidRDefault="007C6D6B" w:rsidP="007C6D6B">
      <w:pPr>
        <w:tabs>
          <w:tab w:val="left" w:pos="-2160"/>
          <w:tab w:val="left" w:pos="-1980"/>
          <w:tab w:val="left" w:pos="709"/>
        </w:tabs>
        <w:jc w:val="both"/>
        <w:rPr>
          <w:sz w:val="24"/>
          <w:szCs w:val="24"/>
        </w:rPr>
      </w:pPr>
      <w:r w:rsidRPr="0000522C">
        <w:rPr>
          <w:sz w:val="24"/>
          <w:szCs w:val="24"/>
        </w:rPr>
        <w:t>La tasa de costo promedio de la cartera de depósitos, para</w:t>
      </w:r>
      <w:r w:rsidR="00AA33CB" w:rsidRPr="0000522C">
        <w:rPr>
          <w:sz w:val="24"/>
          <w:szCs w:val="24"/>
        </w:rPr>
        <w:t xml:space="preserve"> los períodos reportados de 2016 y 2015 es de 1.9% y 1.7%, que equivaldría al 2.5% y 2.3</w:t>
      </w:r>
      <w:r w:rsidRPr="0000522C">
        <w:rPr>
          <w:sz w:val="24"/>
          <w:szCs w:val="24"/>
        </w:rPr>
        <w:t>% anual, respectivamente.</w:t>
      </w:r>
    </w:p>
    <w:p w:rsidR="007C6D6B" w:rsidRPr="0000522C" w:rsidRDefault="007C6D6B" w:rsidP="007C6D6B">
      <w:pPr>
        <w:tabs>
          <w:tab w:val="left" w:pos="-2160"/>
          <w:tab w:val="left" w:pos="-1980"/>
          <w:tab w:val="left" w:pos="709"/>
        </w:tabs>
        <w:jc w:val="both"/>
        <w:rPr>
          <w:sz w:val="24"/>
          <w:szCs w:val="24"/>
        </w:rPr>
      </w:pPr>
    </w:p>
    <w:p w:rsidR="007C6D6B" w:rsidRPr="0000522C" w:rsidRDefault="007C6D6B" w:rsidP="007C6D6B">
      <w:pPr>
        <w:tabs>
          <w:tab w:val="left" w:pos="-2160"/>
          <w:tab w:val="left" w:pos="-1980"/>
          <w:tab w:val="left" w:pos="709"/>
        </w:tabs>
        <w:snapToGrid w:val="0"/>
        <w:jc w:val="both"/>
        <w:rPr>
          <w:sz w:val="24"/>
          <w:szCs w:val="24"/>
          <w:lang w:val="es-ES_tradnl"/>
        </w:rPr>
      </w:pPr>
      <w:r w:rsidRPr="0000522C">
        <w:rPr>
          <w:sz w:val="24"/>
          <w:szCs w:val="24"/>
          <w:lang w:val="es-ES_tradnl"/>
        </w:rPr>
        <w:t>La tasa de costo promedio de la cartera de depósitos es el porcentaje que resulta de dividir el rubro “Costos de captación de depósitos”, entre el saldo promedio de la cartera de depósitos.</w:t>
      </w:r>
    </w:p>
    <w:p w:rsidR="007C6D6B" w:rsidRPr="0000522C" w:rsidRDefault="007C6D6B" w:rsidP="007C6D6B">
      <w:pPr>
        <w:tabs>
          <w:tab w:val="left" w:pos="-2160"/>
          <w:tab w:val="left" w:pos="-1980"/>
          <w:tab w:val="left" w:pos="709"/>
        </w:tabs>
        <w:snapToGrid w:val="0"/>
        <w:jc w:val="both"/>
        <w:rPr>
          <w:sz w:val="24"/>
          <w:lang w:val="es-ES_tradnl"/>
        </w:rPr>
      </w:pPr>
    </w:p>
    <w:p w:rsidR="00176A8A" w:rsidRPr="0000522C" w:rsidRDefault="00176A8A" w:rsidP="00543A53">
      <w:pPr>
        <w:tabs>
          <w:tab w:val="left" w:pos="-2160"/>
          <w:tab w:val="left" w:pos="-1980"/>
          <w:tab w:val="left" w:pos="709"/>
        </w:tabs>
        <w:snapToGrid w:val="0"/>
        <w:jc w:val="both"/>
        <w:rPr>
          <w:sz w:val="24"/>
          <w:lang w:val="es-ES_tradnl"/>
        </w:rPr>
      </w:pPr>
    </w:p>
    <w:p w:rsidR="00543A53" w:rsidRPr="0000522C" w:rsidRDefault="00543A53" w:rsidP="00543A53">
      <w:pPr>
        <w:pStyle w:val="Ttulo7"/>
        <w:numPr>
          <w:ilvl w:val="0"/>
          <w:numId w:val="2"/>
        </w:numPr>
        <w:tabs>
          <w:tab w:val="left" w:pos="1134"/>
          <w:tab w:val="num" w:pos="1276"/>
          <w:tab w:val="num" w:pos="2073"/>
        </w:tabs>
        <w:ind w:left="1276" w:hanging="1276"/>
        <w:rPr>
          <w:bCs/>
        </w:rPr>
      </w:pPr>
      <w:r w:rsidRPr="0000522C">
        <w:rPr>
          <w:bCs/>
        </w:rPr>
        <w:t xml:space="preserve">  PRÉSTAMOS DEL BANCO CENTRAL DE RESERVA  </w:t>
      </w:r>
    </w:p>
    <w:p w:rsidR="00543A53" w:rsidRPr="0000522C" w:rsidRDefault="00543A53" w:rsidP="00543A53">
      <w:pPr>
        <w:rPr>
          <w:b/>
          <w:bCs/>
          <w:sz w:val="24"/>
        </w:rPr>
      </w:pPr>
    </w:p>
    <w:p w:rsidR="00EB56BC" w:rsidRPr="0000522C" w:rsidRDefault="00EB56BC" w:rsidP="00EB56BC">
      <w:pPr>
        <w:tabs>
          <w:tab w:val="left" w:pos="-2160"/>
          <w:tab w:val="left" w:pos="-1980"/>
          <w:tab w:val="left" w:pos="709"/>
        </w:tabs>
        <w:jc w:val="both"/>
        <w:rPr>
          <w:sz w:val="24"/>
        </w:rPr>
      </w:pPr>
      <w:r w:rsidRPr="0000522C">
        <w:rPr>
          <w:sz w:val="24"/>
        </w:rPr>
        <w:t xml:space="preserve">Al 30 de </w:t>
      </w:r>
      <w:r w:rsidR="00BB5052" w:rsidRPr="0000522C">
        <w:rPr>
          <w:sz w:val="24"/>
        </w:rPr>
        <w:t>septiembre</w:t>
      </w:r>
      <w:r w:rsidR="00BE5517" w:rsidRPr="0000522C">
        <w:rPr>
          <w:sz w:val="24"/>
        </w:rPr>
        <w:t xml:space="preserve"> de 2016 y 2015</w:t>
      </w:r>
      <w:r w:rsidRPr="0000522C">
        <w:rPr>
          <w:sz w:val="24"/>
        </w:rPr>
        <w:t>, el Banco no tenía préstamos con el Banco Central de Reserva.</w:t>
      </w:r>
    </w:p>
    <w:p w:rsidR="00EB56BC" w:rsidRPr="0000522C" w:rsidRDefault="00EB56BC" w:rsidP="00EB56BC">
      <w:pPr>
        <w:jc w:val="both"/>
        <w:rPr>
          <w:sz w:val="24"/>
        </w:rPr>
      </w:pPr>
    </w:p>
    <w:p w:rsidR="00585B64" w:rsidRDefault="00585B64"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Default="00827DD5" w:rsidP="00543A53">
      <w:pPr>
        <w:pStyle w:val="Textoindependiente2"/>
        <w:tabs>
          <w:tab w:val="left" w:pos="709"/>
        </w:tabs>
      </w:pPr>
    </w:p>
    <w:p w:rsidR="00827DD5" w:rsidRPr="0000522C" w:rsidRDefault="00827DD5" w:rsidP="00543A53">
      <w:pPr>
        <w:pStyle w:val="Textoindependiente2"/>
        <w:tabs>
          <w:tab w:val="left" w:pos="709"/>
        </w:tabs>
      </w:pPr>
    </w:p>
    <w:p w:rsidR="00441518" w:rsidRPr="0000522C" w:rsidRDefault="00441518" w:rsidP="00934334">
      <w:pPr>
        <w:pStyle w:val="Ttulo7"/>
        <w:numPr>
          <w:ilvl w:val="0"/>
          <w:numId w:val="2"/>
        </w:numPr>
        <w:tabs>
          <w:tab w:val="num" w:pos="1134"/>
        </w:tabs>
        <w:ind w:left="1134" w:hanging="1134"/>
      </w:pPr>
      <w:r w:rsidRPr="0000522C">
        <w:lastRenderedPageBreak/>
        <w:t>PRÉSTAMOS DEL BANCO DE DESARROLLO DE EL SALVADOR (BANDESAL)</w:t>
      </w:r>
    </w:p>
    <w:p w:rsidR="00441518" w:rsidRPr="0000522C" w:rsidRDefault="00441518" w:rsidP="009719ED">
      <w:pPr>
        <w:pStyle w:val="Sangra2detindependiente"/>
        <w:tabs>
          <w:tab w:val="left" w:pos="709"/>
        </w:tabs>
        <w:ind w:left="0"/>
        <w:rPr>
          <w:lang w:val="es-ES"/>
        </w:rPr>
      </w:pPr>
    </w:p>
    <w:p w:rsidR="00FD4973" w:rsidRPr="0000522C" w:rsidRDefault="00FD4973" w:rsidP="00FD4973">
      <w:pPr>
        <w:pStyle w:val="Textoindependiente2"/>
        <w:tabs>
          <w:tab w:val="clear" w:pos="-2160"/>
          <w:tab w:val="clear" w:pos="-1980"/>
        </w:tabs>
        <w:ind w:left="568"/>
      </w:pPr>
      <w:bookmarkStart w:id="721" w:name="_MON_1301130434"/>
      <w:bookmarkStart w:id="722" w:name="_MON_1309161881"/>
      <w:bookmarkStart w:id="723" w:name="_MON_1309161988"/>
      <w:bookmarkStart w:id="724" w:name="_MON_1442732280"/>
      <w:bookmarkStart w:id="725" w:name="_MON_1442732520"/>
      <w:bookmarkStart w:id="726" w:name="_MON_1442737695"/>
      <w:bookmarkStart w:id="727" w:name="_MON_1442737899"/>
      <w:bookmarkStart w:id="728" w:name="_MON_1442738092"/>
      <w:bookmarkStart w:id="729" w:name="_MON_1451896856"/>
      <w:bookmarkStart w:id="730" w:name="_MON_1452149622"/>
      <w:bookmarkStart w:id="731" w:name="_MON_1453558198"/>
      <w:bookmarkStart w:id="732" w:name="_MON_1458465589"/>
      <w:bookmarkStart w:id="733" w:name="_MON_1458465805"/>
      <w:bookmarkStart w:id="734" w:name="_MON_1458465844"/>
      <w:bookmarkStart w:id="735" w:name="_MON_1458471207"/>
      <w:bookmarkStart w:id="736" w:name="_MON_1222158926"/>
      <w:bookmarkStart w:id="737" w:name="_MON_1222160438"/>
      <w:bookmarkStart w:id="738" w:name="_MON_1222161299"/>
      <w:bookmarkStart w:id="739" w:name="_MON_1222161935"/>
      <w:bookmarkStart w:id="740" w:name="_MON_1222177534"/>
      <w:bookmarkStart w:id="741" w:name="_MON_1222242210"/>
      <w:bookmarkStart w:id="742" w:name="_MON_1237885926"/>
      <w:bookmarkStart w:id="743" w:name="_MON_1269357213"/>
      <w:bookmarkStart w:id="744" w:name="_MON_1269357669"/>
      <w:bookmarkStart w:id="745" w:name="_MON_1277205991"/>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00522C">
        <w:t xml:space="preserve">A la fecha de referencia de los Estados Financieros el Banco mantiene obligaciones con el BANDESAL: </w:t>
      </w:r>
    </w:p>
    <w:p w:rsidR="00FD4973" w:rsidRPr="0000522C" w:rsidRDefault="00FD4973" w:rsidP="00FD4973">
      <w:pPr>
        <w:pStyle w:val="Textoindependiente2"/>
        <w:tabs>
          <w:tab w:val="clear" w:pos="-2160"/>
          <w:tab w:val="clear" w:pos="-1980"/>
        </w:tabs>
        <w:ind w:left="568"/>
        <w:rPr>
          <w:sz w:val="22"/>
        </w:rPr>
      </w:pPr>
    </w:p>
    <w:bookmarkStart w:id="746" w:name="_MON_1442732493"/>
    <w:bookmarkEnd w:id="746"/>
    <w:p w:rsidR="00FD4973" w:rsidRPr="00827DD5" w:rsidRDefault="00FD4973" w:rsidP="00827DD5">
      <w:pPr>
        <w:ind w:left="568"/>
        <w:rPr>
          <w:b/>
          <w:sz w:val="22"/>
        </w:rPr>
      </w:pPr>
      <w:r w:rsidRPr="0000522C">
        <w:object w:dxaOrig="9410" w:dyaOrig="2840">
          <v:shape id="_x0000_i1042" type="#_x0000_t75" style="width:440.5pt;height:128pt" o:ole="" fillcolor="window">
            <v:imagedata r:id="rId47" o:title=""/>
          </v:shape>
          <o:OLEObject Type="Embed" ProgID="Excel.Sheet.8" ShapeID="_x0000_i1042" DrawAspect="Content" ObjectID="_1539668668" r:id="rId48"/>
        </w:object>
      </w:r>
    </w:p>
    <w:p w:rsidR="00FD4973" w:rsidRPr="0000522C" w:rsidRDefault="00FD4973" w:rsidP="00FD4973">
      <w:pPr>
        <w:pStyle w:val="Textoindependiente2"/>
        <w:tabs>
          <w:tab w:val="clear" w:pos="-2160"/>
          <w:tab w:val="clear" w:pos="-1980"/>
        </w:tabs>
        <w:ind w:left="568"/>
      </w:pPr>
      <w:r w:rsidRPr="0000522C">
        <w:t>Los que se han garantizado primeramente con orden de descuento a la cuenta que el Banco tiene con el Banco Central de Reserva y las garantías siguientes:</w:t>
      </w:r>
    </w:p>
    <w:p w:rsidR="00FD4973" w:rsidRPr="0000522C" w:rsidRDefault="00FD4973" w:rsidP="00FD4973">
      <w:pPr>
        <w:ind w:left="568"/>
        <w:jc w:val="both"/>
        <w:rPr>
          <w:sz w:val="24"/>
        </w:rPr>
      </w:pPr>
    </w:p>
    <w:p w:rsidR="00FD4973" w:rsidRPr="0000522C" w:rsidRDefault="00FD4973" w:rsidP="00FD4973">
      <w:pPr>
        <w:ind w:left="568"/>
        <w:jc w:val="both"/>
        <w:rPr>
          <w:sz w:val="24"/>
        </w:rPr>
      </w:pPr>
      <w:r w:rsidRPr="0000522C">
        <w:rPr>
          <w:sz w:val="24"/>
        </w:rPr>
        <w:t xml:space="preserve">Al 30 de septiembre de 2016, está garantizados créditos categoría “A” hasta la “C” por un monto de $50,481.7, y al 30 de septiembre de 2015, estaban garantizados con créditos categoría “A” hasta la “C” por un monto de $51,183.0. </w:t>
      </w:r>
    </w:p>
    <w:p w:rsidR="00493774" w:rsidRPr="0000522C" w:rsidRDefault="00493774" w:rsidP="00493774">
      <w:pPr>
        <w:jc w:val="both"/>
        <w:rPr>
          <w:sz w:val="24"/>
        </w:rPr>
      </w:pPr>
    </w:p>
    <w:p w:rsidR="000B7FDE" w:rsidRPr="0000522C" w:rsidRDefault="000B7FDE" w:rsidP="00493774">
      <w:pPr>
        <w:jc w:val="both"/>
        <w:rPr>
          <w:sz w:val="24"/>
        </w:rPr>
      </w:pPr>
    </w:p>
    <w:p w:rsidR="00441518" w:rsidRPr="0000522C" w:rsidRDefault="00055283" w:rsidP="000B7FDE">
      <w:pPr>
        <w:pStyle w:val="Ttulo7"/>
        <w:numPr>
          <w:ilvl w:val="0"/>
          <w:numId w:val="2"/>
        </w:numPr>
        <w:tabs>
          <w:tab w:val="left" w:pos="1134"/>
          <w:tab w:val="num" w:pos="1276"/>
        </w:tabs>
        <w:ind w:left="284"/>
      </w:pPr>
      <w:r w:rsidRPr="0000522C">
        <w:rPr>
          <w:b w:val="0"/>
          <w:lang w:val="es-ES_tradnl"/>
        </w:rPr>
        <w:t>P</w:t>
      </w:r>
      <w:r w:rsidRPr="0000522C">
        <w:t>RÉSTAMOS DE OTROS BANCOS</w:t>
      </w:r>
    </w:p>
    <w:p w:rsidR="00441518" w:rsidRPr="0000522C" w:rsidRDefault="00441518">
      <w:pPr>
        <w:pStyle w:val="Revisin"/>
      </w:pPr>
    </w:p>
    <w:p w:rsidR="00720143" w:rsidRPr="0000522C" w:rsidRDefault="00720143" w:rsidP="00720143">
      <w:pPr>
        <w:tabs>
          <w:tab w:val="left" w:pos="-2160"/>
          <w:tab w:val="left" w:pos="-1980"/>
        </w:tabs>
        <w:jc w:val="both"/>
        <w:rPr>
          <w:sz w:val="24"/>
        </w:rPr>
      </w:pPr>
      <w:r w:rsidRPr="0000522C">
        <w:rPr>
          <w:sz w:val="24"/>
        </w:rPr>
        <w:t>Las obligaciones por préstamos con el Banco Centroamericano de Integración Económica (BCIE), a la fecha de referencia de los Estados Financieros son:</w:t>
      </w:r>
    </w:p>
    <w:p w:rsidR="00720143" w:rsidRPr="0000522C" w:rsidRDefault="00C964AB" w:rsidP="00720143">
      <w:pPr>
        <w:jc w:val="both"/>
        <w:rPr>
          <w:sz w:val="24"/>
          <w:szCs w:val="24"/>
        </w:rPr>
      </w:pPr>
      <w:r>
        <w:rPr>
          <w:noProof/>
          <w:sz w:val="24"/>
          <w:szCs w:val="24"/>
          <w:lang w:val="es-SV" w:eastAsia="es-SV"/>
        </w:rPr>
        <w:pict>
          <v:shape id="_x0000_s1463" type="#_x0000_t75" style="position:absolute;left:0;text-align:left;margin-left:-.85pt;margin-top:10.6pt;width:443.6pt;height:69.7pt;z-index:251677184">
            <v:imagedata r:id="rId49" o:title=""/>
            <w10:wrap type="square" side="right"/>
          </v:shape>
          <o:OLEObject Type="Embed" ProgID="Excel.Sheet.8" ShapeID="_x0000_s1463" DrawAspect="Content" ObjectID="_1539668678" r:id="rId50"/>
        </w:pict>
      </w:r>
    </w:p>
    <w:p w:rsidR="00774BEB" w:rsidRPr="0000522C" w:rsidRDefault="00720143" w:rsidP="00774BEB">
      <w:pPr>
        <w:tabs>
          <w:tab w:val="left" w:pos="-2160"/>
          <w:tab w:val="left" w:pos="-1980"/>
        </w:tabs>
        <w:jc w:val="both"/>
        <w:rPr>
          <w:sz w:val="24"/>
        </w:rPr>
      </w:pPr>
      <w:r w:rsidRPr="0000522C">
        <w:rPr>
          <w:sz w:val="24"/>
        </w:rPr>
        <w:t xml:space="preserve">Al 30 de septiembre de 2016, está garantizado </w:t>
      </w:r>
      <w:r w:rsidR="00774BEB" w:rsidRPr="0000522C">
        <w:rPr>
          <w:sz w:val="24"/>
        </w:rPr>
        <w:t>con créditos categoría “A” hasta “B” por un monto de $301.5 y efectivo por $457.1,siendo el total de garantía de $758.6,</w:t>
      </w:r>
      <w:r w:rsidRPr="0000522C">
        <w:rPr>
          <w:sz w:val="24"/>
        </w:rPr>
        <w:t xml:space="preserve"> el saldo de los préstamos más intereses es de $ 292.1</w:t>
      </w:r>
      <w:r w:rsidR="00774BEB" w:rsidRPr="0000522C">
        <w:rPr>
          <w:sz w:val="24"/>
        </w:rPr>
        <w:t xml:space="preserve"> </w:t>
      </w:r>
      <w:r w:rsidRPr="0000522C">
        <w:rPr>
          <w:sz w:val="24"/>
        </w:rPr>
        <w:t xml:space="preserve">y al 30 de septiembre de 2015, está garantizado </w:t>
      </w:r>
      <w:r w:rsidR="00774BEB" w:rsidRPr="0000522C">
        <w:rPr>
          <w:sz w:val="24"/>
        </w:rPr>
        <w:t>con créditos categoría “A” hasta “B” por un monto de $356.</w:t>
      </w:r>
      <w:r w:rsidR="00D64880" w:rsidRPr="0000522C">
        <w:rPr>
          <w:sz w:val="24"/>
        </w:rPr>
        <w:t>6</w:t>
      </w:r>
      <w:r w:rsidR="00774BEB" w:rsidRPr="0000522C">
        <w:rPr>
          <w:sz w:val="24"/>
        </w:rPr>
        <w:t xml:space="preserve"> y efectivo por $457.1, siendo el total de garantía de $813.</w:t>
      </w:r>
      <w:r w:rsidR="00D64880" w:rsidRPr="0000522C">
        <w:rPr>
          <w:sz w:val="24"/>
        </w:rPr>
        <w:t>7</w:t>
      </w:r>
      <w:r w:rsidR="00774BEB" w:rsidRPr="0000522C">
        <w:rPr>
          <w:sz w:val="24"/>
        </w:rPr>
        <w:t>, el saldo de los préstamos más intereses es de $358.1.</w:t>
      </w:r>
    </w:p>
    <w:p w:rsidR="00774BEB" w:rsidRPr="0000522C" w:rsidRDefault="00774BEB" w:rsidP="00774BEB">
      <w:pPr>
        <w:tabs>
          <w:tab w:val="left" w:pos="-2160"/>
          <w:tab w:val="left" w:pos="-1980"/>
        </w:tabs>
        <w:jc w:val="both"/>
        <w:rPr>
          <w:sz w:val="24"/>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REPORTOS Y OTRAS OBLIGACIONES BURSÁTILES</w:t>
      </w:r>
    </w:p>
    <w:p w:rsidR="00626B97" w:rsidRPr="0000522C" w:rsidRDefault="00626B97">
      <w:pPr>
        <w:rPr>
          <w:b/>
          <w:bCs/>
          <w:sz w:val="24"/>
        </w:rPr>
      </w:pPr>
    </w:p>
    <w:p w:rsidR="0076649B" w:rsidRPr="0000522C" w:rsidRDefault="0076649B" w:rsidP="0076649B">
      <w:pPr>
        <w:tabs>
          <w:tab w:val="left" w:pos="-2160"/>
          <w:tab w:val="left" w:pos="-1980"/>
          <w:tab w:val="left" w:pos="709"/>
        </w:tabs>
        <w:jc w:val="both"/>
        <w:rPr>
          <w:sz w:val="24"/>
        </w:rPr>
      </w:pPr>
      <w:r w:rsidRPr="0000522C">
        <w:rPr>
          <w:sz w:val="24"/>
        </w:rPr>
        <w:t>A las fechas de los Estados Financieros el Banco no tenía obligaciones por reportos y obligaciones bursátiles de breve plazo.</w:t>
      </w:r>
    </w:p>
    <w:p w:rsidR="006D0F88" w:rsidRPr="0000522C" w:rsidRDefault="006D0F88" w:rsidP="0076649B">
      <w:pPr>
        <w:tabs>
          <w:tab w:val="left" w:pos="-2160"/>
          <w:tab w:val="left" w:pos="-1980"/>
          <w:tab w:val="left" w:pos="709"/>
        </w:tabs>
        <w:jc w:val="both"/>
        <w:rPr>
          <w:sz w:val="24"/>
        </w:rPr>
      </w:pPr>
    </w:p>
    <w:p w:rsidR="00263350" w:rsidRPr="0000522C" w:rsidRDefault="00263350">
      <w:pPr>
        <w:pStyle w:val="Textoindependiente2"/>
        <w:tabs>
          <w:tab w:val="left" w:pos="709"/>
        </w:tabs>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lastRenderedPageBreak/>
        <w:t>TÍTULOS DE EMISIÓN PROPIA</w:t>
      </w:r>
      <w:r w:rsidR="009C25E6" w:rsidRPr="0000522C">
        <w:rPr>
          <w:bCs/>
        </w:rPr>
        <w:t xml:space="preserve">  </w:t>
      </w:r>
    </w:p>
    <w:p w:rsidR="00B04F1F" w:rsidRPr="0000522C" w:rsidRDefault="00B04F1F" w:rsidP="00B04F1F"/>
    <w:p w:rsidR="00B04F1F" w:rsidRPr="0000522C" w:rsidRDefault="00B04F1F" w:rsidP="00B04F1F">
      <w:pPr>
        <w:rPr>
          <w:sz w:val="22"/>
          <w:szCs w:val="22"/>
        </w:rPr>
      </w:pPr>
      <w:r w:rsidRPr="0000522C">
        <w:rPr>
          <w:sz w:val="22"/>
          <w:szCs w:val="22"/>
        </w:rPr>
        <w:t xml:space="preserve">Al </w:t>
      </w:r>
      <w:r w:rsidR="00C36FD5" w:rsidRPr="0000522C">
        <w:rPr>
          <w:sz w:val="22"/>
          <w:szCs w:val="22"/>
        </w:rPr>
        <w:t xml:space="preserve">30 de </w:t>
      </w:r>
      <w:r w:rsidR="00BB5052" w:rsidRPr="0000522C">
        <w:rPr>
          <w:sz w:val="22"/>
          <w:szCs w:val="22"/>
        </w:rPr>
        <w:t>septiembre</w:t>
      </w:r>
      <w:r w:rsidR="00C35E63" w:rsidRPr="0000522C">
        <w:rPr>
          <w:sz w:val="22"/>
          <w:szCs w:val="22"/>
        </w:rPr>
        <w:t xml:space="preserve"> </w:t>
      </w:r>
      <w:r w:rsidRPr="0000522C">
        <w:rPr>
          <w:sz w:val="22"/>
          <w:szCs w:val="22"/>
        </w:rPr>
        <w:t xml:space="preserve">de </w:t>
      </w:r>
      <w:r w:rsidR="00B655E5" w:rsidRPr="0000522C">
        <w:rPr>
          <w:sz w:val="22"/>
          <w:szCs w:val="22"/>
        </w:rPr>
        <w:t>2016</w:t>
      </w:r>
      <w:r w:rsidR="00C35E63" w:rsidRPr="0000522C">
        <w:rPr>
          <w:sz w:val="22"/>
          <w:szCs w:val="22"/>
        </w:rPr>
        <w:t xml:space="preserve"> y </w:t>
      </w:r>
      <w:r w:rsidR="00B655E5" w:rsidRPr="0000522C">
        <w:rPr>
          <w:sz w:val="22"/>
          <w:szCs w:val="22"/>
        </w:rPr>
        <w:t>2015</w:t>
      </w:r>
      <w:r w:rsidRPr="0000522C">
        <w:rPr>
          <w:sz w:val="22"/>
          <w:szCs w:val="22"/>
        </w:rPr>
        <w:t>, el Banco no ha emitido títulos valores</w:t>
      </w:r>
      <w:r w:rsidR="002972B9" w:rsidRPr="0000522C">
        <w:rPr>
          <w:sz w:val="22"/>
          <w:szCs w:val="22"/>
        </w:rPr>
        <w:t>.</w:t>
      </w:r>
    </w:p>
    <w:p w:rsidR="00B04F1F" w:rsidRPr="0000522C" w:rsidRDefault="00B04F1F" w:rsidP="00B04F1F">
      <w:pPr>
        <w:rPr>
          <w:b/>
          <w:szCs w:val="23"/>
        </w:rPr>
      </w:pPr>
    </w:p>
    <w:p w:rsidR="00774BEB" w:rsidRPr="0000522C" w:rsidRDefault="00774BEB" w:rsidP="00B04F1F">
      <w:pPr>
        <w:rPr>
          <w:b/>
          <w:szCs w:val="23"/>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BONOS CONVERTIBLES EN ACCIONES</w:t>
      </w:r>
    </w:p>
    <w:p w:rsidR="00441518" w:rsidRPr="0000522C" w:rsidRDefault="00441518">
      <w:pPr>
        <w:pStyle w:val="Sangra2detindependiente"/>
        <w:tabs>
          <w:tab w:val="left" w:pos="709"/>
        </w:tabs>
        <w:ind w:left="0"/>
        <w:rPr>
          <w:b/>
          <w:bCs/>
          <w:lang w:val="es-ES"/>
        </w:rPr>
      </w:pPr>
    </w:p>
    <w:p w:rsidR="00441518" w:rsidRPr="0000522C" w:rsidRDefault="00441518">
      <w:pPr>
        <w:pStyle w:val="Sangra2detindependiente"/>
        <w:tabs>
          <w:tab w:val="left" w:pos="709"/>
        </w:tabs>
        <w:ind w:left="0"/>
        <w:rPr>
          <w:lang w:val="es-ES"/>
        </w:rPr>
      </w:pPr>
      <w:r w:rsidRPr="0000522C">
        <w:rPr>
          <w:lang w:val="es-ES"/>
        </w:rPr>
        <w:t xml:space="preserve">De conformidad al artículo 43 de la Ley de Bancos, los Bancos pueden emitir bonos convertibles en acciones. </w:t>
      </w:r>
    </w:p>
    <w:p w:rsidR="00441518" w:rsidRPr="0000522C" w:rsidRDefault="00441518">
      <w:pPr>
        <w:pStyle w:val="Sangra2detindependiente"/>
        <w:tabs>
          <w:tab w:val="left" w:pos="709"/>
        </w:tabs>
        <w:ind w:left="0"/>
        <w:rPr>
          <w:lang w:val="es-ES"/>
        </w:rPr>
      </w:pPr>
    </w:p>
    <w:p w:rsidR="00441518" w:rsidRPr="0000522C" w:rsidRDefault="00441518">
      <w:pPr>
        <w:pStyle w:val="Sangra2detindependiente"/>
        <w:tabs>
          <w:tab w:val="left" w:pos="709"/>
        </w:tabs>
        <w:ind w:left="0"/>
        <w:rPr>
          <w:lang w:val="es-ES"/>
        </w:rPr>
      </w:pPr>
      <w:r w:rsidRPr="0000522C">
        <w:rPr>
          <w:lang w:val="es-ES"/>
        </w:rPr>
        <w:t>El Banco de Fomento Agropecuario por su Ley de Creación no está facultado para realizar esta clase de operaciones.</w:t>
      </w:r>
    </w:p>
    <w:p w:rsidR="00441518" w:rsidRPr="0000522C" w:rsidRDefault="00441518">
      <w:pPr>
        <w:rPr>
          <w:b/>
          <w:sz w:val="24"/>
        </w:rPr>
      </w:pPr>
    </w:p>
    <w:p w:rsidR="00CB2425" w:rsidRPr="0000522C" w:rsidRDefault="00CB2425">
      <w:pPr>
        <w:rPr>
          <w:b/>
          <w:sz w:val="24"/>
        </w:rPr>
      </w:pPr>
    </w:p>
    <w:p w:rsidR="00441518" w:rsidRPr="0000522C" w:rsidRDefault="00441518" w:rsidP="00B15414">
      <w:pPr>
        <w:pStyle w:val="Ttulo7"/>
        <w:numPr>
          <w:ilvl w:val="0"/>
          <w:numId w:val="2"/>
        </w:numPr>
        <w:tabs>
          <w:tab w:val="left" w:pos="1134"/>
          <w:tab w:val="num" w:pos="1276"/>
        </w:tabs>
        <w:ind w:left="1276" w:hanging="1276"/>
        <w:rPr>
          <w:bCs/>
        </w:rPr>
      </w:pPr>
      <w:bookmarkStart w:id="747" w:name="OLE_LINK32"/>
      <w:bookmarkStart w:id="748" w:name="OLE_LINK35"/>
      <w:bookmarkStart w:id="749" w:name="OLE_LINK10"/>
      <w:r w:rsidRPr="0000522C">
        <w:rPr>
          <w:bCs/>
        </w:rPr>
        <w:t>PRÉSTAMOS CONVERTIBLES EN ACCIONES</w:t>
      </w:r>
    </w:p>
    <w:p w:rsidR="00441518" w:rsidRPr="0000522C" w:rsidRDefault="00441518">
      <w:pPr>
        <w:pStyle w:val="Sangra2detindependiente"/>
        <w:tabs>
          <w:tab w:val="left" w:pos="709"/>
        </w:tabs>
        <w:ind w:left="0"/>
        <w:rPr>
          <w:b/>
          <w:szCs w:val="23"/>
          <w:lang w:val="es-ES"/>
        </w:rPr>
      </w:pPr>
    </w:p>
    <w:p w:rsidR="00441518" w:rsidRPr="0000522C" w:rsidRDefault="00441518">
      <w:pPr>
        <w:pStyle w:val="Sangra2detindependiente"/>
        <w:tabs>
          <w:tab w:val="left" w:pos="709"/>
        </w:tabs>
        <w:ind w:left="0"/>
        <w:rPr>
          <w:lang w:val="es-ES"/>
        </w:rPr>
      </w:pPr>
      <w:r w:rsidRPr="0000522C">
        <w:rPr>
          <w:lang w:val="es-ES"/>
        </w:rPr>
        <w:t>De conformidad al artículo 86 de la Ley de Bancos, establece que los Bancos pueden emitir préstamos convertibles en acciones.</w:t>
      </w:r>
    </w:p>
    <w:p w:rsidR="0051359D" w:rsidRPr="0000522C" w:rsidRDefault="0051359D">
      <w:pPr>
        <w:pStyle w:val="Sangra2detindependiente"/>
        <w:tabs>
          <w:tab w:val="left" w:pos="709"/>
        </w:tabs>
        <w:ind w:left="0"/>
        <w:rPr>
          <w:lang w:val="es-ES"/>
        </w:rPr>
      </w:pPr>
    </w:p>
    <w:p w:rsidR="00441518" w:rsidRPr="0000522C" w:rsidRDefault="00441518">
      <w:pPr>
        <w:pStyle w:val="Textoindependiente"/>
        <w:jc w:val="both"/>
        <w:rPr>
          <w:rFonts w:ascii="Times New Roman" w:hAnsi="Times New Roman"/>
          <w:b w:val="0"/>
          <w:bCs/>
          <w:szCs w:val="23"/>
        </w:rPr>
      </w:pPr>
      <w:r w:rsidRPr="0000522C">
        <w:rPr>
          <w:rFonts w:ascii="Times New Roman" w:hAnsi="Times New Roman"/>
          <w:b w:val="0"/>
          <w:bCs/>
          <w:szCs w:val="23"/>
        </w:rPr>
        <w:t>El Banco de Fomento Agropecuario por su Ley de Creación no está facultado para realizar esta clase de operaciones.</w:t>
      </w:r>
    </w:p>
    <w:p w:rsidR="00441518" w:rsidRPr="0000522C" w:rsidRDefault="00441518">
      <w:pPr>
        <w:pStyle w:val="Textoindependiente"/>
        <w:jc w:val="both"/>
        <w:rPr>
          <w:rFonts w:ascii="Times New Roman" w:hAnsi="Times New Roman"/>
          <w:b w:val="0"/>
          <w:bCs/>
          <w:szCs w:val="23"/>
        </w:rPr>
      </w:pPr>
    </w:p>
    <w:p w:rsidR="00A27C6C" w:rsidRPr="0000522C" w:rsidRDefault="00A27C6C">
      <w:pPr>
        <w:pStyle w:val="Textoindependiente"/>
        <w:jc w:val="both"/>
        <w:rPr>
          <w:rFonts w:ascii="Times New Roman" w:hAnsi="Times New Roman"/>
          <w:b w:val="0"/>
          <w:bCs/>
          <w:szCs w:val="23"/>
        </w:rPr>
      </w:pPr>
    </w:p>
    <w:bookmarkEnd w:id="747"/>
    <w:bookmarkEnd w:id="748"/>
    <w:bookmarkEnd w:id="749"/>
    <w:p w:rsidR="00441518" w:rsidRPr="0000522C" w:rsidRDefault="00441518" w:rsidP="00B15414">
      <w:pPr>
        <w:pStyle w:val="Ttulo7"/>
        <w:numPr>
          <w:ilvl w:val="0"/>
          <w:numId w:val="2"/>
        </w:numPr>
        <w:tabs>
          <w:tab w:val="left" w:pos="1134"/>
          <w:tab w:val="num" w:pos="1276"/>
        </w:tabs>
        <w:ind w:left="1276" w:hanging="1276"/>
        <w:rPr>
          <w:bCs/>
        </w:rPr>
      </w:pPr>
      <w:r w:rsidRPr="0000522C">
        <w:rPr>
          <w:bCs/>
        </w:rPr>
        <w:t>RECUPERACIONES DE ACTIVOS CASTIGADOS</w:t>
      </w:r>
    </w:p>
    <w:p w:rsidR="00441518" w:rsidRPr="0000522C" w:rsidRDefault="00441518"/>
    <w:p w:rsidR="00441518" w:rsidRPr="0000522C" w:rsidRDefault="00441518">
      <w:pPr>
        <w:pStyle w:val="Sangra2detindependiente"/>
        <w:tabs>
          <w:tab w:val="left" w:pos="709"/>
        </w:tabs>
        <w:ind w:left="0"/>
        <w:rPr>
          <w:szCs w:val="24"/>
          <w:lang w:val="es-ES"/>
        </w:rPr>
      </w:pPr>
      <w:r w:rsidRPr="0000522C">
        <w:rPr>
          <w:szCs w:val="24"/>
          <w:lang w:val="es-ES"/>
        </w:rPr>
        <w:t>Bajo este concepto se presentan las recuperaciones en especie de activos que fueron dados de baja en ejercicios anteriores.</w:t>
      </w:r>
    </w:p>
    <w:p w:rsidR="00441518" w:rsidRPr="0000522C" w:rsidRDefault="00441518">
      <w:pPr>
        <w:pStyle w:val="Sangra2detindependiente"/>
        <w:tabs>
          <w:tab w:val="left" w:pos="709"/>
        </w:tabs>
        <w:ind w:left="0"/>
        <w:rPr>
          <w:szCs w:val="24"/>
          <w:lang w:val="es-ES"/>
        </w:rPr>
      </w:pPr>
    </w:p>
    <w:p w:rsidR="00D45EA5" w:rsidRPr="0000522C" w:rsidRDefault="00D45EA5" w:rsidP="00D45EA5">
      <w:pPr>
        <w:pStyle w:val="Textoindependiente2"/>
        <w:tabs>
          <w:tab w:val="left" w:pos="709"/>
        </w:tabs>
        <w:rPr>
          <w:szCs w:val="24"/>
        </w:rPr>
      </w:pPr>
      <w:r w:rsidRPr="0000522C">
        <w:rPr>
          <w:szCs w:val="24"/>
        </w:rPr>
        <w:t xml:space="preserve">Al </w:t>
      </w:r>
      <w:r w:rsidR="00C36FD5" w:rsidRPr="0000522C">
        <w:rPr>
          <w:szCs w:val="24"/>
        </w:rPr>
        <w:t xml:space="preserve">30 de </w:t>
      </w:r>
      <w:r w:rsidR="00F31EF7" w:rsidRPr="0000522C">
        <w:rPr>
          <w:szCs w:val="24"/>
        </w:rPr>
        <w:t>septiembre</w:t>
      </w:r>
      <w:r w:rsidRPr="0000522C">
        <w:rPr>
          <w:szCs w:val="24"/>
        </w:rPr>
        <w:t xml:space="preserve"> de</w:t>
      </w:r>
      <w:r w:rsidR="00EA08A2" w:rsidRPr="0000522C">
        <w:rPr>
          <w:szCs w:val="24"/>
        </w:rPr>
        <w:t xml:space="preserve"> 2016</w:t>
      </w:r>
      <w:r w:rsidR="00C35E63" w:rsidRPr="0000522C">
        <w:rPr>
          <w:szCs w:val="24"/>
        </w:rPr>
        <w:t xml:space="preserve"> </w:t>
      </w:r>
      <w:r w:rsidRPr="0000522C">
        <w:rPr>
          <w:szCs w:val="24"/>
        </w:rPr>
        <w:t xml:space="preserve">y al </w:t>
      </w:r>
      <w:r w:rsidR="00C36FD5" w:rsidRPr="0000522C">
        <w:rPr>
          <w:szCs w:val="24"/>
        </w:rPr>
        <w:t xml:space="preserve">30 </w:t>
      </w:r>
      <w:r w:rsidR="00F31EF7" w:rsidRPr="0000522C">
        <w:rPr>
          <w:szCs w:val="24"/>
        </w:rPr>
        <w:t xml:space="preserve">septiembre </w:t>
      </w:r>
      <w:r w:rsidRPr="0000522C">
        <w:rPr>
          <w:szCs w:val="24"/>
        </w:rPr>
        <w:t>de 201</w:t>
      </w:r>
      <w:r w:rsidR="00EA08A2" w:rsidRPr="0000522C">
        <w:rPr>
          <w:szCs w:val="24"/>
        </w:rPr>
        <w:t>5</w:t>
      </w:r>
      <w:r w:rsidRPr="0000522C">
        <w:rPr>
          <w:szCs w:val="24"/>
        </w:rPr>
        <w:t>, no existen recuperaciones en especie.</w:t>
      </w:r>
    </w:p>
    <w:p w:rsidR="00441518" w:rsidRPr="0000522C" w:rsidRDefault="00441518">
      <w:pPr>
        <w:pStyle w:val="Textoindependiente2"/>
        <w:tabs>
          <w:tab w:val="left" w:pos="709"/>
        </w:tabs>
      </w:pPr>
    </w:p>
    <w:p w:rsidR="004F0A05" w:rsidRPr="0000522C" w:rsidRDefault="004F0A05">
      <w:pPr>
        <w:pStyle w:val="Textoindependiente2"/>
        <w:tabs>
          <w:tab w:val="left" w:pos="709"/>
        </w:tabs>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VENCIMIENTOS DE OPERACIONES ACTIVAS Y PASIVAS</w:t>
      </w:r>
    </w:p>
    <w:p w:rsidR="00441518" w:rsidRPr="0000522C" w:rsidRDefault="00441518">
      <w:pPr>
        <w:pStyle w:val="Sangra2detindependiente"/>
        <w:tabs>
          <w:tab w:val="left" w:pos="709"/>
        </w:tabs>
        <w:ind w:left="0"/>
        <w:rPr>
          <w:sz w:val="22"/>
          <w:lang w:val="es-ES"/>
        </w:rPr>
      </w:pPr>
    </w:p>
    <w:p w:rsidR="008D4B53" w:rsidRPr="0000522C" w:rsidRDefault="008D4B53" w:rsidP="008D4B53">
      <w:pPr>
        <w:tabs>
          <w:tab w:val="left" w:pos="-2160"/>
          <w:tab w:val="left" w:pos="-1980"/>
          <w:tab w:val="left" w:pos="709"/>
          <w:tab w:val="left" w:pos="4640"/>
        </w:tabs>
        <w:snapToGrid w:val="0"/>
        <w:jc w:val="both"/>
        <w:rPr>
          <w:sz w:val="24"/>
        </w:rPr>
      </w:pPr>
      <w:r w:rsidRPr="0000522C">
        <w:rPr>
          <w:sz w:val="24"/>
        </w:rPr>
        <w:t>Los vencimientos pactados en las operaciones activas y pasivas de los próximos cinco años son los siguientes:</w:t>
      </w:r>
    </w:p>
    <w:p w:rsidR="008D4B53" w:rsidRPr="0000522C" w:rsidRDefault="008D4B53" w:rsidP="008D4B53">
      <w:pPr>
        <w:tabs>
          <w:tab w:val="left" w:pos="-2160"/>
          <w:tab w:val="left" w:pos="-1980"/>
          <w:tab w:val="left" w:pos="709"/>
          <w:tab w:val="left" w:pos="4640"/>
        </w:tabs>
        <w:snapToGrid w:val="0"/>
        <w:jc w:val="both"/>
        <w:rPr>
          <w:sz w:val="22"/>
        </w:rPr>
      </w:pPr>
    </w:p>
    <w:p w:rsidR="008D4B53" w:rsidRPr="0000522C" w:rsidRDefault="008D4B53" w:rsidP="008D4B53">
      <w:pPr>
        <w:tabs>
          <w:tab w:val="left" w:pos="-2160"/>
          <w:tab w:val="left" w:pos="-1980"/>
          <w:tab w:val="left" w:pos="709"/>
          <w:tab w:val="left" w:pos="4640"/>
        </w:tabs>
        <w:snapToGrid w:val="0"/>
        <w:jc w:val="both"/>
        <w:rPr>
          <w:sz w:val="22"/>
          <w:lang w:val="es-ES_tradnl"/>
        </w:rPr>
      </w:pPr>
    </w:p>
    <w:bookmarkStart w:id="750" w:name="_MON_1537875443"/>
    <w:bookmarkEnd w:id="750"/>
    <w:p w:rsidR="008D4B53" w:rsidRPr="0000522C" w:rsidRDefault="008D4B53" w:rsidP="008D4B53">
      <w:pPr>
        <w:tabs>
          <w:tab w:val="left" w:pos="-2160"/>
          <w:tab w:val="left" w:pos="-1980"/>
          <w:tab w:val="left" w:pos="709"/>
          <w:tab w:val="left" w:pos="4640"/>
        </w:tabs>
        <w:snapToGrid w:val="0"/>
        <w:jc w:val="both"/>
        <w:rPr>
          <w:sz w:val="22"/>
          <w:lang w:val="es-ES_tradnl"/>
        </w:rPr>
      </w:pPr>
      <w:r w:rsidRPr="0000522C">
        <w:rPr>
          <w:sz w:val="22"/>
          <w:lang w:val="es-ES_tradnl"/>
        </w:rPr>
        <w:object w:dxaOrig="12704" w:dyaOrig="2754">
          <v:shape id="_x0000_i1043" type="#_x0000_t75" style="width:456.5pt;height:116pt" o:ole="" fillcolor="window">
            <v:imagedata r:id="rId51" o:title=""/>
          </v:shape>
          <o:OLEObject Type="Embed" ProgID="Excel.Sheet.8" ShapeID="_x0000_i1043" DrawAspect="Content" ObjectID="_1539668669" r:id="rId52"/>
        </w:object>
      </w:r>
    </w:p>
    <w:p w:rsidR="008D4B53" w:rsidRPr="0000522C" w:rsidRDefault="008D4B53" w:rsidP="008D4B53">
      <w:pPr>
        <w:tabs>
          <w:tab w:val="left" w:pos="-2160"/>
          <w:tab w:val="left" w:pos="-1980"/>
          <w:tab w:val="left" w:pos="709"/>
          <w:tab w:val="left" w:pos="4640"/>
        </w:tabs>
        <w:snapToGrid w:val="0"/>
        <w:jc w:val="both"/>
        <w:rPr>
          <w:sz w:val="22"/>
          <w:lang w:val="es-ES_tradnl"/>
        </w:rPr>
      </w:pPr>
    </w:p>
    <w:bookmarkStart w:id="751" w:name="_MON_1537875403"/>
    <w:bookmarkEnd w:id="751"/>
    <w:p w:rsidR="00784DC0" w:rsidRPr="0000522C" w:rsidRDefault="008D4B53" w:rsidP="008D4B53">
      <w:pPr>
        <w:tabs>
          <w:tab w:val="left" w:pos="-2160"/>
          <w:tab w:val="left" w:pos="-1980"/>
          <w:tab w:val="left" w:pos="709"/>
          <w:tab w:val="left" w:pos="4640"/>
        </w:tabs>
        <w:snapToGrid w:val="0"/>
        <w:jc w:val="both"/>
        <w:rPr>
          <w:sz w:val="22"/>
          <w:lang w:val="es-ES_tradnl"/>
        </w:rPr>
      </w:pPr>
      <w:r w:rsidRPr="0000522C">
        <w:rPr>
          <w:sz w:val="22"/>
          <w:lang w:val="es-ES_tradnl"/>
        </w:rPr>
        <w:object w:dxaOrig="12704" w:dyaOrig="2754">
          <v:shape id="_x0000_i1044" type="#_x0000_t75" style="width:456.5pt;height:116pt" o:ole="" fillcolor="window">
            <v:imagedata r:id="rId53" o:title=""/>
          </v:shape>
          <o:OLEObject Type="Embed" ProgID="Excel.Sheet.8" ShapeID="_x0000_i1044" DrawAspect="Content" ObjectID="_1539668670" r:id="rId54"/>
        </w:object>
      </w:r>
    </w:p>
    <w:p w:rsidR="00D64880" w:rsidRPr="0000522C" w:rsidRDefault="00D64880" w:rsidP="008D4B53">
      <w:pPr>
        <w:tabs>
          <w:tab w:val="left" w:pos="-2160"/>
          <w:tab w:val="left" w:pos="-1980"/>
          <w:tab w:val="left" w:pos="709"/>
          <w:tab w:val="left" w:pos="4640"/>
        </w:tabs>
        <w:snapToGrid w:val="0"/>
        <w:jc w:val="both"/>
        <w:rPr>
          <w:sz w:val="22"/>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UTILIDAD (PÉRDIDA) POR ACCIÓN</w:t>
      </w:r>
    </w:p>
    <w:p w:rsidR="00441518" w:rsidRPr="0000522C" w:rsidRDefault="00441518">
      <w:pPr>
        <w:pStyle w:val="Sangra2detindependiente"/>
        <w:tabs>
          <w:tab w:val="left" w:pos="709"/>
        </w:tabs>
        <w:ind w:left="0"/>
        <w:rPr>
          <w:b/>
          <w:lang w:val="es-ES"/>
        </w:rPr>
      </w:pPr>
    </w:p>
    <w:p w:rsidR="00441518" w:rsidRPr="0000522C" w:rsidRDefault="00441518">
      <w:pPr>
        <w:pStyle w:val="Textoindependiente3"/>
        <w:rPr>
          <w:u w:val="none"/>
        </w:rPr>
      </w:pPr>
      <w:r w:rsidRPr="0000522C">
        <w:rPr>
          <w:u w:val="none"/>
        </w:rPr>
        <w:t>El Banco de Fomento Agropecuario es una institución oficial de crédito, creada a través de una Ley Especial, por lo que su capital está constituido por aportes del Estado y no por acciones, en consecuencia no se establece utilidad por acción.</w:t>
      </w:r>
    </w:p>
    <w:p w:rsidR="00441518" w:rsidRPr="0000522C" w:rsidRDefault="00441518">
      <w:pPr>
        <w:pStyle w:val="Textoindependiente3"/>
        <w:rPr>
          <w:u w:val="none"/>
        </w:rPr>
      </w:pPr>
    </w:p>
    <w:p w:rsidR="00441518" w:rsidRPr="0000522C" w:rsidRDefault="00441518">
      <w:pPr>
        <w:pStyle w:val="Textoindependiente3"/>
        <w:rPr>
          <w:b/>
          <w:u w:val="none"/>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RESERVA LEGAL</w:t>
      </w:r>
    </w:p>
    <w:p w:rsidR="00441518" w:rsidRPr="0000522C" w:rsidRDefault="00441518">
      <w:pPr>
        <w:pStyle w:val="Revisin"/>
      </w:pPr>
      <w:bookmarkStart w:id="752" w:name="OLE_LINK6"/>
      <w:bookmarkStart w:id="753" w:name="OLE_LINK49"/>
    </w:p>
    <w:p w:rsidR="00585B64" w:rsidRPr="0000522C" w:rsidRDefault="00774BEB" w:rsidP="00774BEB">
      <w:pPr>
        <w:pStyle w:val="Sangra2detindependiente"/>
        <w:tabs>
          <w:tab w:val="left" w:pos="709"/>
        </w:tabs>
        <w:ind w:left="0"/>
      </w:pPr>
      <w:r w:rsidRPr="0000522C">
        <w:t>Con base al artículo 39 de la Ley de Bancos, el Banco debe separar de sus utilidades anuales el diez por ciento (10%) hasta alcanzar una suma igual al veinticinco por ciento (25%) del capital social pagado; el capital social es de $19,057.5, para el 30/09/16 y 30/09/15 y la reserva legal es $1,945.0 y $1,908.8, que representa el 10.0%, para ambos años.</w:t>
      </w:r>
    </w:p>
    <w:p w:rsidR="00774BEB" w:rsidRPr="0000522C" w:rsidRDefault="00774BEB" w:rsidP="00774BEB">
      <w:pPr>
        <w:pStyle w:val="Sangra2detindependiente"/>
        <w:tabs>
          <w:tab w:val="left" w:pos="709"/>
        </w:tabs>
        <w:ind w:left="0"/>
      </w:pPr>
    </w:p>
    <w:p w:rsidR="00BB6C77" w:rsidRPr="0000522C" w:rsidRDefault="00BB6C77" w:rsidP="00BB6C77">
      <w:pPr>
        <w:rPr>
          <w:lang w:val="es-SV"/>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 xml:space="preserve">UTILIDAD DISTRIBUIBLE </w:t>
      </w:r>
    </w:p>
    <w:p w:rsidR="00441518" w:rsidRPr="0000522C" w:rsidRDefault="00441518">
      <w:pPr>
        <w:pStyle w:val="Sangra2detindependiente"/>
        <w:tabs>
          <w:tab w:val="left" w:pos="709"/>
        </w:tabs>
        <w:rPr>
          <w:b/>
          <w:lang w:val="es-ES"/>
        </w:rPr>
      </w:pPr>
    </w:p>
    <w:p w:rsidR="00441518" w:rsidRPr="0000522C" w:rsidRDefault="00441518">
      <w:pPr>
        <w:pStyle w:val="Sangra2detindependiente"/>
        <w:tabs>
          <w:tab w:val="left" w:pos="709"/>
        </w:tabs>
        <w:ind w:left="0"/>
      </w:pPr>
      <w:r w:rsidRPr="0000522C">
        <w:t xml:space="preserve">De conformidad al inciso primero del artículo 40 de la Ley de Bancos, los Bancos deben retener de sus utilidades, después de deducida la reserva legal, una suma igual a los productos (ingresos) pendientes de cobro. </w:t>
      </w:r>
    </w:p>
    <w:p w:rsidR="00C36FD5" w:rsidRPr="0000522C" w:rsidRDefault="00C36FD5">
      <w:pPr>
        <w:pStyle w:val="Sangra2detindependiente"/>
        <w:tabs>
          <w:tab w:val="left" w:pos="709"/>
        </w:tabs>
        <w:ind w:left="0"/>
      </w:pPr>
    </w:p>
    <w:p w:rsidR="00441518" w:rsidRPr="0000522C" w:rsidRDefault="00441518">
      <w:pPr>
        <w:pStyle w:val="Sangra2detindependiente"/>
        <w:tabs>
          <w:tab w:val="left" w:pos="709"/>
        </w:tabs>
        <w:ind w:left="0"/>
      </w:pPr>
      <w:r w:rsidRPr="0000522C">
        <w:t>El Banco de Fomento Agropecuario es una institución oficial de crédito, creada mediante una ley especial, por lo que sus recursos de capital no proceden de participación accionaria y en consecuencia no distribuye dividendos.</w:t>
      </w:r>
    </w:p>
    <w:p w:rsidR="00A02C90" w:rsidRPr="0000522C" w:rsidRDefault="00A02C90">
      <w:pPr>
        <w:pStyle w:val="Sangra2detindependiente"/>
        <w:tabs>
          <w:tab w:val="left" w:pos="709"/>
        </w:tabs>
        <w:ind w:left="0"/>
      </w:pPr>
    </w:p>
    <w:p w:rsidR="00A27C6C" w:rsidRPr="0000522C" w:rsidRDefault="00A27C6C">
      <w:pPr>
        <w:pStyle w:val="Sangra2detindependiente"/>
        <w:tabs>
          <w:tab w:val="left" w:pos="709"/>
        </w:tabs>
        <w:ind w:left="0"/>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IMPUESTO SOBRE LA RENTA</w:t>
      </w:r>
    </w:p>
    <w:p w:rsidR="00441518" w:rsidRPr="0000522C" w:rsidRDefault="00441518"/>
    <w:bookmarkEnd w:id="752"/>
    <w:bookmarkEnd w:id="753"/>
    <w:p w:rsidR="002B4ECD" w:rsidRPr="0000522C" w:rsidRDefault="002B4ECD" w:rsidP="002B4ECD">
      <w:pPr>
        <w:jc w:val="both"/>
        <w:rPr>
          <w:rFonts w:ascii="Calibri" w:eastAsia="Arial Unicode MS" w:hAnsi="Calibri" w:cs="Arial Unicode MS"/>
          <w:sz w:val="24"/>
          <w:szCs w:val="22"/>
          <w:lang w:val="es-SV" w:eastAsia="en-US"/>
        </w:rPr>
      </w:pPr>
      <w:r w:rsidRPr="0000522C">
        <w:rPr>
          <w:sz w:val="24"/>
          <w:lang w:val="es-SV"/>
        </w:rPr>
        <w:t>Las entidades constituidas en El Salvador pagan impuesto sobre la renta por los ingresos obtenidos en el país, conforme a la Ley del Impuesto Sobre la Renta, contenida en el Decreto Legislativo No. 134 de fecha 18 de diciembre de 1991, en vigencia desde el día 1 de enero de 1992.</w:t>
      </w:r>
    </w:p>
    <w:p w:rsidR="002B4ECD" w:rsidRPr="0000522C" w:rsidRDefault="002B4ECD" w:rsidP="002B4ECD">
      <w:pPr>
        <w:rPr>
          <w:sz w:val="24"/>
          <w:lang w:val="es-SV"/>
        </w:rPr>
      </w:pPr>
    </w:p>
    <w:p w:rsidR="002B4ECD" w:rsidRPr="0000522C" w:rsidRDefault="002B4ECD" w:rsidP="002B4ECD">
      <w:pPr>
        <w:jc w:val="both"/>
        <w:rPr>
          <w:sz w:val="24"/>
          <w:lang w:val="es-SV"/>
        </w:rPr>
      </w:pPr>
      <w:r w:rsidRPr="0000522C">
        <w:rPr>
          <w:sz w:val="24"/>
          <w:lang w:val="es-SV"/>
        </w:rPr>
        <w:t>Al 30 de septiembre de 201</w:t>
      </w:r>
      <w:r w:rsidR="00774BEB" w:rsidRPr="0000522C">
        <w:rPr>
          <w:sz w:val="24"/>
          <w:lang w:val="es-SV"/>
        </w:rPr>
        <w:t>6</w:t>
      </w:r>
      <w:r w:rsidRPr="0000522C">
        <w:rPr>
          <w:sz w:val="24"/>
          <w:lang w:val="es-SV"/>
        </w:rPr>
        <w:t>, se provisionó para el pago del Impuesto sobre la Renta $</w:t>
      </w:r>
      <w:r w:rsidR="00774BEB" w:rsidRPr="0000522C">
        <w:rPr>
          <w:sz w:val="24"/>
          <w:lang w:val="es-SV"/>
        </w:rPr>
        <w:t>373.7</w:t>
      </w:r>
      <w:r w:rsidRPr="0000522C">
        <w:rPr>
          <w:sz w:val="24"/>
          <w:lang w:val="es-SV"/>
        </w:rPr>
        <w:t xml:space="preserve"> y $</w:t>
      </w:r>
      <w:r w:rsidR="00774BEB" w:rsidRPr="0000522C">
        <w:rPr>
          <w:sz w:val="24"/>
          <w:lang w:val="es-SV"/>
        </w:rPr>
        <w:t>336.4</w:t>
      </w:r>
      <w:r w:rsidRPr="0000522C">
        <w:rPr>
          <w:sz w:val="24"/>
          <w:lang w:val="es-SV"/>
        </w:rPr>
        <w:t>, para el 30 de septiembre de 201</w:t>
      </w:r>
      <w:r w:rsidR="00774BEB" w:rsidRPr="0000522C">
        <w:rPr>
          <w:sz w:val="24"/>
          <w:lang w:val="es-SV"/>
        </w:rPr>
        <w:t>5</w:t>
      </w:r>
      <w:r w:rsidRPr="0000522C">
        <w:rPr>
          <w:sz w:val="24"/>
          <w:lang w:val="es-SV"/>
        </w:rPr>
        <w:t>.</w:t>
      </w:r>
    </w:p>
    <w:p w:rsidR="002B4ECD" w:rsidRPr="0000522C" w:rsidRDefault="002B4ECD" w:rsidP="002B4ECD">
      <w:pPr>
        <w:jc w:val="both"/>
        <w:rPr>
          <w:sz w:val="24"/>
          <w:szCs w:val="24"/>
          <w:lang w:val="es-SV"/>
        </w:rPr>
      </w:pPr>
    </w:p>
    <w:p w:rsidR="002B4ECD" w:rsidRPr="0000522C" w:rsidRDefault="002B4ECD" w:rsidP="002B4ECD">
      <w:pPr>
        <w:tabs>
          <w:tab w:val="left" w:pos="-2160"/>
          <w:tab w:val="left" w:pos="-1980"/>
          <w:tab w:val="left" w:pos="709"/>
        </w:tabs>
        <w:snapToGrid w:val="0"/>
        <w:jc w:val="both"/>
        <w:rPr>
          <w:sz w:val="24"/>
          <w:szCs w:val="24"/>
          <w:lang w:val="es-ES_tradnl"/>
        </w:rPr>
      </w:pPr>
      <w:r w:rsidRPr="0000522C">
        <w:rPr>
          <w:sz w:val="24"/>
          <w:szCs w:val="24"/>
          <w:lang w:val="es-ES_tradnl"/>
        </w:rPr>
        <w:lastRenderedPageBreak/>
        <w:t>El Banco no calcula Impuesto sobre la Renta diferido.</w:t>
      </w:r>
    </w:p>
    <w:p w:rsidR="00F03427" w:rsidRPr="0000522C" w:rsidRDefault="00F03427" w:rsidP="00421050"/>
    <w:p w:rsidR="00F03427" w:rsidRPr="0000522C" w:rsidRDefault="00F03427" w:rsidP="00421050"/>
    <w:p w:rsidR="00441518" w:rsidRPr="0000522C" w:rsidRDefault="00441518" w:rsidP="00B15414">
      <w:pPr>
        <w:pStyle w:val="Ttulo7"/>
        <w:numPr>
          <w:ilvl w:val="0"/>
          <w:numId w:val="2"/>
        </w:numPr>
        <w:tabs>
          <w:tab w:val="left" w:pos="1134"/>
          <w:tab w:val="num" w:pos="1276"/>
        </w:tabs>
        <w:ind w:left="1276" w:hanging="1276"/>
        <w:rPr>
          <w:bCs/>
        </w:rPr>
      </w:pPr>
      <w:r w:rsidRPr="0000522C">
        <w:rPr>
          <w:bCs/>
        </w:rPr>
        <w:t>GASTOS DE OPERACIÓN</w:t>
      </w:r>
      <w:r w:rsidRPr="0000522C">
        <w:rPr>
          <w:bCs/>
        </w:rPr>
        <w:tab/>
      </w:r>
      <w:bookmarkStart w:id="754" w:name="OLE_LINK1"/>
    </w:p>
    <w:p w:rsidR="00FD5CBA" w:rsidRPr="0000522C" w:rsidRDefault="00FD5CBA" w:rsidP="00FD5CBA">
      <w:pPr>
        <w:pStyle w:val="Ttulo7"/>
        <w:tabs>
          <w:tab w:val="left" w:pos="1134"/>
          <w:tab w:val="num" w:pos="1276"/>
        </w:tabs>
        <w:ind w:left="1276"/>
        <w:rPr>
          <w:lang w:val="es-ES_tradnl"/>
        </w:rPr>
      </w:pPr>
      <w:bookmarkStart w:id="755" w:name="_MON_1395472976"/>
      <w:bookmarkStart w:id="756" w:name="_MON_1395493886"/>
      <w:bookmarkStart w:id="757" w:name="_MON_1402828359"/>
      <w:bookmarkStart w:id="758" w:name="_MON_1402828429"/>
      <w:bookmarkStart w:id="759" w:name="_MON_1402828463"/>
      <w:bookmarkStart w:id="760" w:name="_MON_1402983265"/>
      <w:bookmarkStart w:id="761" w:name="_MON_1434529683"/>
      <w:bookmarkStart w:id="762" w:name="_MON_1434782624"/>
      <w:bookmarkStart w:id="763" w:name="_MON_1442391623"/>
      <w:bookmarkStart w:id="764" w:name="_MON_1442392848"/>
      <w:bookmarkStart w:id="765" w:name="_MON_1442392892"/>
      <w:bookmarkStart w:id="766" w:name="_MON_1442738123"/>
      <w:bookmarkStart w:id="767" w:name="_MON_1451293090"/>
      <w:bookmarkStart w:id="768" w:name="_MON_1451474805"/>
      <w:bookmarkStart w:id="769" w:name="_MON_1458368219"/>
      <w:bookmarkStart w:id="770" w:name="_MON_1458373079"/>
      <w:bookmarkStart w:id="771" w:name="_MON_1459768714"/>
      <w:bookmarkStart w:id="772" w:name="_MON_1387784573"/>
      <w:bookmarkStart w:id="773" w:name="_MON_1387784824"/>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FD5CBA" w:rsidRPr="0000522C" w:rsidRDefault="00FD5CBA" w:rsidP="00FD5CBA"/>
    <w:bookmarkStart w:id="774" w:name="_MON_1387784843"/>
    <w:bookmarkEnd w:id="774"/>
    <w:bookmarkStart w:id="775" w:name="_MON_1387784858"/>
    <w:bookmarkEnd w:id="775"/>
    <w:p w:rsidR="00FD5CBA" w:rsidRPr="0000522C" w:rsidRDefault="00FD5CBA" w:rsidP="00FD5CBA">
      <w:pPr>
        <w:rPr>
          <w:b/>
          <w:bCs/>
          <w:sz w:val="24"/>
          <w:shd w:val="clear" w:color="auto" w:fill="99CC00"/>
        </w:rPr>
      </w:pPr>
      <w:r w:rsidRPr="0000522C">
        <w:object w:dxaOrig="7889" w:dyaOrig="3073">
          <v:shape id="_x0000_i1045" type="#_x0000_t75" style="width:439.5pt;height:190.5pt" o:ole="" fillcolor="window">
            <v:imagedata r:id="rId55" o:title=""/>
          </v:shape>
          <o:OLEObject Type="Embed" ProgID="Excel.Sheet.8" ShapeID="_x0000_i1045" DrawAspect="Content" ObjectID="_1539668671" r:id="rId56"/>
        </w:object>
      </w:r>
    </w:p>
    <w:p w:rsidR="007779AB" w:rsidRPr="0000522C" w:rsidRDefault="007779AB" w:rsidP="007779AB">
      <w:pPr>
        <w:rPr>
          <w:b/>
          <w:bCs/>
          <w:sz w:val="24"/>
          <w:shd w:val="clear" w:color="auto" w:fill="99CC00"/>
        </w:rPr>
      </w:pPr>
    </w:p>
    <w:p w:rsidR="003A5088" w:rsidRPr="0000522C" w:rsidRDefault="003A5088">
      <w:pPr>
        <w:rPr>
          <w:b/>
          <w:bCs/>
          <w:sz w:val="24"/>
          <w:shd w:val="clear" w:color="auto" w:fill="99CC00"/>
        </w:rPr>
      </w:pPr>
    </w:p>
    <w:p w:rsidR="00441518" w:rsidRPr="0000522C" w:rsidRDefault="00441518" w:rsidP="005657FE">
      <w:pPr>
        <w:pStyle w:val="Ttulo7"/>
        <w:numPr>
          <w:ilvl w:val="0"/>
          <w:numId w:val="2"/>
        </w:numPr>
        <w:tabs>
          <w:tab w:val="num" w:pos="0"/>
          <w:tab w:val="left" w:pos="1134"/>
        </w:tabs>
        <w:ind w:left="0" w:firstLine="0"/>
        <w:rPr>
          <w:bCs/>
        </w:rPr>
      </w:pPr>
      <w:bookmarkStart w:id="776" w:name="OLE_LINK13"/>
      <w:r w:rsidRPr="0000522C">
        <w:rPr>
          <w:bCs/>
        </w:rPr>
        <w:t xml:space="preserve">FIDEICOMISOS </w:t>
      </w:r>
    </w:p>
    <w:p w:rsidR="00F03427" w:rsidRPr="0000522C" w:rsidRDefault="00F03427">
      <w:pPr>
        <w:pStyle w:val="Sangra2detindependiente"/>
        <w:tabs>
          <w:tab w:val="left" w:pos="709"/>
        </w:tabs>
        <w:ind w:left="0"/>
        <w:rPr>
          <w:b/>
          <w:lang w:val="es-ES"/>
        </w:rPr>
      </w:pPr>
    </w:p>
    <w:p w:rsidR="00092E15" w:rsidRPr="0000522C" w:rsidRDefault="00092E15" w:rsidP="00092E15">
      <w:pPr>
        <w:tabs>
          <w:tab w:val="left" w:pos="4678"/>
          <w:tab w:val="left" w:pos="6663"/>
        </w:tabs>
        <w:snapToGrid w:val="0"/>
        <w:jc w:val="both"/>
        <w:rPr>
          <w:sz w:val="24"/>
        </w:rPr>
      </w:pPr>
      <w:bookmarkStart w:id="777" w:name="_MON_1435393127"/>
      <w:bookmarkStart w:id="778" w:name="_MON_1327407214"/>
      <w:bookmarkStart w:id="779" w:name="_MON_1332914381"/>
      <w:bookmarkEnd w:id="776"/>
      <w:bookmarkEnd w:id="777"/>
      <w:bookmarkEnd w:id="778"/>
      <w:bookmarkEnd w:id="779"/>
      <w:r w:rsidRPr="0000522C">
        <w:rPr>
          <w:sz w:val="24"/>
        </w:rPr>
        <w:t xml:space="preserve">Al 30 de Septiembre de 2016 y 2015, el Banco no tenía Fideicomisos puros y el detalle que se presenta corresponde a fondos en administración. </w:t>
      </w:r>
    </w:p>
    <w:p w:rsidR="00092E15" w:rsidRPr="0000522C" w:rsidRDefault="00092E15" w:rsidP="00092E15">
      <w:pPr>
        <w:tabs>
          <w:tab w:val="left" w:pos="-2160"/>
          <w:tab w:val="left" w:pos="-1980"/>
          <w:tab w:val="left" w:pos="709"/>
        </w:tabs>
        <w:snapToGrid w:val="0"/>
        <w:jc w:val="both"/>
        <w:rPr>
          <w:sz w:val="24"/>
        </w:rPr>
      </w:pPr>
    </w:p>
    <w:bookmarkStart w:id="780" w:name="_MON_1442921240"/>
    <w:bookmarkEnd w:id="780"/>
    <w:bookmarkStart w:id="781" w:name="_MON_1427287048"/>
    <w:bookmarkEnd w:id="781"/>
    <w:p w:rsidR="00092E15" w:rsidRPr="0000522C" w:rsidRDefault="00092E15" w:rsidP="00092E15">
      <w:pPr>
        <w:tabs>
          <w:tab w:val="left" w:pos="-2160"/>
          <w:tab w:val="left" w:pos="-1980"/>
          <w:tab w:val="left" w:pos="709"/>
        </w:tabs>
        <w:snapToGrid w:val="0"/>
        <w:jc w:val="both"/>
      </w:pPr>
      <w:r w:rsidRPr="0000522C">
        <w:object w:dxaOrig="8520" w:dyaOrig="3059">
          <v:shape id="_x0000_i1046" type="#_x0000_t75" style="width:455.5pt;height:153pt" o:ole="" fillcolor="window">
            <v:imagedata r:id="rId57" o:title=""/>
          </v:shape>
          <o:OLEObject Type="Embed" ProgID="Excel.Sheet.8" ShapeID="_x0000_i1046" DrawAspect="Content" ObjectID="_1539668672" r:id="rId58"/>
        </w:object>
      </w:r>
    </w:p>
    <w:p w:rsidR="00092E15" w:rsidRPr="0000522C" w:rsidRDefault="00092E15" w:rsidP="00092E15">
      <w:pPr>
        <w:tabs>
          <w:tab w:val="left" w:pos="-2160"/>
          <w:tab w:val="left" w:pos="-1980"/>
          <w:tab w:val="left" w:pos="709"/>
        </w:tabs>
        <w:jc w:val="both"/>
        <w:rPr>
          <w:snapToGrid w:val="0"/>
          <w:sz w:val="24"/>
        </w:rPr>
      </w:pPr>
    </w:p>
    <w:p w:rsidR="00092E15" w:rsidRPr="0000522C" w:rsidRDefault="00092E15" w:rsidP="00092E15">
      <w:pPr>
        <w:rPr>
          <w:snapToGrid w:val="0"/>
          <w:sz w:val="24"/>
        </w:rPr>
      </w:pPr>
      <w:r w:rsidRPr="0000522C">
        <w:rPr>
          <w:snapToGrid w:val="0"/>
          <w:sz w:val="24"/>
        </w:rPr>
        <w:t>Los resultados de los programas anteriores, responden a las políticas de gestión, emanadas por sus propietarios.</w:t>
      </w:r>
    </w:p>
    <w:p w:rsidR="00130F6E" w:rsidRPr="0000522C" w:rsidRDefault="00130F6E" w:rsidP="00401B9E"/>
    <w:p w:rsidR="00D71F8A" w:rsidRPr="0000522C" w:rsidRDefault="00D71F8A" w:rsidP="00401B9E"/>
    <w:p w:rsidR="00D71F8A" w:rsidRPr="0000522C" w:rsidRDefault="00D71F8A" w:rsidP="00401B9E"/>
    <w:p w:rsidR="00D71F8A" w:rsidRPr="0000522C" w:rsidRDefault="00D71F8A" w:rsidP="00401B9E"/>
    <w:p w:rsidR="008D0DD5" w:rsidRPr="0000522C" w:rsidRDefault="008D0DD5" w:rsidP="00401B9E"/>
    <w:p w:rsidR="00CA54B2" w:rsidRPr="0000522C" w:rsidRDefault="00CA54B2" w:rsidP="00401B9E"/>
    <w:p w:rsidR="006B5F56" w:rsidRPr="0000522C" w:rsidRDefault="006B5F56" w:rsidP="00401B9E"/>
    <w:p w:rsidR="00441518" w:rsidRPr="0000522C" w:rsidRDefault="00441518" w:rsidP="00B15414">
      <w:pPr>
        <w:pStyle w:val="Ttulo7"/>
        <w:numPr>
          <w:ilvl w:val="0"/>
          <w:numId w:val="2"/>
        </w:numPr>
        <w:tabs>
          <w:tab w:val="left" w:pos="1134"/>
          <w:tab w:val="num" w:pos="1276"/>
        </w:tabs>
        <w:ind w:left="1276" w:hanging="1276"/>
        <w:rPr>
          <w:bCs/>
        </w:rPr>
      </w:pPr>
      <w:r w:rsidRPr="0000522C">
        <w:rPr>
          <w:bCs/>
        </w:rPr>
        <w:lastRenderedPageBreak/>
        <w:t>INDICADORES RELATIVOS A LA CARGA DE RECURSO HUMANO</w:t>
      </w:r>
    </w:p>
    <w:p w:rsidR="000D7FEE" w:rsidRPr="0000522C" w:rsidRDefault="000D7FEE" w:rsidP="000D7FEE">
      <w:pPr>
        <w:pStyle w:val="Sangra2detindependiente"/>
        <w:tabs>
          <w:tab w:val="clear" w:pos="-2160"/>
          <w:tab w:val="clear" w:pos="-1980"/>
        </w:tabs>
        <w:ind w:left="0"/>
        <w:rPr>
          <w:lang w:val="es-ES"/>
        </w:rPr>
      </w:pPr>
    </w:p>
    <w:p w:rsidR="009C57A7" w:rsidRPr="0000522C" w:rsidRDefault="009C57A7" w:rsidP="009C57A7">
      <w:pPr>
        <w:pStyle w:val="Sangra2detindependiente"/>
        <w:tabs>
          <w:tab w:val="clear" w:pos="-2160"/>
          <w:tab w:val="clear" w:pos="-1980"/>
        </w:tabs>
        <w:ind w:left="0"/>
        <w:rPr>
          <w:lang w:val="es-ES"/>
        </w:rPr>
      </w:pPr>
      <w:r w:rsidRPr="0000522C">
        <w:rPr>
          <w:lang w:val="es-ES"/>
        </w:rPr>
        <w:t>Durante los períodos reportados el Banco ha mantenido un promedio de 1,039 y 986 empleados, respectivamente.</w:t>
      </w:r>
    </w:p>
    <w:p w:rsidR="009C57A7" w:rsidRPr="0000522C" w:rsidRDefault="009C57A7" w:rsidP="009C57A7">
      <w:pPr>
        <w:pStyle w:val="Sangra2detindependiente"/>
        <w:tabs>
          <w:tab w:val="clear" w:pos="-2160"/>
          <w:tab w:val="clear" w:pos="-1980"/>
        </w:tabs>
        <w:ind w:left="0"/>
        <w:rPr>
          <w:lang w:val="es-ES"/>
        </w:rPr>
      </w:pPr>
    </w:p>
    <w:p w:rsidR="009C57A7" w:rsidRPr="0000522C" w:rsidRDefault="009C57A7" w:rsidP="009C57A7">
      <w:pPr>
        <w:pStyle w:val="Sangra2detindependiente"/>
        <w:tabs>
          <w:tab w:val="clear" w:pos="-2160"/>
          <w:tab w:val="clear" w:pos="-1980"/>
        </w:tabs>
        <w:ind w:left="0"/>
        <w:rPr>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9C57A7" w:rsidRPr="0000522C" w:rsidTr="009C57A7">
        <w:trPr>
          <w:trHeight w:val="387"/>
        </w:trPr>
        <w:tc>
          <w:tcPr>
            <w:tcW w:w="931" w:type="dxa"/>
          </w:tcPr>
          <w:p w:rsidR="009C57A7" w:rsidRPr="0000522C" w:rsidRDefault="009C57A7" w:rsidP="009C57A7">
            <w:pPr>
              <w:jc w:val="center"/>
              <w:rPr>
                <w:b/>
              </w:rPr>
            </w:pPr>
          </w:p>
          <w:p w:rsidR="009C57A7" w:rsidRPr="0000522C" w:rsidRDefault="009C57A7" w:rsidP="009C57A7">
            <w:pPr>
              <w:pStyle w:val="Ttulo8"/>
            </w:pPr>
            <w:r w:rsidRPr="0000522C">
              <w:t>AÑO</w:t>
            </w:r>
          </w:p>
        </w:tc>
        <w:tc>
          <w:tcPr>
            <w:tcW w:w="1863" w:type="dxa"/>
          </w:tcPr>
          <w:p w:rsidR="009C57A7" w:rsidRPr="0000522C" w:rsidRDefault="009C57A7" w:rsidP="009C57A7">
            <w:pPr>
              <w:pStyle w:val="Sangra2detindependiente"/>
              <w:tabs>
                <w:tab w:val="clear" w:pos="-2160"/>
                <w:tab w:val="clear" w:pos="-1980"/>
              </w:tabs>
              <w:ind w:left="0"/>
              <w:jc w:val="center"/>
              <w:rPr>
                <w:b/>
                <w:sz w:val="20"/>
                <w:lang w:val="es-ES"/>
              </w:rPr>
            </w:pPr>
            <w:r w:rsidRPr="0000522C">
              <w:rPr>
                <w:b/>
                <w:sz w:val="20"/>
                <w:lang w:val="es-ES"/>
              </w:rPr>
              <w:t>PROMEDIO</w:t>
            </w:r>
          </w:p>
          <w:p w:rsidR="009C57A7" w:rsidRPr="0000522C" w:rsidRDefault="009C57A7" w:rsidP="009C57A7">
            <w:pPr>
              <w:pStyle w:val="Sangra2detindependiente"/>
              <w:tabs>
                <w:tab w:val="clear" w:pos="-2160"/>
                <w:tab w:val="clear" w:pos="-1980"/>
              </w:tabs>
              <w:ind w:left="0"/>
              <w:jc w:val="center"/>
              <w:rPr>
                <w:b/>
                <w:sz w:val="20"/>
                <w:lang w:val="es-ES"/>
              </w:rPr>
            </w:pPr>
            <w:r w:rsidRPr="0000522C">
              <w:rPr>
                <w:b/>
                <w:sz w:val="20"/>
                <w:lang w:val="es-ES"/>
              </w:rPr>
              <w:t>EMPLEADOS</w:t>
            </w:r>
          </w:p>
        </w:tc>
        <w:tc>
          <w:tcPr>
            <w:tcW w:w="2328" w:type="dxa"/>
          </w:tcPr>
          <w:p w:rsidR="009C57A7" w:rsidRPr="0000522C" w:rsidRDefault="009C57A7" w:rsidP="009C57A7">
            <w:pPr>
              <w:pStyle w:val="Sangra2detindependiente"/>
              <w:tabs>
                <w:tab w:val="clear" w:pos="-2160"/>
                <w:tab w:val="clear" w:pos="-1980"/>
              </w:tabs>
              <w:ind w:left="0"/>
              <w:jc w:val="center"/>
              <w:rPr>
                <w:b/>
                <w:sz w:val="20"/>
                <w:lang w:val="es-ES"/>
              </w:rPr>
            </w:pPr>
            <w:r w:rsidRPr="0000522C">
              <w:rPr>
                <w:b/>
                <w:sz w:val="20"/>
                <w:lang w:val="es-ES"/>
              </w:rPr>
              <w:t>% EMPLEADOS</w:t>
            </w:r>
          </w:p>
          <w:p w:rsidR="009C57A7" w:rsidRPr="0000522C" w:rsidRDefault="009C57A7" w:rsidP="009C57A7">
            <w:pPr>
              <w:pStyle w:val="Sangra2detindependiente"/>
              <w:tabs>
                <w:tab w:val="clear" w:pos="-2160"/>
                <w:tab w:val="clear" w:pos="-1980"/>
              </w:tabs>
              <w:ind w:left="0"/>
              <w:jc w:val="center"/>
              <w:rPr>
                <w:b/>
                <w:sz w:val="20"/>
                <w:lang w:val="es-ES"/>
              </w:rPr>
            </w:pPr>
            <w:r w:rsidRPr="0000522C">
              <w:rPr>
                <w:b/>
                <w:sz w:val="20"/>
                <w:lang w:val="es-ES"/>
              </w:rPr>
              <w:t>NEGOCIOS FINANC.</w:t>
            </w:r>
          </w:p>
        </w:tc>
        <w:tc>
          <w:tcPr>
            <w:tcW w:w="2329" w:type="dxa"/>
          </w:tcPr>
          <w:p w:rsidR="009C57A7" w:rsidRPr="0000522C" w:rsidRDefault="009C57A7" w:rsidP="009C57A7">
            <w:pPr>
              <w:pStyle w:val="Sangra2detindependiente"/>
              <w:tabs>
                <w:tab w:val="clear" w:pos="-2160"/>
                <w:tab w:val="clear" w:pos="-1980"/>
              </w:tabs>
              <w:ind w:left="0"/>
              <w:jc w:val="center"/>
              <w:rPr>
                <w:b/>
                <w:sz w:val="20"/>
                <w:lang w:val="es-ES"/>
              </w:rPr>
            </w:pPr>
            <w:r w:rsidRPr="0000522C">
              <w:rPr>
                <w:b/>
                <w:sz w:val="20"/>
                <w:lang w:val="es-ES"/>
              </w:rPr>
              <w:t>% EMPLEADOS</w:t>
            </w:r>
          </w:p>
          <w:p w:rsidR="009C57A7" w:rsidRPr="0000522C" w:rsidRDefault="009C57A7" w:rsidP="009C57A7">
            <w:pPr>
              <w:pStyle w:val="Sangra2detindependiente"/>
              <w:tabs>
                <w:tab w:val="clear" w:pos="-2160"/>
                <w:tab w:val="clear" w:pos="-1980"/>
              </w:tabs>
              <w:ind w:left="0"/>
              <w:jc w:val="center"/>
              <w:rPr>
                <w:b/>
                <w:sz w:val="20"/>
                <w:lang w:val="es-ES"/>
              </w:rPr>
            </w:pPr>
            <w:r w:rsidRPr="0000522C">
              <w:rPr>
                <w:b/>
                <w:sz w:val="20"/>
                <w:lang w:val="es-ES"/>
              </w:rPr>
              <w:t>DE APOYO</w:t>
            </w:r>
          </w:p>
        </w:tc>
      </w:tr>
      <w:tr w:rsidR="009C57A7" w:rsidRPr="0000522C" w:rsidTr="009C57A7">
        <w:trPr>
          <w:trHeight w:val="217"/>
        </w:trPr>
        <w:tc>
          <w:tcPr>
            <w:tcW w:w="931" w:type="dxa"/>
          </w:tcPr>
          <w:p w:rsidR="009C57A7" w:rsidRPr="0000522C" w:rsidRDefault="009C57A7" w:rsidP="009C57A7">
            <w:pPr>
              <w:pStyle w:val="Sangra2detindependiente"/>
              <w:tabs>
                <w:tab w:val="clear" w:pos="-2160"/>
                <w:tab w:val="clear" w:pos="-1980"/>
              </w:tabs>
              <w:ind w:left="0"/>
              <w:jc w:val="center"/>
              <w:rPr>
                <w:b/>
                <w:bCs/>
                <w:sz w:val="20"/>
                <w:lang w:val="es-ES"/>
              </w:rPr>
            </w:pPr>
            <w:r w:rsidRPr="0000522C">
              <w:rPr>
                <w:b/>
                <w:bCs/>
                <w:sz w:val="20"/>
                <w:lang w:val="es-ES"/>
              </w:rPr>
              <w:t>2016</w:t>
            </w:r>
          </w:p>
        </w:tc>
        <w:tc>
          <w:tcPr>
            <w:tcW w:w="1863" w:type="dxa"/>
          </w:tcPr>
          <w:p w:rsidR="009C57A7" w:rsidRPr="0000522C" w:rsidRDefault="009C57A7" w:rsidP="009C57A7">
            <w:pPr>
              <w:pStyle w:val="Sangra2detindependiente"/>
              <w:tabs>
                <w:tab w:val="clear" w:pos="-2160"/>
                <w:tab w:val="clear" w:pos="-1980"/>
                <w:tab w:val="left" w:pos="420"/>
                <w:tab w:val="center" w:pos="639"/>
              </w:tabs>
              <w:ind w:left="0"/>
              <w:jc w:val="center"/>
              <w:rPr>
                <w:sz w:val="20"/>
                <w:lang w:val="es-ES"/>
              </w:rPr>
            </w:pPr>
            <w:r w:rsidRPr="0000522C">
              <w:rPr>
                <w:sz w:val="20"/>
                <w:lang w:val="es-ES"/>
              </w:rPr>
              <w:t>1,039</w:t>
            </w:r>
          </w:p>
        </w:tc>
        <w:tc>
          <w:tcPr>
            <w:tcW w:w="2328" w:type="dxa"/>
          </w:tcPr>
          <w:p w:rsidR="009C57A7" w:rsidRPr="0000522C" w:rsidRDefault="009C57A7" w:rsidP="009C57A7">
            <w:pPr>
              <w:pStyle w:val="Sangra2detindependiente"/>
              <w:tabs>
                <w:tab w:val="clear" w:pos="-2160"/>
                <w:tab w:val="clear" w:pos="-1980"/>
              </w:tabs>
              <w:ind w:left="0"/>
              <w:jc w:val="center"/>
              <w:rPr>
                <w:sz w:val="20"/>
                <w:lang w:val="es-ES"/>
              </w:rPr>
            </w:pPr>
            <w:r w:rsidRPr="0000522C">
              <w:rPr>
                <w:sz w:val="20"/>
                <w:lang w:val="es-ES"/>
              </w:rPr>
              <w:t>78.0</w:t>
            </w:r>
          </w:p>
        </w:tc>
        <w:tc>
          <w:tcPr>
            <w:tcW w:w="2329" w:type="dxa"/>
          </w:tcPr>
          <w:p w:rsidR="009C57A7" w:rsidRPr="0000522C" w:rsidRDefault="009C57A7" w:rsidP="009C57A7">
            <w:pPr>
              <w:pStyle w:val="Sangra2detindependiente"/>
              <w:tabs>
                <w:tab w:val="clear" w:pos="-2160"/>
                <w:tab w:val="clear" w:pos="-1980"/>
              </w:tabs>
              <w:ind w:left="0"/>
              <w:jc w:val="center"/>
              <w:rPr>
                <w:sz w:val="20"/>
                <w:lang w:val="es-ES"/>
              </w:rPr>
            </w:pPr>
            <w:r w:rsidRPr="0000522C">
              <w:rPr>
                <w:sz w:val="20"/>
                <w:lang w:val="es-ES"/>
              </w:rPr>
              <w:t>22.0</w:t>
            </w:r>
          </w:p>
        </w:tc>
      </w:tr>
      <w:tr w:rsidR="009C57A7" w:rsidRPr="0000522C" w:rsidTr="009C57A7">
        <w:trPr>
          <w:trHeight w:val="230"/>
        </w:trPr>
        <w:tc>
          <w:tcPr>
            <w:tcW w:w="931" w:type="dxa"/>
          </w:tcPr>
          <w:p w:rsidR="009C57A7" w:rsidRPr="0000522C" w:rsidRDefault="009C57A7" w:rsidP="009C57A7">
            <w:pPr>
              <w:pStyle w:val="Sangra2detindependiente"/>
              <w:tabs>
                <w:tab w:val="clear" w:pos="-2160"/>
                <w:tab w:val="clear" w:pos="-1980"/>
              </w:tabs>
              <w:ind w:left="0"/>
              <w:jc w:val="center"/>
              <w:rPr>
                <w:b/>
                <w:bCs/>
                <w:sz w:val="20"/>
                <w:lang w:val="es-ES"/>
              </w:rPr>
            </w:pPr>
            <w:r w:rsidRPr="0000522C">
              <w:rPr>
                <w:b/>
                <w:bCs/>
                <w:sz w:val="20"/>
                <w:lang w:val="es-ES"/>
              </w:rPr>
              <w:t>2015</w:t>
            </w:r>
          </w:p>
        </w:tc>
        <w:tc>
          <w:tcPr>
            <w:tcW w:w="1863" w:type="dxa"/>
          </w:tcPr>
          <w:p w:rsidR="009C57A7" w:rsidRPr="0000522C" w:rsidRDefault="009C57A7" w:rsidP="009C57A7">
            <w:pPr>
              <w:pStyle w:val="Sangra2detindependiente"/>
              <w:tabs>
                <w:tab w:val="clear" w:pos="-2160"/>
                <w:tab w:val="clear" w:pos="-1980"/>
              </w:tabs>
              <w:ind w:left="0"/>
              <w:jc w:val="center"/>
              <w:rPr>
                <w:sz w:val="20"/>
                <w:lang w:val="es-ES"/>
              </w:rPr>
            </w:pPr>
            <w:r w:rsidRPr="0000522C">
              <w:rPr>
                <w:sz w:val="20"/>
                <w:lang w:val="es-ES"/>
              </w:rPr>
              <w:t>986</w:t>
            </w:r>
          </w:p>
        </w:tc>
        <w:tc>
          <w:tcPr>
            <w:tcW w:w="2328" w:type="dxa"/>
          </w:tcPr>
          <w:p w:rsidR="009C57A7" w:rsidRPr="0000522C" w:rsidRDefault="009C57A7" w:rsidP="009C57A7">
            <w:pPr>
              <w:pStyle w:val="Sangra2detindependiente"/>
              <w:tabs>
                <w:tab w:val="clear" w:pos="-2160"/>
                <w:tab w:val="clear" w:pos="-1980"/>
              </w:tabs>
              <w:ind w:left="0"/>
              <w:jc w:val="center"/>
              <w:rPr>
                <w:sz w:val="20"/>
                <w:lang w:val="es-ES"/>
              </w:rPr>
            </w:pPr>
            <w:r w:rsidRPr="0000522C">
              <w:rPr>
                <w:sz w:val="20"/>
                <w:lang w:val="es-ES"/>
              </w:rPr>
              <w:t>78.3</w:t>
            </w:r>
          </w:p>
        </w:tc>
        <w:tc>
          <w:tcPr>
            <w:tcW w:w="2329" w:type="dxa"/>
          </w:tcPr>
          <w:p w:rsidR="009C57A7" w:rsidRPr="0000522C" w:rsidRDefault="009C57A7" w:rsidP="009C57A7">
            <w:pPr>
              <w:pStyle w:val="Sangra2detindependiente"/>
              <w:tabs>
                <w:tab w:val="clear" w:pos="-2160"/>
                <w:tab w:val="clear" w:pos="-1980"/>
              </w:tabs>
              <w:ind w:left="0"/>
              <w:jc w:val="center"/>
              <w:rPr>
                <w:sz w:val="20"/>
                <w:lang w:val="es-ES"/>
              </w:rPr>
            </w:pPr>
            <w:r w:rsidRPr="0000522C">
              <w:rPr>
                <w:sz w:val="20"/>
                <w:lang w:val="es-ES"/>
              </w:rPr>
              <w:t>21.7</w:t>
            </w:r>
          </w:p>
        </w:tc>
      </w:tr>
    </w:tbl>
    <w:p w:rsidR="009C57A7" w:rsidRPr="0000522C" w:rsidRDefault="009C57A7" w:rsidP="009C57A7">
      <w:pPr>
        <w:rPr>
          <w:snapToGrid w:val="0"/>
          <w:sz w:val="24"/>
          <w:lang w:val="es-ES_tradnl"/>
        </w:rPr>
      </w:pPr>
    </w:p>
    <w:p w:rsidR="009C57A7" w:rsidRPr="0000522C" w:rsidRDefault="009C57A7" w:rsidP="009C57A7">
      <w:pPr>
        <w:rPr>
          <w:snapToGrid w:val="0"/>
          <w:sz w:val="24"/>
          <w:lang w:val="es-ES_tradnl"/>
        </w:rPr>
      </w:pPr>
      <w:r w:rsidRPr="0000522C">
        <w:rPr>
          <w:snapToGrid w:val="0"/>
          <w:sz w:val="24"/>
          <w:lang w:val="es-ES_tradnl"/>
        </w:rPr>
        <w:t>El incremento de personal,</w:t>
      </w:r>
      <w:r w:rsidR="00B35BA4" w:rsidRPr="0000522C">
        <w:rPr>
          <w:snapToGrid w:val="0"/>
          <w:sz w:val="24"/>
          <w:lang w:val="es-ES_tradnl"/>
        </w:rPr>
        <w:t xml:space="preserve">  se debe a la prestación de nuevos productos y servicios que ofrece el Banco a partir de la fecha.</w:t>
      </w:r>
      <w:r w:rsidRPr="0000522C">
        <w:rPr>
          <w:snapToGrid w:val="0"/>
          <w:sz w:val="24"/>
          <w:lang w:val="es-ES_tradnl"/>
        </w:rPr>
        <w:t xml:space="preserve"> </w:t>
      </w:r>
    </w:p>
    <w:p w:rsidR="00224EDB" w:rsidRPr="0000522C" w:rsidRDefault="00224EDB" w:rsidP="00224EDB">
      <w:pPr>
        <w:rPr>
          <w:snapToGrid w:val="0"/>
          <w:sz w:val="24"/>
          <w:lang w:val="es-ES_tradnl"/>
        </w:rPr>
      </w:pPr>
    </w:p>
    <w:p w:rsidR="00F50F2C" w:rsidRPr="0000522C" w:rsidRDefault="00F50F2C" w:rsidP="00F50F2C">
      <w:pPr>
        <w:rPr>
          <w:snapToGrid w:val="0"/>
          <w:sz w:val="24"/>
          <w:lang w:val="es-ES_tradnl"/>
        </w:rPr>
      </w:pPr>
    </w:p>
    <w:p w:rsidR="00441518" w:rsidRPr="0000522C" w:rsidRDefault="00441518" w:rsidP="00B15414">
      <w:pPr>
        <w:pStyle w:val="Ttulo7"/>
        <w:numPr>
          <w:ilvl w:val="0"/>
          <w:numId w:val="2"/>
        </w:numPr>
        <w:tabs>
          <w:tab w:val="left" w:pos="1134"/>
          <w:tab w:val="num" w:pos="1276"/>
        </w:tabs>
        <w:ind w:left="1276" w:hanging="1276"/>
      </w:pPr>
      <w:r w:rsidRPr="0000522C">
        <w:t>OPERACIONES CONTINGENTES</w:t>
      </w:r>
      <w:r w:rsidRPr="0000522C">
        <w:rPr>
          <w:shd w:val="clear" w:color="auto" w:fill="00FF00"/>
        </w:rPr>
        <w:t xml:space="preserve"> </w:t>
      </w:r>
    </w:p>
    <w:p w:rsidR="00441518" w:rsidRPr="0000522C" w:rsidRDefault="00441518">
      <w:pPr>
        <w:pStyle w:val="Revisin"/>
      </w:pPr>
    </w:p>
    <w:p w:rsidR="00BB5052" w:rsidRPr="0000522C" w:rsidRDefault="00BB5052" w:rsidP="00BB5052">
      <w:pPr>
        <w:tabs>
          <w:tab w:val="left" w:pos="-2160"/>
          <w:tab w:val="left" w:pos="-1980"/>
          <w:tab w:val="left" w:pos="709"/>
        </w:tabs>
        <w:snapToGrid w:val="0"/>
        <w:jc w:val="both"/>
        <w:rPr>
          <w:sz w:val="22"/>
        </w:rPr>
      </w:pPr>
      <w:r w:rsidRPr="0000522C">
        <w:rPr>
          <w:sz w:val="24"/>
        </w:rPr>
        <w:t>A la fecha de referencia de los Estados Financieros, las denominadas operaciones contingentes son las siguientes</w:t>
      </w:r>
      <w:r w:rsidRPr="0000522C">
        <w:rPr>
          <w:sz w:val="22"/>
        </w:rPr>
        <w:t>:</w:t>
      </w:r>
    </w:p>
    <w:p w:rsidR="004E440D" w:rsidRPr="0000522C" w:rsidRDefault="004E440D" w:rsidP="004E440D">
      <w:pPr>
        <w:tabs>
          <w:tab w:val="left" w:pos="-2160"/>
          <w:tab w:val="left" w:pos="-1980"/>
          <w:tab w:val="left" w:pos="709"/>
        </w:tabs>
        <w:snapToGrid w:val="0"/>
        <w:jc w:val="both"/>
      </w:pPr>
    </w:p>
    <w:bookmarkStart w:id="782" w:name="_MON_1451284351"/>
    <w:bookmarkStart w:id="783" w:name="_MON_1451284365"/>
    <w:bookmarkStart w:id="784" w:name="_MON_1451284367"/>
    <w:bookmarkStart w:id="785" w:name="_MON_1451284387"/>
    <w:bookmarkStart w:id="786" w:name="_MON_1451284391"/>
    <w:bookmarkStart w:id="787" w:name="_MON_1451284402"/>
    <w:bookmarkStart w:id="788" w:name="_MON_1451284426"/>
    <w:bookmarkStart w:id="789" w:name="_MON_1451284429"/>
    <w:bookmarkStart w:id="790" w:name="_MON_1451284432"/>
    <w:bookmarkStart w:id="791" w:name="_MON_1451284448"/>
    <w:bookmarkStart w:id="792" w:name="_MON_1451284461"/>
    <w:bookmarkStart w:id="793" w:name="_MON_1451284505"/>
    <w:bookmarkStart w:id="794" w:name="_MON_1451284508"/>
    <w:bookmarkStart w:id="795" w:name="_MON_1451284537"/>
    <w:bookmarkStart w:id="796" w:name="_MON_1451284598"/>
    <w:bookmarkStart w:id="797" w:name="_MON_1451284614"/>
    <w:bookmarkStart w:id="798" w:name="_MON_1451298922"/>
    <w:bookmarkStart w:id="799" w:name="_MON_1451299333"/>
    <w:bookmarkStart w:id="800" w:name="_MON_1452072607"/>
    <w:bookmarkStart w:id="801" w:name="_MON_1452343174"/>
    <w:bookmarkStart w:id="802" w:name="_MON_1458376080"/>
    <w:bookmarkStart w:id="803" w:name="_MON_1458376486"/>
    <w:bookmarkStart w:id="804" w:name="_MON_1458376618"/>
    <w:bookmarkStart w:id="805" w:name="_MON_1458376928"/>
    <w:bookmarkStart w:id="806" w:name="_MON_1458376945"/>
    <w:bookmarkStart w:id="807" w:name="_MON_1458377097"/>
    <w:bookmarkStart w:id="808" w:name="_MON_1458377947"/>
    <w:bookmarkStart w:id="809" w:name="_MON_1458385378"/>
    <w:bookmarkStart w:id="810" w:name="_MON_1458385394"/>
    <w:bookmarkStart w:id="811" w:name="_MON_1458385500"/>
    <w:bookmarkStart w:id="812" w:name="_MON_1458385510"/>
    <w:bookmarkStart w:id="813" w:name="_MON_1458385519"/>
    <w:bookmarkStart w:id="814" w:name="_MON_1458385534"/>
    <w:bookmarkStart w:id="815" w:name="_MON_1458385583"/>
    <w:bookmarkStart w:id="816" w:name="_MON_1458385626"/>
    <w:bookmarkStart w:id="817" w:name="_MON_1458737126"/>
    <w:bookmarkStart w:id="818" w:name="_MON_1442755253"/>
    <w:bookmarkStart w:id="819" w:name="_MON_1442755268"/>
    <w:bookmarkStart w:id="820" w:name="_MON_1442812662"/>
    <w:bookmarkStart w:id="821" w:name="_MON_1442812790"/>
    <w:bookmarkStart w:id="822" w:name="_MON_1442813512"/>
    <w:bookmarkStart w:id="823" w:name="_MON_1442813550"/>
    <w:bookmarkStart w:id="824" w:name="_MON_1442813618"/>
    <w:bookmarkStart w:id="825" w:name="_MON_1442814228"/>
    <w:bookmarkStart w:id="826" w:name="_MON_1442814234"/>
    <w:bookmarkStart w:id="827" w:name="_MON_1442814614"/>
    <w:bookmarkStart w:id="828" w:name="_MON_1442814651"/>
    <w:bookmarkStart w:id="829" w:name="_MON_1442814663"/>
    <w:bookmarkStart w:id="830" w:name="_MON_1442815837"/>
    <w:bookmarkStart w:id="831" w:name="_MON_1442815874"/>
    <w:bookmarkStart w:id="832" w:name="_MON_1442816522"/>
    <w:bookmarkStart w:id="833" w:name="_MON_1442819075"/>
    <w:bookmarkStart w:id="834" w:name="_MON_1442819139"/>
    <w:bookmarkStart w:id="835" w:name="_MON_1442819163"/>
    <w:bookmarkStart w:id="836" w:name="_MON_1442819318"/>
    <w:bookmarkStart w:id="837" w:name="_MON_1442819413"/>
    <w:bookmarkStart w:id="838" w:name="_MON_1442819436"/>
    <w:bookmarkStart w:id="839" w:name="_MON_1442821794"/>
    <w:bookmarkStart w:id="840" w:name="_MON_1451283419"/>
    <w:bookmarkStart w:id="841" w:name="_MON_1451283424"/>
    <w:bookmarkStart w:id="842" w:name="_MON_1451283669"/>
    <w:bookmarkStart w:id="843" w:name="_MON_1451283673"/>
    <w:bookmarkStart w:id="844" w:name="_MON_1451283791"/>
    <w:bookmarkStart w:id="845" w:name="_MON_1451283968"/>
    <w:bookmarkStart w:id="846" w:name="_MON_1451284003"/>
    <w:bookmarkStart w:id="847" w:name="_MON_1451284020"/>
    <w:bookmarkStart w:id="848" w:name="_MON_1451284253"/>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Start w:id="849" w:name="_MON_1451284311"/>
    <w:bookmarkEnd w:id="849"/>
    <w:p w:rsidR="00BB5052" w:rsidRPr="0000522C" w:rsidRDefault="004E440D" w:rsidP="004E440D">
      <w:r w:rsidRPr="0000522C">
        <w:object w:dxaOrig="6015" w:dyaOrig="1097">
          <v:shape id="_x0000_i1047" type="#_x0000_t75" style="width:301pt;height:54pt" o:ole="">
            <v:imagedata r:id="rId59" o:title=""/>
          </v:shape>
          <o:OLEObject Type="Embed" ProgID="Excel.Sheet.8" ShapeID="_x0000_i1047" DrawAspect="Content" ObjectID="_1539668673" r:id="rId60"/>
        </w:object>
      </w:r>
    </w:p>
    <w:p w:rsidR="001E0A11" w:rsidRPr="0000522C" w:rsidRDefault="001E0A11" w:rsidP="001E0A11"/>
    <w:p w:rsidR="0057082A" w:rsidRPr="0000522C" w:rsidRDefault="0057082A" w:rsidP="001E0A11"/>
    <w:p w:rsidR="00441518" w:rsidRPr="0000522C" w:rsidRDefault="00441518" w:rsidP="00B15414">
      <w:pPr>
        <w:pStyle w:val="Ttulo7"/>
        <w:numPr>
          <w:ilvl w:val="0"/>
          <w:numId w:val="2"/>
        </w:numPr>
        <w:tabs>
          <w:tab w:val="left" w:pos="1134"/>
          <w:tab w:val="num" w:pos="1276"/>
        </w:tabs>
        <w:ind w:left="1276" w:hanging="1276"/>
        <w:rPr>
          <w:bCs/>
        </w:rPr>
      </w:pPr>
      <w:r w:rsidRPr="0000522C">
        <w:rPr>
          <w:bCs/>
        </w:rPr>
        <w:t xml:space="preserve">LITIGIOS PENDIENTES </w:t>
      </w:r>
    </w:p>
    <w:p w:rsidR="00441518" w:rsidRPr="0000522C" w:rsidRDefault="00441518"/>
    <w:p w:rsidR="00BF54C4" w:rsidRPr="0000522C" w:rsidRDefault="00BF54C4" w:rsidP="00BF54C4">
      <w:pPr>
        <w:rPr>
          <w:sz w:val="24"/>
          <w:szCs w:val="24"/>
        </w:rPr>
      </w:pPr>
      <w:r w:rsidRPr="0000522C">
        <w:rPr>
          <w:sz w:val="24"/>
          <w:szCs w:val="24"/>
        </w:rPr>
        <w:t>El detalle de los litigios pendientes a la fecha de los Estados Financieros es el siguiente:</w:t>
      </w:r>
    </w:p>
    <w:p w:rsidR="00BF54C4" w:rsidRPr="0000522C" w:rsidRDefault="00BF54C4" w:rsidP="00BF54C4">
      <w:pPr>
        <w:rPr>
          <w:sz w:val="24"/>
          <w:szCs w:val="24"/>
        </w:rPr>
      </w:pPr>
    </w:p>
    <w:p w:rsidR="00BF54C4" w:rsidRPr="0000522C" w:rsidRDefault="00BF54C4" w:rsidP="00BF54C4">
      <w:pPr>
        <w:rPr>
          <w:sz w:val="24"/>
          <w:szCs w:val="24"/>
        </w:rPr>
      </w:pPr>
      <w:r w:rsidRPr="0000522C">
        <w:rPr>
          <w:sz w:val="24"/>
          <w:szCs w:val="24"/>
        </w:rPr>
        <w:t>Al 30 de septiembre de 2016 y 2015, se tiene 232 y 230 casos, por montos de $3,628.8 y $3,563.2, respectivamente, en los Juzgados de lo Mercantil por reclamación de créditos.</w:t>
      </w:r>
    </w:p>
    <w:p w:rsidR="00BF54C4" w:rsidRPr="0000522C" w:rsidRDefault="00BF54C4" w:rsidP="00BF54C4">
      <w:pPr>
        <w:rPr>
          <w:sz w:val="24"/>
          <w:szCs w:val="24"/>
        </w:rPr>
      </w:pPr>
    </w:p>
    <w:p w:rsidR="00BF54C4" w:rsidRPr="0000522C" w:rsidRDefault="00BF54C4" w:rsidP="00BF54C4">
      <w:pPr>
        <w:rPr>
          <w:sz w:val="24"/>
          <w:szCs w:val="24"/>
        </w:rPr>
      </w:pPr>
      <w:r w:rsidRPr="0000522C">
        <w:rPr>
          <w:sz w:val="24"/>
          <w:szCs w:val="24"/>
        </w:rPr>
        <w:t>Al 30 de septiembre de 2016 y 2015, se tienen 1 y 3 Juicios Civiles Ejecutivos, en los cuales el Banco ha demandado el pago de $23.6 y $24.1, respectivamente.</w:t>
      </w:r>
    </w:p>
    <w:p w:rsidR="00BF54C4" w:rsidRPr="0000522C" w:rsidRDefault="00BF54C4" w:rsidP="00BF54C4">
      <w:pPr>
        <w:rPr>
          <w:sz w:val="24"/>
          <w:szCs w:val="24"/>
        </w:rPr>
      </w:pPr>
    </w:p>
    <w:p w:rsidR="00BF54C4" w:rsidRPr="0000522C" w:rsidRDefault="00BF54C4" w:rsidP="00BF54C4">
      <w:pPr>
        <w:rPr>
          <w:sz w:val="24"/>
          <w:szCs w:val="24"/>
        </w:rPr>
      </w:pPr>
      <w:r w:rsidRPr="0000522C">
        <w:rPr>
          <w:sz w:val="24"/>
          <w:szCs w:val="24"/>
        </w:rPr>
        <w:t>A</w:t>
      </w:r>
      <w:r w:rsidR="00123B92" w:rsidRPr="0000522C">
        <w:rPr>
          <w:sz w:val="24"/>
          <w:szCs w:val="24"/>
        </w:rPr>
        <w:t>l</w:t>
      </w:r>
      <w:r w:rsidRPr="0000522C">
        <w:rPr>
          <w:sz w:val="24"/>
          <w:szCs w:val="24"/>
        </w:rPr>
        <w:t xml:space="preserve"> 30 de septiembre de 2016 y 201</w:t>
      </w:r>
      <w:r w:rsidR="00D64880" w:rsidRPr="0000522C">
        <w:rPr>
          <w:sz w:val="24"/>
          <w:szCs w:val="24"/>
        </w:rPr>
        <w:t>5</w:t>
      </w:r>
      <w:r w:rsidRPr="0000522C">
        <w:rPr>
          <w:sz w:val="24"/>
          <w:szCs w:val="24"/>
        </w:rPr>
        <w:t xml:space="preserve"> se tienen en los Juzgados de Instrucción 2 y 5 casos, por un monto de $2.8 y $134.3, respectivamente.</w:t>
      </w:r>
    </w:p>
    <w:p w:rsidR="00BF54C4" w:rsidRPr="0000522C" w:rsidRDefault="00BF54C4" w:rsidP="00BF54C4">
      <w:pPr>
        <w:rPr>
          <w:sz w:val="24"/>
          <w:szCs w:val="24"/>
        </w:rPr>
      </w:pPr>
    </w:p>
    <w:p w:rsidR="00BF54C4" w:rsidRPr="0000522C" w:rsidRDefault="00BF54C4" w:rsidP="00BF54C4">
      <w:pPr>
        <w:rPr>
          <w:sz w:val="24"/>
          <w:szCs w:val="24"/>
        </w:rPr>
      </w:pPr>
      <w:r w:rsidRPr="0000522C">
        <w:rPr>
          <w:sz w:val="24"/>
          <w:szCs w:val="24"/>
        </w:rPr>
        <w:t>Asimismo, a las fechas mencionadas se tiene 1 Juicio Sumario Mercantil por $3,843.7.</w:t>
      </w:r>
    </w:p>
    <w:p w:rsidR="00BF54C4" w:rsidRPr="0000522C" w:rsidRDefault="00BF54C4" w:rsidP="00BF54C4">
      <w:pPr>
        <w:spacing w:line="276" w:lineRule="auto"/>
        <w:rPr>
          <w:rFonts w:eastAsiaTheme="minorHAnsi"/>
          <w:sz w:val="24"/>
          <w:szCs w:val="24"/>
          <w:lang w:val="es-SV" w:eastAsia="en-US"/>
        </w:rPr>
      </w:pPr>
    </w:p>
    <w:p w:rsidR="00BF54C4" w:rsidRPr="0000522C" w:rsidRDefault="00BF54C4" w:rsidP="00BF54C4">
      <w:pPr>
        <w:spacing w:line="276" w:lineRule="auto"/>
        <w:rPr>
          <w:rFonts w:eastAsiaTheme="minorHAnsi"/>
          <w:sz w:val="24"/>
          <w:szCs w:val="22"/>
          <w:lang w:val="es-ES_tradnl" w:eastAsia="en-US"/>
        </w:rPr>
      </w:pPr>
      <w:r w:rsidRPr="0000522C">
        <w:rPr>
          <w:rFonts w:eastAsiaTheme="minorHAnsi"/>
          <w:sz w:val="24"/>
          <w:szCs w:val="22"/>
          <w:lang w:val="es-ES_tradnl" w:eastAsia="en-US"/>
        </w:rPr>
        <w:t xml:space="preserve">Al 30 de septiembre de 2015, el Banco </w:t>
      </w:r>
      <w:r w:rsidR="006410DC" w:rsidRPr="0000522C">
        <w:rPr>
          <w:rFonts w:eastAsiaTheme="minorHAnsi"/>
          <w:sz w:val="24"/>
          <w:szCs w:val="22"/>
          <w:lang w:val="es-ES_tradnl" w:eastAsia="en-US"/>
        </w:rPr>
        <w:t>había</w:t>
      </w:r>
      <w:r w:rsidRPr="0000522C">
        <w:rPr>
          <w:rFonts w:eastAsiaTheme="minorHAnsi"/>
          <w:sz w:val="24"/>
          <w:szCs w:val="22"/>
          <w:lang w:val="es-ES_tradnl" w:eastAsia="en-US"/>
        </w:rPr>
        <w:t xml:space="preserve"> interpuesto 2 demandas de amparo $19.7</w:t>
      </w:r>
      <w:r w:rsidR="006410DC" w:rsidRPr="0000522C">
        <w:rPr>
          <w:rFonts w:eastAsiaTheme="minorHAnsi"/>
          <w:sz w:val="24"/>
          <w:szCs w:val="22"/>
          <w:lang w:val="es-ES_tradnl" w:eastAsia="en-US"/>
        </w:rPr>
        <w:t>.</w:t>
      </w:r>
      <w:r w:rsidRPr="0000522C">
        <w:rPr>
          <w:rFonts w:eastAsiaTheme="minorHAnsi"/>
          <w:sz w:val="24"/>
          <w:szCs w:val="22"/>
          <w:lang w:val="es-ES_tradnl" w:eastAsia="en-US"/>
        </w:rPr>
        <w:t xml:space="preserve"> </w:t>
      </w:r>
    </w:p>
    <w:p w:rsidR="006410DC" w:rsidRPr="0000522C" w:rsidRDefault="006410DC" w:rsidP="00BF54C4">
      <w:pPr>
        <w:spacing w:line="276" w:lineRule="auto"/>
        <w:rPr>
          <w:rFonts w:eastAsiaTheme="minorHAnsi"/>
          <w:sz w:val="24"/>
          <w:szCs w:val="22"/>
          <w:lang w:val="es-ES_tradnl" w:eastAsia="en-US"/>
        </w:rPr>
      </w:pPr>
    </w:p>
    <w:p w:rsidR="00BF54C4" w:rsidRPr="0000522C" w:rsidRDefault="00BF54C4" w:rsidP="00BF54C4">
      <w:pPr>
        <w:spacing w:after="200" w:line="276" w:lineRule="auto"/>
        <w:rPr>
          <w:rFonts w:eastAsiaTheme="minorHAnsi"/>
          <w:sz w:val="24"/>
          <w:szCs w:val="22"/>
          <w:lang w:val="es-ES_tradnl" w:eastAsia="en-US"/>
        </w:rPr>
      </w:pPr>
      <w:r w:rsidRPr="0000522C">
        <w:rPr>
          <w:rFonts w:eastAsiaTheme="minorHAnsi"/>
          <w:sz w:val="24"/>
          <w:szCs w:val="22"/>
          <w:lang w:val="es-ES_tradnl" w:eastAsia="en-US"/>
        </w:rPr>
        <w:t xml:space="preserve">Al 30 de septiembre de 2016 y 2015, se tienen </w:t>
      </w:r>
      <w:r w:rsidR="006410DC" w:rsidRPr="0000522C">
        <w:rPr>
          <w:rFonts w:eastAsiaTheme="minorHAnsi"/>
          <w:sz w:val="24"/>
          <w:szCs w:val="22"/>
          <w:lang w:val="es-ES_tradnl" w:eastAsia="en-US"/>
        </w:rPr>
        <w:t>3</w:t>
      </w:r>
      <w:r w:rsidRPr="0000522C">
        <w:rPr>
          <w:rFonts w:eastAsiaTheme="minorHAnsi"/>
          <w:sz w:val="24"/>
          <w:szCs w:val="22"/>
          <w:lang w:val="es-ES_tradnl" w:eastAsia="en-US"/>
        </w:rPr>
        <w:t xml:space="preserve"> y 2 juicios civiles promovidos contra el Banco por $135.9 y $123.1</w:t>
      </w:r>
    </w:p>
    <w:p w:rsidR="00BF54C4" w:rsidRPr="0000522C" w:rsidRDefault="00BF54C4" w:rsidP="00BF54C4">
      <w:pPr>
        <w:rPr>
          <w:sz w:val="24"/>
          <w:szCs w:val="24"/>
        </w:rPr>
      </w:pPr>
      <w:r w:rsidRPr="0000522C">
        <w:rPr>
          <w:sz w:val="24"/>
          <w:szCs w:val="24"/>
        </w:rPr>
        <w:t xml:space="preserve">Al 30 de septiembre de 2016, se tienen </w:t>
      </w:r>
      <w:r w:rsidR="006410DC" w:rsidRPr="0000522C">
        <w:rPr>
          <w:sz w:val="24"/>
          <w:szCs w:val="24"/>
        </w:rPr>
        <w:t>2</w:t>
      </w:r>
      <w:r w:rsidRPr="0000522C">
        <w:rPr>
          <w:sz w:val="24"/>
          <w:szCs w:val="24"/>
        </w:rPr>
        <w:t xml:space="preserve"> procesos laborales contra el Banco por $</w:t>
      </w:r>
      <w:r w:rsidR="006410DC" w:rsidRPr="0000522C">
        <w:rPr>
          <w:sz w:val="24"/>
          <w:szCs w:val="24"/>
        </w:rPr>
        <w:t>28.9</w:t>
      </w:r>
      <w:r w:rsidRPr="0000522C">
        <w:rPr>
          <w:sz w:val="24"/>
          <w:szCs w:val="24"/>
        </w:rPr>
        <w:t>.</w:t>
      </w:r>
    </w:p>
    <w:p w:rsidR="00BF54C4" w:rsidRPr="0000522C" w:rsidRDefault="00BF54C4" w:rsidP="00BF54C4">
      <w:pPr>
        <w:rPr>
          <w:sz w:val="24"/>
          <w:szCs w:val="24"/>
        </w:rPr>
      </w:pPr>
    </w:p>
    <w:p w:rsidR="00BF54C4" w:rsidRPr="0000522C" w:rsidRDefault="00BF54C4" w:rsidP="00BF54C4">
      <w:pPr>
        <w:rPr>
          <w:sz w:val="24"/>
          <w:szCs w:val="24"/>
        </w:rPr>
      </w:pPr>
      <w:r w:rsidRPr="0000522C">
        <w:rPr>
          <w:sz w:val="24"/>
          <w:szCs w:val="24"/>
        </w:rPr>
        <w:lastRenderedPageBreak/>
        <w:t>Al 30 de septiembre de 2016, se tiene un proceso penal promovido contra el Banco.</w:t>
      </w:r>
    </w:p>
    <w:p w:rsidR="007947FE" w:rsidRPr="0000522C" w:rsidRDefault="007947FE" w:rsidP="007947FE">
      <w:pPr>
        <w:tabs>
          <w:tab w:val="left" w:pos="-2160"/>
          <w:tab w:val="left" w:pos="-1980"/>
          <w:tab w:val="left" w:pos="709"/>
        </w:tabs>
        <w:snapToGrid w:val="0"/>
        <w:jc w:val="both"/>
        <w:rPr>
          <w:sz w:val="24"/>
        </w:rPr>
      </w:pPr>
    </w:p>
    <w:p w:rsidR="00C56802" w:rsidRPr="0000522C" w:rsidRDefault="00C56802" w:rsidP="00335701">
      <w:pPr>
        <w:rPr>
          <w:sz w:val="24"/>
          <w:szCs w:val="24"/>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PERSONAS RELACIONADAS Y ACCIONISTAS RELEVANTES</w:t>
      </w:r>
    </w:p>
    <w:p w:rsidR="00441518" w:rsidRPr="0000522C" w:rsidRDefault="00441518">
      <w:pPr>
        <w:pStyle w:val="Sangra2detindependiente"/>
        <w:tabs>
          <w:tab w:val="left" w:pos="709"/>
        </w:tabs>
        <w:ind w:left="0"/>
        <w:rPr>
          <w:b/>
          <w:lang w:val="es-ES"/>
        </w:rPr>
      </w:pPr>
    </w:p>
    <w:p w:rsidR="00B41215" w:rsidRPr="0000522C" w:rsidRDefault="00441518">
      <w:pPr>
        <w:pStyle w:val="Sangra2detindependiente"/>
        <w:tabs>
          <w:tab w:val="clear" w:pos="-2160"/>
          <w:tab w:val="clear" w:pos="-1980"/>
        </w:tabs>
        <w:ind w:left="0"/>
        <w:rPr>
          <w:lang w:val="es-ES"/>
        </w:rPr>
      </w:pPr>
      <w:r w:rsidRPr="0000522C">
        <w:rPr>
          <w:lang w:val="es-ES"/>
        </w:rPr>
        <w:t xml:space="preserve">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corresponde cuando tengan participación social en sociedades accionistas del Banco. </w:t>
      </w:r>
    </w:p>
    <w:p w:rsidR="00B41215" w:rsidRPr="0000522C" w:rsidRDefault="00B41215">
      <w:pPr>
        <w:pStyle w:val="Sangra2detindependiente"/>
        <w:tabs>
          <w:tab w:val="clear" w:pos="-2160"/>
          <w:tab w:val="clear" w:pos="-1980"/>
        </w:tabs>
        <w:ind w:left="0"/>
        <w:rPr>
          <w:lang w:val="es-ES"/>
        </w:rPr>
      </w:pPr>
    </w:p>
    <w:p w:rsidR="00441518" w:rsidRPr="0000522C" w:rsidRDefault="00441518">
      <w:pPr>
        <w:pStyle w:val="Sangra2detindependiente"/>
        <w:tabs>
          <w:tab w:val="clear" w:pos="-2160"/>
          <w:tab w:val="clear" w:pos="-1980"/>
        </w:tabs>
        <w:ind w:left="0"/>
        <w:rPr>
          <w:lang w:val="es-ES"/>
        </w:rPr>
      </w:pPr>
      <w:r w:rsidRPr="0000522C">
        <w:rPr>
          <w:lang w:val="es-ES"/>
        </w:rPr>
        <w:t xml:space="preserve">Dentro de las personas relacionadas existe un grupo a quienes la Ley de Bancos denomina accionistas relevantes, por ser titulares de al menos el diez por ciento de las acciones del Banco. También son personas relacionadas los Directores y Gerentes del Banco. </w:t>
      </w:r>
    </w:p>
    <w:p w:rsidR="00441518" w:rsidRPr="0000522C" w:rsidRDefault="00441518">
      <w:pPr>
        <w:pStyle w:val="Sangra2detindependiente"/>
        <w:tabs>
          <w:tab w:val="clear" w:pos="-2160"/>
          <w:tab w:val="clear" w:pos="-1980"/>
        </w:tabs>
        <w:ind w:left="0"/>
        <w:rPr>
          <w:lang w:val="es-ES"/>
        </w:rPr>
      </w:pPr>
    </w:p>
    <w:p w:rsidR="00441518" w:rsidRPr="0000522C" w:rsidRDefault="00441518">
      <w:pPr>
        <w:pStyle w:val="Textoindependiente2"/>
        <w:tabs>
          <w:tab w:val="clear" w:pos="-2160"/>
          <w:tab w:val="clear" w:pos="-1980"/>
        </w:tabs>
      </w:pPr>
      <w:r w:rsidRPr="0000522C">
        <w:t>El Banco de Fomento Agropecuario es una institución Oficial de Crédito, creada a través de una ley especial, por lo que su capital está constituido por aportes del Estado y no está representado por acciones, en consecuencia no se establecen accionistas relevantes, ni personas relacionadas por la titularidad de las acciones.</w:t>
      </w:r>
    </w:p>
    <w:p w:rsidR="00441518" w:rsidRPr="0000522C" w:rsidRDefault="00441518">
      <w:pPr>
        <w:jc w:val="both"/>
        <w:rPr>
          <w:b/>
          <w:bCs/>
          <w:sz w:val="24"/>
        </w:rPr>
      </w:pPr>
    </w:p>
    <w:p w:rsidR="00F76A58" w:rsidRPr="0000522C" w:rsidRDefault="00F76A58">
      <w:pPr>
        <w:jc w:val="both"/>
        <w:rPr>
          <w:b/>
          <w:bCs/>
          <w:sz w:val="24"/>
        </w:rPr>
      </w:pPr>
    </w:p>
    <w:p w:rsidR="00441518" w:rsidRPr="0000522C" w:rsidRDefault="00441518" w:rsidP="00B15414">
      <w:pPr>
        <w:pStyle w:val="Ttulo7"/>
        <w:numPr>
          <w:ilvl w:val="0"/>
          <w:numId w:val="2"/>
        </w:numPr>
        <w:tabs>
          <w:tab w:val="left" w:pos="1134"/>
          <w:tab w:val="num" w:pos="1276"/>
        </w:tabs>
        <w:ind w:left="1276" w:hanging="1276"/>
        <w:rPr>
          <w:bCs/>
        </w:rPr>
      </w:pPr>
      <w:bookmarkStart w:id="850" w:name="OLE_LINK16"/>
      <w:r w:rsidRPr="0000522C">
        <w:rPr>
          <w:bCs/>
        </w:rPr>
        <w:t>CRÉDITOS RELACIONADOS</w:t>
      </w:r>
    </w:p>
    <w:p w:rsidR="00441518" w:rsidRPr="0000522C" w:rsidRDefault="00441518">
      <w:pPr>
        <w:pStyle w:val="Textoindependiente2"/>
        <w:tabs>
          <w:tab w:val="left" w:pos="709"/>
        </w:tabs>
        <w:rPr>
          <w:szCs w:val="23"/>
        </w:rPr>
      </w:pPr>
    </w:p>
    <w:p w:rsidR="001A7C20" w:rsidRPr="0000522C" w:rsidRDefault="001A7C20" w:rsidP="001A7C20">
      <w:pPr>
        <w:jc w:val="both"/>
        <w:rPr>
          <w:sz w:val="24"/>
          <w:szCs w:val="24"/>
        </w:rPr>
      </w:pPr>
      <w:r w:rsidRPr="0000522C">
        <w:rPr>
          <w:sz w:val="24"/>
          <w:szCs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1A7C20" w:rsidRPr="0000522C" w:rsidRDefault="001A7C20" w:rsidP="001A7C20">
      <w:pPr>
        <w:jc w:val="both"/>
        <w:rPr>
          <w:sz w:val="24"/>
          <w:szCs w:val="24"/>
        </w:rPr>
      </w:pPr>
    </w:p>
    <w:p w:rsidR="001A7C20" w:rsidRPr="0000522C" w:rsidRDefault="001A7C20" w:rsidP="001A7C20">
      <w:pPr>
        <w:jc w:val="both"/>
        <w:rPr>
          <w:sz w:val="24"/>
          <w:szCs w:val="24"/>
        </w:rPr>
      </w:pPr>
      <w:r w:rsidRPr="0000522C">
        <w:rPr>
          <w:sz w:val="24"/>
          <w:szCs w:val="24"/>
        </w:rPr>
        <w:t>El capital y reservas de capital al 30 de septiembre de 2016 y 2015 es de $21,002.5 y $20,966.3, respectivamente. El total de créditos relacionados es de $853.0 y $701.9 para el 2016 y 2015, que representa el 4.1% y  3.3% del capital y reservas de capital de la entidad; distribuidos entre 37 deudores para ambos periodos.</w:t>
      </w:r>
    </w:p>
    <w:p w:rsidR="001A7C20" w:rsidRPr="0000522C" w:rsidRDefault="001A7C20" w:rsidP="001A7C20">
      <w:pPr>
        <w:jc w:val="both"/>
        <w:rPr>
          <w:sz w:val="24"/>
          <w:szCs w:val="24"/>
        </w:rPr>
      </w:pPr>
    </w:p>
    <w:p w:rsidR="001A7C20" w:rsidRPr="0000522C" w:rsidRDefault="001A7C20" w:rsidP="001A7C20">
      <w:pPr>
        <w:rPr>
          <w:sz w:val="24"/>
          <w:szCs w:val="24"/>
        </w:rPr>
      </w:pPr>
      <w:r w:rsidRPr="0000522C">
        <w:rPr>
          <w:sz w:val="24"/>
          <w:szCs w:val="24"/>
        </w:rPr>
        <w:t>Durante los períodos reportados el Banco le dio cumplimiento a las disposiciones sobre créditos relacionados antes referidas.</w:t>
      </w:r>
    </w:p>
    <w:p w:rsidR="00FF3DEB" w:rsidRPr="0000522C" w:rsidRDefault="00FF3DEB" w:rsidP="008942F7">
      <w:pPr>
        <w:rPr>
          <w:sz w:val="24"/>
          <w:szCs w:val="24"/>
        </w:rPr>
      </w:pPr>
    </w:p>
    <w:p w:rsidR="006B5F56" w:rsidRPr="0000522C" w:rsidRDefault="006B5F56" w:rsidP="008942F7">
      <w:pPr>
        <w:jc w:val="both"/>
        <w:rPr>
          <w:sz w:val="24"/>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CRÉDITOS A SUBSIDIARIAS EXTRANJERAS</w:t>
      </w:r>
    </w:p>
    <w:p w:rsidR="00441518" w:rsidRPr="0000522C" w:rsidRDefault="00441518">
      <w:pPr>
        <w:pStyle w:val="Textoindependiente2"/>
        <w:tabs>
          <w:tab w:val="left" w:pos="709"/>
        </w:tabs>
        <w:rPr>
          <w:szCs w:val="23"/>
        </w:rPr>
      </w:pPr>
    </w:p>
    <w:p w:rsidR="00441518" w:rsidRPr="0000522C" w:rsidRDefault="00441518">
      <w:pPr>
        <w:pStyle w:val="Textoindependiente2"/>
        <w:tabs>
          <w:tab w:val="left" w:pos="709"/>
        </w:tabs>
        <w:rPr>
          <w:szCs w:val="23"/>
        </w:rPr>
      </w:pPr>
      <w:r w:rsidRPr="0000522C">
        <w:rPr>
          <w:szCs w:val="23"/>
        </w:rPr>
        <w:t>De conformidad al artículo 23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441518" w:rsidRPr="0000522C" w:rsidRDefault="00441518">
      <w:pPr>
        <w:jc w:val="both"/>
        <w:rPr>
          <w:b/>
          <w:szCs w:val="23"/>
        </w:rPr>
      </w:pPr>
    </w:p>
    <w:p w:rsidR="00EA7C01" w:rsidRPr="0000522C" w:rsidRDefault="00EA7C01" w:rsidP="00EA7C01">
      <w:pPr>
        <w:pStyle w:val="Textoindependiente2"/>
        <w:tabs>
          <w:tab w:val="left" w:pos="709"/>
        </w:tabs>
        <w:rPr>
          <w:szCs w:val="23"/>
        </w:rPr>
      </w:pPr>
      <w:r w:rsidRPr="0000522C">
        <w:rPr>
          <w:szCs w:val="23"/>
        </w:rPr>
        <w:t xml:space="preserve">El Banco al </w:t>
      </w:r>
      <w:r w:rsidR="00421050" w:rsidRPr="0000522C">
        <w:rPr>
          <w:szCs w:val="23"/>
        </w:rPr>
        <w:t xml:space="preserve">30 de </w:t>
      </w:r>
      <w:r w:rsidR="00A8634A" w:rsidRPr="0000522C">
        <w:rPr>
          <w:szCs w:val="23"/>
        </w:rPr>
        <w:t xml:space="preserve"> septiembre </w:t>
      </w:r>
      <w:r w:rsidRPr="0000522C">
        <w:rPr>
          <w:szCs w:val="23"/>
        </w:rPr>
        <w:t>de</w:t>
      </w:r>
      <w:r w:rsidR="007126C5" w:rsidRPr="0000522C">
        <w:rPr>
          <w:szCs w:val="23"/>
        </w:rPr>
        <w:t xml:space="preserve"> 2016</w:t>
      </w:r>
      <w:r w:rsidR="001E0A11" w:rsidRPr="0000522C">
        <w:rPr>
          <w:szCs w:val="23"/>
        </w:rPr>
        <w:t xml:space="preserve"> y </w:t>
      </w:r>
      <w:r w:rsidR="007126C5" w:rsidRPr="0000522C">
        <w:rPr>
          <w:szCs w:val="23"/>
        </w:rPr>
        <w:t xml:space="preserve"> 2015</w:t>
      </w:r>
      <w:r w:rsidRPr="0000522C">
        <w:rPr>
          <w:szCs w:val="23"/>
        </w:rPr>
        <w:t>, no tenía subsidiarias.</w:t>
      </w:r>
    </w:p>
    <w:p w:rsidR="00EA7C01" w:rsidRPr="0000522C" w:rsidRDefault="00EA7C01" w:rsidP="00EA7C01">
      <w:pPr>
        <w:pStyle w:val="Textoindependiente2"/>
        <w:tabs>
          <w:tab w:val="left" w:pos="709"/>
        </w:tabs>
        <w:rPr>
          <w:szCs w:val="23"/>
        </w:rPr>
      </w:pPr>
    </w:p>
    <w:p w:rsidR="00441518" w:rsidRPr="0000522C" w:rsidRDefault="00441518">
      <w:pPr>
        <w:rPr>
          <w:sz w:val="24"/>
          <w:szCs w:val="23"/>
        </w:rPr>
      </w:pPr>
      <w:r w:rsidRPr="0000522C">
        <w:rPr>
          <w:sz w:val="24"/>
          <w:szCs w:val="23"/>
        </w:rPr>
        <w:lastRenderedPageBreak/>
        <w:t>Durante los períodos reportados el Banco le dio cumplimiento total a las disposiciones sobre créditos relacionados antes referidas.</w:t>
      </w:r>
    </w:p>
    <w:p w:rsidR="00F933E5" w:rsidRPr="0000522C" w:rsidRDefault="00F933E5">
      <w:pPr>
        <w:rPr>
          <w:sz w:val="24"/>
          <w:szCs w:val="23"/>
        </w:rPr>
      </w:pPr>
    </w:p>
    <w:p w:rsidR="009A511C" w:rsidRPr="0000522C" w:rsidRDefault="009A511C">
      <w:pPr>
        <w:rPr>
          <w:sz w:val="24"/>
          <w:szCs w:val="23"/>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CRÉDITOS A SUBSIDIARIAS NACIONALES</w:t>
      </w:r>
    </w:p>
    <w:p w:rsidR="00441518" w:rsidRPr="0000522C" w:rsidRDefault="00441518">
      <w:pPr>
        <w:jc w:val="both"/>
        <w:rPr>
          <w:b/>
          <w:sz w:val="24"/>
        </w:rPr>
      </w:pPr>
    </w:p>
    <w:bookmarkEnd w:id="850"/>
    <w:p w:rsidR="00C91159" w:rsidRPr="0000522C" w:rsidRDefault="00C91159" w:rsidP="00C91159">
      <w:pPr>
        <w:pStyle w:val="Textoindependiente2"/>
        <w:tabs>
          <w:tab w:val="left" w:pos="709"/>
        </w:tabs>
      </w:pPr>
      <w:r w:rsidRPr="0000522C">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421050" w:rsidRPr="0000522C" w:rsidRDefault="00421050" w:rsidP="00C91159">
      <w:pPr>
        <w:pStyle w:val="Textoindependiente2"/>
        <w:tabs>
          <w:tab w:val="left" w:pos="709"/>
        </w:tabs>
      </w:pPr>
    </w:p>
    <w:p w:rsidR="00C91159" w:rsidRPr="0000522C" w:rsidRDefault="00C91159" w:rsidP="00C91159">
      <w:pPr>
        <w:pStyle w:val="Textoindependiente2"/>
        <w:tabs>
          <w:tab w:val="left" w:pos="709"/>
        </w:tabs>
      </w:pPr>
      <w:r w:rsidRPr="0000522C">
        <w:t xml:space="preserve">El Banco al </w:t>
      </w:r>
      <w:r w:rsidR="00421050" w:rsidRPr="0000522C">
        <w:t xml:space="preserve">30 de </w:t>
      </w:r>
      <w:r w:rsidR="006F7C4A" w:rsidRPr="0000522C">
        <w:t>septiembre d</w:t>
      </w:r>
      <w:r w:rsidR="00F337EF" w:rsidRPr="0000522C">
        <w:t>e  2016 y 2015</w:t>
      </w:r>
      <w:r w:rsidRPr="0000522C">
        <w:t>, no tenía subsidiarias.</w:t>
      </w:r>
    </w:p>
    <w:p w:rsidR="00C91159" w:rsidRPr="0000522C" w:rsidRDefault="00C91159" w:rsidP="00C91159">
      <w:pPr>
        <w:pStyle w:val="Textoindependiente2"/>
        <w:tabs>
          <w:tab w:val="left" w:pos="709"/>
        </w:tabs>
      </w:pPr>
    </w:p>
    <w:p w:rsidR="00C91159" w:rsidRPr="0000522C" w:rsidRDefault="00C91159" w:rsidP="00C91159">
      <w:pPr>
        <w:jc w:val="both"/>
        <w:rPr>
          <w:sz w:val="24"/>
        </w:rPr>
      </w:pPr>
      <w:r w:rsidRPr="0000522C">
        <w:rPr>
          <w:sz w:val="24"/>
        </w:rPr>
        <w:t>Durante los períodos reportados el Banco le dio cumplimiento total a las disposiciones sobre créditos relacionados antes referidas.</w:t>
      </w:r>
    </w:p>
    <w:p w:rsidR="00441518" w:rsidRPr="0000522C" w:rsidRDefault="00441518">
      <w:pPr>
        <w:jc w:val="both"/>
        <w:rPr>
          <w:b/>
          <w:sz w:val="24"/>
        </w:rPr>
      </w:pPr>
    </w:p>
    <w:p w:rsidR="00CA54B2" w:rsidRPr="0000522C" w:rsidRDefault="00CA54B2">
      <w:pPr>
        <w:jc w:val="both"/>
        <w:rPr>
          <w:b/>
          <w:sz w:val="24"/>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LÍMITES EN LA CONCESIÓN DE CRÉDITOS</w:t>
      </w:r>
    </w:p>
    <w:p w:rsidR="00441518" w:rsidRPr="0000522C" w:rsidRDefault="00441518">
      <w:pPr>
        <w:jc w:val="both"/>
        <w:rPr>
          <w:b/>
          <w:sz w:val="24"/>
          <w:szCs w:val="23"/>
        </w:rPr>
      </w:pPr>
    </w:p>
    <w:p w:rsidR="00441518" w:rsidRPr="0000522C" w:rsidRDefault="00441518">
      <w:pPr>
        <w:pStyle w:val="Textoindependiente2"/>
        <w:tabs>
          <w:tab w:val="left" w:pos="709"/>
        </w:tabs>
        <w:rPr>
          <w:szCs w:val="23"/>
        </w:rPr>
      </w:pPr>
      <w:r w:rsidRPr="0000522C">
        <w:rPr>
          <w:szCs w:val="23"/>
        </w:rPr>
        <w:t xml:space="preserve">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w:t>
      </w:r>
    </w:p>
    <w:p w:rsidR="00441518" w:rsidRPr="0000522C" w:rsidRDefault="00441518">
      <w:pPr>
        <w:pStyle w:val="Ttulo2"/>
        <w:ind w:left="0" w:firstLine="12"/>
        <w:rPr>
          <w:szCs w:val="23"/>
        </w:rPr>
      </w:pPr>
      <w:r w:rsidRPr="0000522C">
        <w:rPr>
          <w:szCs w:val="23"/>
        </w:rPr>
        <w:t xml:space="preserve"> </w:t>
      </w:r>
    </w:p>
    <w:p w:rsidR="00441518" w:rsidRPr="0000522C" w:rsidRDefault="00441518">
      <w:pPr>
        <w:pStyle w:val="Sangra2detindependiente"/>
        <w:tabs>
          <w:tab w:val="left" w:pos="709"/>
        </w:tabs>
        <w:ind w:left="0"/>
      </w:pPr>
      <w:r w:rsidRPr="0000522C">
        <w:t>Durante los períodos reportados el Banco le dio cumplimiento a las disposiciones del artículo 197 de la Ley de Bancos.</w:t>
      </w:r>
    </w:p>
    <w:p w:rsidR="002972B9" w:rsidRPr="0000522C" w:rsidRDefault="002972B9">
      <w:pPr>
        <w:pStyle w:val="Sangra2detindependiente"/>
        <w:tabs>
          <w:tab w:val="left" w:pos="709"/>
        </w:tabs>
        <w:ind w:left="0"/>
      </w:pPr>
    </w:p>
    <w:p w:rsidR="002972B9" w:rsidRPr="0000522C" w:rsidRDefault="002972B9">
      <w:pPr>
        <w:pStyle w:val="Sangra2detindependiente"/>
        <w:tabs>
          <w:tab w:val="left" w:pos="709"/>
        </w:tabs>
        <w:ind w:left="0"/>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CONTRATOS CON PERSONAS RELACIONADAS</w:t>
      </w:r>
    </w:p>
    <w:p w:rsidR="00441518" w:rsidRPr="0000522C" w:rsidRDefault="00441518">
      <w:pPr>
        <w:pStyle w:val="Sangra2detindependiente"/>
        <w:tabs>
          <w:tab w:val="left" w:pos="709"/>
        </w:tabs>
        <w:ind w:left="0"/>
        <w:rPr>
          <w:b/>
          <w:lang w:val="es-ES"/>
        </w:rPr>
      </w:pPr>
    </w:p>
    <w:p w:rsidR="00441518" w:rsidRPr="0000522C" w:rsidRDefault="00441518">
      <w:pPr>
        <w:pStyle w:val="Sangra2detindependiente"/>
        <w:tabs>
          <w:tab w:val="left" w:pos="709"/>
        </w:tabs>
        <w:ind w:left="0"/>
        <w:rPr>
          <w:lang w:val="es-ES"/>
        </w:rPr>
      </w:pPr>
      <w:r w:rsidRPr="0000522C">
        <w:rPr>
          <w:lang w:val="es-ES"/>
        </w:rPr>
        <w:t xml:space="preserve">De conformidad al artículo 208 de la Ley de Bancos, la Superintendencia puede objetar la celebración de contratos entre un Banco y las personas relacionadas con éste. Se entiende que son personas relacionadas aquellas que se encuentran vinculadas en forma directa o indirecta con la propiedad accionaria del Banco o en forma directa con la administración. </w:t>
      </w:r>
    </w:p>
    <w:p w:rsidR="00D45EA5" w:rsidRPr="0000522C" w:rsidRDefault="00D45EA5" w:rsidP="00D45EA5">
      <w:pPr>
        <w:pStyle w:val="Sangra2detindependiente"/>
        <w:tabs>
          <w:tab w:val="left" w:pos="709"/>
        </w:tabs>
        <w:ind w:left="0"/>
        <w:rPr>
          <w:lang w:val="es-ES"/>
        </w:rPr>
      </w:pPr>
    </w:p>
    <w:p w:rsidR="00D45EA5" w:rsidRPr="0000522C" w:rsidRDefault="00D45EA5" w:rsidP="00D45EA5">
      <w:pPr>
        <w:pStyle w:val="Sangra2detindependiente"/>
        <w:tabs>
          <w:tab w:val="left" w:pos="709"/>
        </w:tabs>
        <w:ind w:left="0"/>
        <w:rPr>
          <w:lang w:val="es-ES"/>
        </w:rPr>
      </w:pPr>
      <w:r w:rsidRPr="0000522C">
        <w:rPr>
          <w:lang w:val="es-ES"/>
        </w:rPr>
        <w:t xml:space="preserve">Al </w:t>
      </w:r>
      <w:r w:rsidR="00421050" w:rsidRPr="0000522C">
        <w:rPr>
          <w:lang w:val="es-ES"/>
        </w:rPr>
        <w:t xml:space="preserve">30 de </w:t>
      </w:r>
      <w:r w:rsidR="005726D4" w:rsidRPr="0000522C">
        <w:rPr>
          <w:lang w:val="es-ES"/>
        </w:rPr>
        <w:t>septiembre</w:t>
      </w:r>
      <w:r w:rsidR="001E0A11" w:rsidRPr="0000522C">
        <w:rPr>
          <w:lang w:val="es-ES"/>
        </w:rPr>
        <w:t xml:space="preserve"> </w:t>
      </w:r>
      <w:r w:rsidRPr="0000522C">
        <w:rPr>
          <w:lang w:val="es-ES"/>
        </w:rPr>
        <w:t>de</w:t>
      </w:r>
      <w:r w:rsidR="00754813" w:rsidRPr="0000522C">
        <w:rPr>
          <w:lang w:val="es-ES"/>
        </w:rPr>
        <w:t xml:space="preserve"> 2016</w:t>
      </w:r>
      <w:r w:rsidR="001E0A11" w:rsidRPr="0000522C">
        <w:rPr>
          <w:lang w:val="es-ES"/>
        </w:rPr>
        <w:t xml:space="preserve"> y</w:t>
      </w:r>
      <w:r w:rsidR="00754813" w:rsidRPr="0000522C">
        <w:rPr>
          <w:lang w:val="es-ES"/>
        </w:rPr>
        <w:t xml:space="preserve"> 2015</w:t>
      </w:r>
      <w:r w:rsidRPr="0000522C">
        <w:rPr>
          <w:lang w:val="es-ES"/>
        </w:rPr>
        <w:t>, no existían contratos con personas relacionadas.</w:t>
      </w:r>
    </w:p>
    <w:p w:rsidR="005726D4" w:rsidRPr="0000522C" w:rsidRDefault="005726D4">
      <w:pPr>
        <w:pStyle w:val="Sangra2detindependiente"/>
        <w:tabs>
          <w:tab w:val="left" w:pos="709"/>
        </w:tabs>
        <w:ind w:left="0"/>
        <w:rPr>
          <w:lang w:val="es-ES"/>
        </w:rPr>
      </w:pPr>
    </w:p>
    <w:p w:rsidR="00441518" w:rsidRPr="0000522C" w:rsidRDefault="00441518">
      <w:pPr>
        <w:pStyle w:val="Sangra2detindependiente"/>
        <w:tabs>
          <w:tab w:val="left" w:pos="709"/>
        </w:tabs>
        <w:ind w:left="0"/>
        <w:rPr>
          <w:b/>
          <w:lang w:val="es-ES"/>
        </w:rPr>
      </w:pPr>
      <w:r w:rsidRPr="0000522C">
        <w:rPr>
          <w:lang w:val="es-ES"/>
        </w:rPr>
        <w:t>Durante los períodos reportados la Superintendencia no objetó contratos con personas relacionadas.</w:t>
      </w:r>
    </w:p>
    <w:p w:rsidR="00441518" w:rsidRPr="0000522C" w:rsidRDefault="00441518">
      <w:pPr>
        <w:pStyle w:val="Sangra2detindependiente"/>
        <w:tabs>
          <w:tab w:val="left" w:pos="709"/>
        </w:tabs>
        <w:ind w:left="0"/>
        <w:rPr>
          <w:b/>
          <w:lang w:val="es-ES"/>
        </w:rPr>
      </w:pPr>
    </w:p>
    <w:p w:rsidR="00EE3ED5" w:rsidRPr="0000522C" w:rsidRDefault="00EE3ED5">
      <w:pPr>
        <w:pStyle w:val="Sangra2detindependiente"/>
        <w:tabs>
          <w:tab w:val="left" w:pos="709"/>
        </w:tabs>
        <w:ind w:left="0"/>
        <w:rPr>
          <w:b/>
          <w:lang w:val="es-ES"/>
        </w:rPr>
      </w:pPr>
    </w:p>
    <w:p w:rsidR="00EE3ED5" w:rsidRPr="0000522C" w:rsidRDefault="00EE3ED5">
      <w:pPr>
        <w:pStyle w:val="Sangra2detindependiente"/>
        <w:tabs>
          <w:tab w:val="left" w:pos="709"/>
        </w:tabs>
        <w:ind w:left="0"/>
        <w:rPr>
          <w:b/>
          <w:lang w:val="es-ES"/>
        </w:rPr>
      </w:pPr>
    </w:p>
    <w:p w:rsidR="00A8634A" w:rsidRPr="0000522C" w:rsidRDefault="00A8634A">
      <w:pPr>
        <w:pStyle w:val="Sangra2detindependiente"/>
        <w:tabs>
          <w:tab w:val="left" w:pos="709"/>
        </w:tabs>
        <w:ind w:left="0"/>
        <w:rPr>
          <w:b/>
          <w:lang w:val="es-ES"/>
        </w:rPr>
      </w:pPr>
    </w:p>
    <w:p w:rsidR="00441518" w:rsidRPr="0000522C" w:rsidRDefault="00441518" w:rsidP="006B5F56">
      <w:pPr>
        <w:pStyle w:val="Ttulo7"/>
        <w:numPr>
          <w:ilvl w:val="0"/>
          <w:numId w:val="2"/>
        </w:numPr>
        <w:tabs>
          <w:tab w:val="num" w:pos="1134"/>
        </w:tabs>
        <w:ind w:left="1134" w:hanging="1134"/>
        <w:rPr>
          <w:bCs/>
        </w:rPr>
      </w:pPr>
      <w:r w:rsidRPr="0000522C">
        <w:rPr>
          <w:bCs/>
        </w:rPr>
        <w:lastRenderedPageBreak/>
        <w:t>RELACIONES ENTRE OPERACIONES ACTIVAS Y PASIVAS EN MONEDA EXTRANJERA</w:t>
      </w:r>
    </w:p>
    <w:p w:rsidR="000627B0" w:rsidRPr="0000522C" w:rsidRDefault="000627B0" w:rsidP="000627B0">
      <w:pPr>
        <w:tabs>
          <w:tab w:val="left" w:pos="-2160"/>
          <w:tab w:val="left" w:pos="-1980"/>
          <w:tab w:val="left" w:pos="709"/>
        </w:tabs>
        <w:snapToGrid w:val="0"/>
        <w:jc w:val="both"/>
        <w:rPr>
          <w:b/>
          <w:bCs/>
          <w:sz w:val="24"/>
        </w:rPr>
      </w:pPr>
    </w:p>
    <w:p w:rsidR="000627B0" w:rsidRPr="0000522C" w:rsidRDefault="000627B0" w:rsidP="000627B0">
      <w:pPr>
        <w:tabs>
          <w:tab w:val="left" w:pos="-2160"/>
          <w:tab w:val="left" w:pos="-1980"/>
          <w:tab w:val="left" w:pos="709"/>
        </w:tabs>
        <w:snapToGrid w:val="0"/>
        <w:jc w:val="both"/>
        <w:rPr>
          <w:sz w:val="24"/>
        </w:rPr>
      </w:pPr>
      <w:r w:rsidRPr="0000522C">
        <w:rPr>
          <w:sz w:val="24"/>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10.0% del fondo patrimonial.</w:t>
      </w:r>
    </w:p>
    <w:p w:rsidR="000627B0" w:rsidRPr="0000522C" w:rsidRDefault="000627B0" w:rsidP="000627B0">
      <w:pPr>
        <w:tabs>
          <w:tab w:val="left" w:pos="-2160"/>
          <w:tab w:val="left" w:pos="-1980"/>
          <w:tab w:val="left" w:pos="709"/>
        </w:tabs>
        <w:snapToGrid w:val="0"/>
        <w:jc w:val="both"/>
        <w:rPr>
          <w:sz w:val="24"/>
        </w:rPr>
      </w:pPr>
    </w:p>
    <w:p w:rsidR="007C6D6B" w:rsidRPr="0000522C" w:rsidRDefault="008479D0" w:rsidP="007C6D6B">
      <w:pPr>
        <w:tabs>
          <w:tab w:val="left" w:pos="-2160"/>
          <w:tab w:val="left" w:pos="-1980"/>
          <w:tab w:val="left" w:pos="709"/>
        </w:tabs>
        <w:snapToGrid w:val="0"/>
        <w:jc w:val="both"/>
        <w:rPr>
          <w:b/>
          <w:bCs/>
          <w:sz w:val="24"/>
          <w:lang w:val="es-ES_tradnl"/>
        </w:rPr>
      </w:pPr>
      <w:r w:rsidRPr="0000522C">
        <w:rPr>
          <w:sz w:val="24"/>
          <w:lang w:val="es-ES_tradnl"/>
        </w:rPr>
        <w:t>Al 30 de septiembre de 2016 y 2015</w:t>
      </w:r>
      <w:r w:rsidR="007C6D6B" w:rsidRPr="0000522C">
        <w:rPr>
          <w:sz w:val="24"/>
          <w:lang w:val="es-ES_tradnl"/>
        </w:rPr>
        <w:t>, el Banco cumple la citada disposición al mantener una relación del 0.0% para ambos períodos.</w:t>
      </w:r>
    </w:p>
    <w:p w:rsidR="007C6D6B" w:rsidRPr="0000522C" w:rsidRDefault="007C6D6B" w:rsidP="007C6D6B">
      <w:pPr>
        <w:spacing w:after="200" w:line="276" w:lineRule="auto"/>
        <w:rPr>
          <w:rFonts w:asciiTheme="minorHAnsi" w:eastAsiaTheme="minorHAnsi" w:hAnsiTheme="minorHAnsi" w:cstheme="minorBidi"/>
          <w:sz w:val="22"/>
          <w:szCs w:val="22"/>
          <w:lang w:val="es-ES_tradnl" w:eastAsia="en-US"/>
        </w:rPr>
      </w:pPr>
    </w:p>
    <w:p w:rsidR="00441518" w:rsidRPr="0000522C" w:rsidRDefault="00441518" w:rsidP="009A511C">
      <w:pPr>
        <w:pStyle w:val="Ttulo7"/>
        <w:numPr>
          <w:ilvl w:val="0"/>
          <w:numId w:val="2"/>
        </w:numPr>
        <w:tabs>
          <w:tab w:val="left" w:pos="1134"/>
          <w:tab w:val="num" w:pos="1276"/>
        </w:tabs>
        <w:ind w:left="1276" w:hanging="1276"/>
        <w:rPr>
          <w:bCs/>
        </w:rPr>
      </w:pPr>
      <w:r w:rsidRPr="0000522C">
        <w:rPr>
          <w:bCs/>
        </w:rPr>
        <w:t>REQUERIMIENTO DE FONDO PATRIMONIAL O PATRIMONIO NETO</w:t>
      </w:r>
    </w:p>
    <w:p w:rsidR="00CB1198" w:rsidRPr="0000522C" w:rsidRDefault="00CB1198" w:rsidP="00CB1198">
      <w:pPr>
        <w:rPr>
          <w:lang w:val="es-ES_tradnl"/>
        </w:rPr>
      </w:pPr>
    </w:p>
    <w:p w:rsidR="00CB1198" w:rsidRPr="0000522C" w:rsidRDefault="00CB1198" w:rsidP="00CB1198">
      <w:pPr>
        <w:tabs>
          <w:tab w:val="left" w:pos="-2160"/>
          <w:tab w:val="left" w:pos="-1980"/>
          <w:tab w:val="left" w:pos="709"/>
        </w:tabs>
        <w:snapToGrid w:val="0"/>
        <w:jc w:val="both"/>
        <w:rPr>
          <w:sz w:val="24"/>
        </w:rPr>
      </w:pPr>
      <w:r w:rsidRPr="0000522C">
        <w:rPr>
          <w:sz w:val="24"/>
        </w:rPr>
        <w:t>Según el artículo 41 de la Ley de Bancos, con el objeto de mantener constantemente su solvencia, los Bancos deben presentar en todo momento las siguientes relaciones:</w:t>
      </w:r>
    </w:p>
    <w:p w:rsidR="00CB1198" w:rsidRPr="0000522C" w:rsidRDefault="00CB1198" w:rsidP="00CB1198">
      <w:pPr>
        <w:tabs>
          <w:tab w:val="left" w:pos="-2160"/>
          <w:tab w:val="left" w:pos="-1980"/>
          <w:tab w:val="left" w:pos="709"/>
        </w:tabs>
        <w:snapToGrid w:val="0"/>
        <w:jc w:val="both"/>
        <w:rPr>
          <w:sz w:val="24"/>
        </w:rPr>
      </w:pPr>
    </w:p>
    <w:p w:rsidR="00CB1198" w:rsidRPr="0000522C" w:rsidRDefault="00CB1198" w:rsidP="00CB1198">
      <w:pPr>
        <w:tabs>
          <w:tab w:val="left" w:pos="-2160"/>
          <w:tab w:val="left" w:pos="-1980"/>
          <w:tab w:val="left" w:pos="709"/>
        </w:tabs>
        <w:snapToGrid w:val="0"/>
        <w:jc w:val="both"/>
        <w:rPr>
          <w:sz w:val="24"/>
        </w:rPr>
      </w:pPr>
      <w:r w:rsidRPr="0000522C">
        <w:rPr>
          <w:sz w:val="24"/>
        </w:rPr>
        <w:t>a)</w:t>
      </w:r>
      <w:r w:rsidRPr="0000522C">
        <w:rPr>
          <w:sz w:val="24"/>
        </w:rPr>
        <w:tab/>
        <w:t>El 12.0% o más entre su fondo patrimonial y la suma de sus activos ponderados.</w:t>
      </w:r>
    </w:p>
    <w:p w:rsidR="00CB1198" w:rsidRPr="0000522C" w:rsidRDefault="00CB1198" w:rsidP="00CB1198">
      <w:pPr>
        <w:tabs>
          <w:tab w:val="left" w:pos="-2160"/>
          <w:tab w:val="left" w:pos="-1980"/>
          <w:tab w:val="left" w:pos="709"/>
        </w:tabs>
        <w:snapToGrid w:val="0"/>
        <w:jc w:val="both"/>
        <w:rPr>
          <w:sz w:val="24"/>
        </w:rPr>
      </w:pPr>
    </w:p>
    <w:p w:rsidR="00CB1198" w:rsidRPr="0000522C" w:rsidRDefault="00CB1198" w:rsidP="004C2933">
      <w:pPr>
        <w:tabs>
          <w:tab w:val="left" w:pos="-2160"/>
          <w:tab w:val="left" w:pos="-1980"/>
          <w:tab w:val="left" w:pos="709"/>
        </w:tabs>
        <w:snapToGrid w:val="0"/>
        <w:ind w:left="708" w:hanging="708"/>
        <w:jc w:val="both"/>
        <w:rPr>
          <w:sz w:val="24"/>
        </w:rPr>
      </w:pPr>
      <w:r w:rsidRPr="0000522C">
        <w:rPr>
          <w:sz w:val="24"/>
        </w:rPr>
        <w:t>b)</w:t>
      </w:r>
      <w:r w:rsidRPr="0000522C">
        <w:rPr>
          <w:sz w:val="24"/>
        </w:rPr>
        <w:tab/>
        <w:t>El 7.0% o más entre el fondo patrimonial y sus obligaciones o pasivos totales con terceros, incluyendo las contingentes.</w:t>
      </w:r>
    </w:p>
    <w:p w:rsidR="00CB1198" w:rsidRPr="0000522C" w:rsidRDefault="00CB1198" w:rsidP="00CB1198">
      <w:pPr>
        <w:tabs>
          <w:tab w:val="left" w:pos="-2160"/>
          <w:tab w:val="left" w:pos="-1980"/>
          <w:tab w:val="left" w:pos="709"/>
        </w:tabs>
        <w:snapToGrid w:val="0"/>
        <w:jc w:val="both"/>
        <w:rPr>
          <w:sz w:val="24"/>
        </w:rPr>
      </w:pPr>
    </w:p>
    <w:p w:rsidR="00CB1198" w:rsidRPr="0000522C" w:rsidRDefault="00CB1198" w:rsidP="004C2933">
      <w:pPr>
        <w:tabs>
          <w:tab w:val="left" w:pos="-2160"/>
          <w:tab w:val="left" w:pos="-1980"/>
          <w:tab w:val="left" w:pos="709"/>
        </w:tabs>
        <w:snapToGrid w:val="0"/>
        <w:ind w:left="708" w:hanging="708"/>
        <w:jc w:val="both"/>
        <w:rPr>
          <w:sz w:val="24"/>
        </w:rPr>
      </w:pPr>
      <w:r w:rsidRPr="0000522C">
        <w:rPr>
          <w:sz w:val="24"/>
        </w:rPr>
        <w:t>c)</w:t>
      </w:r>
      <w:r w:rsidRPr="0000522C">
        <w:rPr>
          <w:sz w:val="24"/>
        </w:rPr>
        <w:tab/>
        <w:t xml:space="preserve">El 100% o más entre el fondo patrimonial y el capital social pagado a que se refiere el artículo 36 de la Ley de Bancos. </w:t>
      </w:r>
    </w:p>
    <w:p w:rsidR="00CB1198" w:rsidRPr="0000522C" w:rsidRDefault="00CB1198" w:rsidP="00CB1198">
      <w:pPr>
        <w:tabs>
          <w:tab w:val="left" w:pos="-2160"/>
          <w:tab w:val="left" w:pos="-1980"/>
          <w:tab w:val="left" w:pos="709"/>
        </w:tabs>
        <w:snapToGrid w:val="0"/>
        <w:jc w:val="both"/>
        <w:rPr>
          <w:sz w:val="24"/>
        </w:rPr>
      </w:pPr>
    </w:p>
    <w:p w:rsidR="00CB1198" w:rsidRPr="0000522C" w:rsidRDefault="00CB1198" w:rsidP="00CB1198">
      <w:pPr>
        <w:tabs>
          <w:tab w:val="left" w:pos="-2160"/>
          <w:tab w:val="left" w:pos="-1980"/>
          <w:tab w:val="left" w:pos="709"/>
        </w:tabs>
        <w:snapToGrid w:val="0"/>
        <w:jc w:val="both"/>
        <w:rPr>
          <w:sz w:val="24"/>
        </w:rPr>
      </w:pPr>
      <w:r w:rsidRPr="0000522C">
        <w:rPr>
          <w:sz w:val="24"/>
        </w:rPr>
        <w:t xml:space="preserve">Al 30 de </w:t>
      </w:r>
      <w:r w:rsidR="00AC15BD" w:rsidRPr="0000522C">
        <w:rPr>
          <w:sz w:val="24"/>
        </w:rPr>
        <w:t>septiembre</w:t>
      </w:r>
      <w:r w:rsidRPr="0000522C">
        <w:rPr>
          <w:sz w:val="24"/>
        </w:rPr>
        <w:t xml:space="preserve"> de 2016 y 2015, la situación del Banco es según lo muestran las siguientes relaciones:</w:t>
      </w:r>
    </w:p>
    <w:p w:rsidR="00CB1198" w:rsidRPr="0000522C" w:rsidRDefault="00CB1198" w:rsidP="00CB1198">
      <w:pPr>
        <w:pStyle w:val="Sangra2detindependiente"/>
        <w:tabs>
          <w:tab w:val="left" w:pos="709"/>
        </w:tabs>
        <w:ind w:left="0"/>
        <w:rPr>
          <w:b/>
          <w:bCs/>
          <w:lang w:val="es-ES"/>
        </w:rPr>
      </w:pPr>
    </w:p>
    <w:bookmarkStart w:id="851" w:name="_MON_1537940485"/>
    <w:bookmarkEnd w:id="851"/>
    <w:p w:rsidR="00CB1198" w:rsidRPr="0000522C" w:rsidRDefault="00C870BD" w:rsidP="00CB1198">
      <w:pPr>
        <w:rPr>
          <w:sz w:val="24"/>
        </w:rPr>
      </w:pPr>
      <w:r w:rsidRPr="0000522C">
        <w:object w:dxaOrig="6079" w:dyaOrig="1297">
          <v:shape id="_x0000_i1048" type="#_x0000_t75" style="width:361.5pt;height:76pt" o:ole="" fillcolor="window">
            <v:imagedata r:id="rId61" o:title=""/>
          </v:shape>
          <o:OLEObject Type="Embed" ProgID="Excel.Sheet.8" ShapeID="_x0000_i1048" DrawAspect="Content" ObjectID="_1539668674" r:id="rId62"/>
        </w:object>
      </w:r>
    </w:p>
    <w:p w:rsidR="00120684" w:rsidRPr="0000522C" w:rsidRDefault="00120684" w:rsidP="008C3ED5">
      <w:pPr>
        <w:rPr>
          <w:sz w:val="24"/>
        </w:rPr>
      </w:pPr>
    </w:p>
    <w:p w:rsidR="008C3ED5" w:rsidRPr="0000522C" w:rsidRDefault="008C3ED5" w:rsidP="008C3ED5"/>
    <w:p w:rsidR="00441518" w:rsidRPr="0000522C" w:rsidRDefault="00441518" w:rsidP="009A511C">
      <w:pPr>
        <w:pStyle w:val="Ttulo7"/>
        <w:numPr>
          <w:ilvl w:val="0"/>
          <w:numId w:val="2"/>
        </w:numPr>
        <w:tabs>
          <w:tab w:val="num" w:pos="1134"/>
          <w:tab w:val="num" w:pos="1276"/>
        </w:tabs>
        <w:ind w:left="1134" w:hanging="1134"/>
        <w:rPr>
          <w:bCs/>
        </w:rPr>
      </w:pPr>
      <w:r w:rsidRPr="0000522C">
        <w:rPr>
          <w:bCs/>
        </w:rPr>
        <w:t>DIFERENCIAS SIGNIFICATIVAS ENTRE LAS NORMAS CONTABLES EMITIDAS POR LA SUPERINTENDENCIA Y LAS NORMAS INTERNACIONALES DE INFORMACION FINANCIERA.</w:t>
      </w:r>
    </w:p>
    <w:p w:rsidR="00441518" w:rsidRPr="0000522C" w:rsidRDefault="00441518">
      <w:pPr>
        <w:jc w:val="both"/>
        <w:rPr>
          <w:b/>
          <w:bCs/>
          <w:sz w:val="24"/>
        </w:rPr>
      </w:pPr>
    </w:p>
    <w:p w:rsidR="00441518" w:rsidRPr="0000522C" w:rsidRDefault="00441518">
      <w:pPr>
        <w:jc w:val="both"/>
        <w:rPr>
          <w:sz w:val="24"/>
        </w:rPr>
      </w:pPr>
      <w:r w:rsidRPr="0000522C">
        <w:rPr>
          <w:sz w:val="24"/>
        </w:rPr>
        <w:t>Las principales diferencias entre las Normas Internacionales de Información Financiera (NIIF) y las normas contables bancarias (NCB), emitidas por la Superintendencia del Sistema Financiero, se describen a continuación:</w:t>
      </w:r>
    </w:p>
    <w:p w:rsidR="008942F7" w:rsidRPr="0000522C" w:rsidRDefault="008942F7">
      <w:pPr>
        <w:jc w:val="both"/>
        <w:rPr>
          <w:sz w:val="24"/>
        </w:rPr>
      </w:pPr>
    </w:p>
    <w:p w:rsidR="00441518" w:rsidRPr="0000522C" w:rsidRDefault="00441518">
      <w:pPr>
        <w:pStyle w:val="Textoindependiente3"/>
        <w:numPr>
          <w:ilvl w:val="0"/>
          <w:numId w:val="13"/>
        </w:numPr>
        <w:spacing w:line="216" w:lineRule="auto"/>
        <w:rPr>
          <w:szCs w:val="24"/>
          <w:u w:val="none"/>
        </w:rPr>
      </w:pPr>
      <w:r w:rsidRPr="0000522C">
        <w:rPr>
          <w:szCs w:val="24"/>
          <w:u w:val="none"/>
        </w:rPr>
        <w:t xml:space="preserve">Las inversiones no se tienen registradas y valuadas de acuerdo a la clasificación que establecen las NIIF; las que se detallan a continuación: instrumentos financieros a su </w:t>
      </w:r>
      <w:r w:rsidRPr="0000522C">
        <w:rPr>
          <w:szCs w:val="24"/>
          <w:u w:val="none"/>
        </w:rPr>
        <w:lastRenderedPageBreak/>
        <w:t>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441518" w:rsidRPr="0000522C" w:rsidRDefault="00441518">
      <w:pPr>
        <w:pStyle w:val="Textoindependiente3"/>
        <w:spacing w:line="216" w:lineRule="auto"/>
        <w:rPr>
          <w:szCs w:val="24"/>
          <w:u w:val="none"/>
        </w:rPr>
      </w:pPr>
    </w:p>
    <w:p w:rsidR="00441518" w:rsidRPr="0000522C" w:rsidRDefault="00441518">
      <w:pPr>
        <w:pStyle w:val="Prrafodelista"/>
        <w:numPr>
          <w:ilvl w:val="0"/>
          <w:numId w:val="12"/>
        </w:numPr>
        <w:autoSpaceDE w:val="0"/>
        <w:autoSpaceDN w:val="0"/>
        <w:adjustRightInd w:val="0"/>
        <w:spacing w:line="230" w:lineRule="auto"/>
        <w:jc w:val="both"/>
        <w:rPr>
          <w:sz w:val="24"/>
          <w:szCs w:val="24"/>
        </w:rPr>
      </w:pPr>
      <w:r w:rsidRPr="0000522C">
        <w:rPr>
          <w:sz w:val="24"/>
          <w:szCs w:val="24"/>
        </w:rPr>
        <w:t>No se están realizando todas las divulgaciones relacionadas con el uso de los instrumentos financieros; por ejemplo:</w:t>
      </w:r>
    </w:p>
    <w:p w:rsidR="00441518" w:rsidRPr="0000522C" w:rsidRDefault="00441518">
      <w:pPr>
        <w:rPr>
          <w:sz w:val="24"/>
          <w:szCs w:val="24"/>
        </w:rPr>
      </w:pPr>
    </w:p>
    <w:p w:rsidR="00441518" w:rsidRPr="0000522C" w:rsidRDefault="00441518">
      <w:pPr>
        <w:numPr>
          <w:ilvl w:val="2"/>
          <w:numId w:val="16"/>
        </w:numPr>
        <w:tabs>
          <w:tab w:val="clear" w:pos="2160"/>
        </w:tabs>
        <w:autoSpaceDE w:val="0"/>
        <w:autoSpaceDN w:val="0"/>
        <w:adjustRightInd w:val="0"/>
        <w:ind w:left="709" w:hanging="142"/>
        <w:jc w:val="both"/>
        <w:rPr>
          <w:sz w:val="24"/>
          <w:szCs w:val="24"/>
          <w:lang w:eastAsia="en-US"/>
        </w:rPr>
      </w:pPr>
      <w:r w:rsidRPr="0000522C">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441518" w:rsidRPr="0000522C" w:rsidRDefault="00441518">
      <w:pPr>
        <w:autoSpaceDE w:val="0"/>
        <w:autoSpaceDN w:val="0"/>
        <w:adjustRightInd w:val="0"/>
        <w:ind w:left="993"/>
        <w:jc w:val="both"/>
        <w:rPr>
          <w:sz w:val="24"/>
          <w:szCs w:val="24"/>
          <w:lang w:eastAsia="en-US"/>
        </w:rPr>
      </w:pPr>
    </w:p>
    <w:p w:rsidR="00441518" w:rsidRPr="0000522C" w:rsidRDefault="00441518">
      <w:pPr>
        <w:numPr>
          <w:ilvl w:val="2"/>
          <w:numId w:val="16"/>
        </w:numPr>
        <w:tabs>
          <w:tab w:val="clear" w:pos="2160"/>
          <w:tab w:val="num" w:pos="709"/>
        </w:tabs>
        <w:autoSpaceDE w:val="0"/>
        <w:autoSpaceDN w:val="0"/>
        <w:adjustRightInd w:val="0"/>
        <w:ind w:left="709" w:hanging="142"/>
        <w:jc w:val="both"/>
        <w:rPr>
          <w:sz w:val="24"/>
          <w:szCs w:val="24"/>
          <w:lang w:eastAsia="en-US"/>
        </w:rPr>
      </w:pPr>
      <w:r w:rsidRPr="0000522C">
        <w:rPr>
          <w:sz w:val="24"/>
          <w:szCs w:val="24"/>
          <w:lang w:eastAsia="en-US"/>
        </w:rPr>
        <w:t>La información sobre la naturaleza de los riesgos cubiertos, tales como riesgo de crédito, riesgo de mercado, riesgo de moneda y riesgo de la tasa de interés.</w:t>
      </w:r>
    </w:p>
    <w:p w:rsidR="00441518" w:rsidRPr="0000522C" w:rsidRDefault="00441518">
      <w:pPr>
        <w:autoSpaceDE w:val="0"/>
        <w:autoSpaceDN w:val="0"/>
        <w:adjustRightInd w:val="0"/>
        <w:jc w:val="both"/>
        <w:rPr>
          <w:sz w:val="24"/>
          <w:szCs w:val="24"/>
          <w:lang w:eastAsia="en-US"/>
        </w:rPr>
      </w:pPr>
    </w:p>
    <w:p w:rsidR="00441518" w:rsidRPr="0000522C" w:rsidRDefault="00441518">
      <w:pPr>
        <w:pStyle w:val="Textoindependiente3"/>
        <w:numPr>
          <w:ilvl w:val="0"/>
          <w:numId w:val="12"/>
        </w:numPr>
        <w:tabs>
          <w:tab w:val="clear" w:pos="360"/>
          <w:tab w:val="num" w:pos="426"/>
          <w:tab w:val="num" w:pos="1080"/>
        </w:tabs>
        <w:ind w:left="426" w:hanging="426"/>
        <w:rPr>
          <w:u w:val="none"/>
        </w:rPr>
      </w:pPr>
      <w:r w:rsidRPr="0000522C">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441518" w:rsidRPr="0000522C" w:rsidRDefault="00441518">
      <w:pPr>
        <w:pStyle w:val="Textoindependiente3"/>
        <w:rPr>
          <w:u w:val="none"/>
        </w:rPr>
      </w:pPr>
    </w:p>
    <w:p w:rsidR="00441518" w:rsidRPr="0000522C" w:rsidRDefault="00441518">
      <w:pPr>
        <w:pStyle w:val="Textoindependiente3"/>
        <w:numPr>
          <w:ilvl w:val="0"/>
          <w:numId w:val="12"/>
        </w:numPr>
        <w:tabs>
          <w:tab w:val="num" w:pos="1080"/>
        </w:tabs>
        <w:ind w:left="426" w:hanging="426"/>
        <w:rPr>
          <w:u w:val="none"/>
        </w:rPr>
      </w:pPr>
      <w:r w:rsidRPr="0000522C">
        <w:rPr>
          <w:u w:val="none"/>
        </w:rPr>
        <w:t>Los valores adquiridos o vendidos con pacto de recompra (reportos) se registran como inversiones y deudas en el Balance General; de acuerdo con las NIIF estos deben registrarse como cuentas por cobrar y deudas.</w:t>
      </w:r>
    </w:p>
    <w:p w:rsidR="00441518" w:rsidRPr="0000522C" w:rsidRDefault="00441518">
      <w:pPr>
        <w:pStyle w:val="Textoindependiente3"/>
        <w:rPr>
          <w:u w:val="none"/>
        </w:rPr>
      </w:pPr>
    </w:p>
    <w:p w:rsidR="00441518" w:rsidRPr="0000522C" w:rsidRDefault="00441518">
      <w:pPr>
        <w:pStyle w:val="Textoindependiente3"/>
        <w:numPr>
          <w:ilvl w:val="0"/>
          <w:numId w:val="12"/>
        </w:numPr>
        <w:tabs>
          <w:tab w:val="num" w:pos="426"/>
        </w:tabs>
        <w:ind w:left="426" w:hanging="426"/>
        <w:rPr>
          <w:szCs w:val="24"/>
          <w:u w:val="none"/>
        </w:rPr>
      </w:pPr>
      <w:r w:rsidRPr="0000522C">
        <w:rPr>
          <w:u w:val="none"/>
        </w:rPr>
        <w:t>Las</w:t>
      </w:r>
      <w:r w:rsidRPr="0000522C">
        <w:rPr>
          <w:szCs w:val="24"/>
          <w:u w:val="none"/>
        </w:rPr>
        <w:t xml:space="preserve"> provisiones para riesgo de crédito se indica que se han establecido con base a normativa emitida por la Superintendencia del Sistema Financiero;</w:t>
      </w:r>
      <w:r w:rsidRPr="0000522C">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00522C">
        <w:rPr>
          <w:szCs w:val="24"/>
          <w:u w:val="none"/>
        </w:rPr>
        <w:t>Las NIIF sugieren que el análisis para el establecimiento de reservas se realice en base a los flujos de efectivo futuros, incluyendo el valor justo razonable de la garantía.</w:t>
      </w:r>
    </w:p>
    <w:p w:rsidR="00441518" w:rsidRPr="0000522C" w:rsidRDefault="00441518">
      <w:pPr>
        <w:pStyle w:val="Prrafodelista"/>
        <w:rPr>
          <w:szCs w:val="24"/>
        </w:rPr>
      </w:pPr>
    </w:p>
    <w:p w:rsidR="00441518" w:rsidRPr="0000522C" w:rsidRDefault="00441518">
      <w:pPr>
        <w:pStyle w:val="Textoindependiente3"/>
        <w:numPr>
          <w:ilvl w:val="0"/>
          <w:numId w:val="12"/>
        </w:numPr>
        <w:tabs>
          <w:tab w:val="num" w:pos="426"/>
        </w:tabs>
        <w:ind w:left="426" w:hanging="426"/>
        <w:rPr>
          <w:szCs w:val="24"/>
          <w:u w:val="none"/>
        </w:rPr>
      </w:pPr>
      <w:r w:rsidRPr="0000522C">
        <w:rPr>
          <w:szCs w:val="24"/>
          <w:u w:val="none"/>
        </w:rPr>
        <w:t>Las liberaciones de reservas constituidas en años anteriores se registran con crédito a otros ingresos no de operación; las NIIF requieren que las transacciones de la misma naturaleza se muestren netas.</w:t>
      </w:r>
    </w:p>
    <w:p w:rsidR="00441518" w:rsidRPr="0000522C" w:rsidRDefault="00441518">
      <w:pPr>
        <w:tabs>
          <w:tab w:val="left" w:pos="900"/>
        </w:tabs>
        <w:autoSpaceDE w:val="0"/>
        <w:autoSpaceDN w:val="0"/>
        <w:adjustRightInd w:val="0"/>
        <w:ind w:left="900" w:hanging="360"/>
        <w:jc w:val="both"/>
        <w:rPr>
          <w:sz w:val="24"/>
          <w:szCs w:val="24"/>
        </w:rPr>
      </w:pPr>
    </w:p>
    <w:p w:rsidR="00441518" w:rsidRPr="0000522C" w:rsidRDefault="00441518">
      <w:pPr>
        <w:pStyle w:val="Textoindependiente3"/>
        <w:numPr>
          <w:ilvl w:val="0"/>
          <w:numId w:val="12"/>
        </w:numPr>
        <w:tabs>
          <w:tab w:val="num" w:pos="426"/>
        </w:tabs>
        <w:ind w:left="426" w:hanging="426"/>
        <w:rPr>
          <w:szCs w:val="24"/>
          <w:u w:val="none"/>
        </w:rPr>
      </w:pPr>
      <w:r w:rsidRPr="0000522C">
        <w:rPr>
          <w:szCs w:val="24"/>
          <w:u w:val="none"/>
        </w:rPr>
        <w:t>De acuerdo con las NIIF, el establecimiento de reservas voluntarias no forma parte de los resultados, sino son apropiaciones de utilidades retenidas.</w:t>
      </w:r>
    </w:p>
    <w:p w:rsidR="00441518" w:rsidRPr="0000522C" w:rsidRDefault="00441518">
      <w:pPr>
        <w:pStyle w:val="Prrafodelista"/>
      </w:pPr>
    </w:p>
    <w:p w:rsidR="00441518" w:rsidRPr="0000522C" w:rsidRDefault="00441518">
      <w:pPr>
        <w:pStyle w:val="Textoindependiente3"/>
        <w:numPr>
          <w:ilvl w:val="0"/>
          <w:numId w:val="12"/>
        </w:numPr>
        <w:tabs>
          <w:tab w:val="num" w:pos="426"/>
        </w:tabs>
        <w:ind w:left="426" w:hanging="426"/>
        <w:rPr>
          <w:u w:val="none"/>
        </w:rPr>
      </w:pPr>
      <w:r w:rsidRPr="0000522C">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F16393" w:rsidRPr="0000522C" w:rsidRDefault="00F16393" w:rsidP="00F16393">
      <w:pPr>
        <w:pStyle w:val="Prrafodelista"/>
      </w:pPr>
    </w:p>
    <w:p w:rsidR="00441518" w:rsidRPr="0000522C" w:rsidRDefault="00441518">
      <w:pPr>
        <w:pStyle w:val="Textoindependiente3"/>
        <w:numPr>
          <w:ilvl w:val="0"/>
          <w:numId w:val="12"/>
        </w:numPr>
        <w:tabs>
          <w:tab w:val="num" w:pos="426"/>
        </w:tabs>
        <w:ind w:left="426" w:hanging="426"/>
        <w:rPr>
          <w:szCs w:val="24"/>
          <w:u w:val="none"/>
        </w:rPr>
      </w:pPr>
      <w:r w:rsidRPr="0000522C">
        <w:rPr>
          <w:u w:val="none"/>
        </w:rPr>
        <w:t>La</w:t>
      </w:r>
      <w:r w:rsidRPr="0000522C">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441518" w:rsidRPr="0000522C" w:rsidRDefault="00441518">
      <w:pPr>
        <w:pStyle w:val="Textoindependiente3"/>
        <w:ind w:left="360" w:hanging="360"/>
        <w:rPr>
          <w:u w:val="none"/>
        </w:rPr>
      </w:pPr>
    </w:p>
    <w:p w:rsidR="00441518" w:rsidRPr="0000522C" w:rsidRDefault="00441518">
      <w:pPr>
        <w:pStyle w:val="Textoindependiente3"/>
        <w:numPr>
          <w:ilvl w:val="0"/>
          <w:numId w:val="12"/>
        </w:numPr>
        <w:tabs>
          <w:tab w:val="clear" w:pos="360"/>
          <w:tab w:val="num" w:pos="284"/>
          <w:tab w:val="num" w:pos="426"/>
        </w:tabs>
        <w:ind w:left="426" w:hanging="426"/>
        <w:rPr>
          <w:u w:val="none"/>
        </w:rPr>
      </w:pPr>
      <w:r w:rsidRPr="0000522C">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441518" w:rsidRPr="0000522C" w:rsidRDefault="00441518">
      <w:pPr>
        <w:pStyle w:val="Textoindependiente3"/>
        <w:rPr>
          <w:u w:val="none"/>
        </w:rPr>
      </w:pPr>
    </w:p>
    <w:p w:rsidR="00441518" w:rsidRPr="0000522C" w:rsidRDefault="00441518">
      <w:pPr>
        <w:pStyle w:val="Textoindependiente3"/>
        <w:numPr>
          <w:ilvl w:val="0"/>
          <w:numId w:val="12"/>
        </w:numPr>
        <w:tabs>
          <w:tab w:val="clear" w:pos="360"/>
          <w:tab w:val="num" w:pos="426"/>
        </w:tabs>
        <w:ind w:left="426" w:hanging="426"/>
        <w:rPr>
          <w:szCs w:val="24"/>
          <w:u w:val="none"/>
        </w:rPr>
      </w:pPr>
      <w:r w:rsidRPr="0000522C">
        <w:rPr>
          <w:u w:val="none"/>
        </w:rPr>
        <w:t>No</w:t>
      </w:r>
      <w:r w:rsidRPr="0000522C">
        <w:rPr>
          <w:szCs w:val="24"/>
          <w:u w:val="none"/>
          <w:lang w:eastAsia="en-US"/>
        </w:rPr>
        <w:t xml:space="preserve"> se registran impuestos diferidos; las NIIF requieren el reconocimiento de éstos cuando la base de valuación fiscal de los activos y pasivos difiere de lo financiero contable.</w:t>
      </w:r>
    </w:p>
    <w:p w:rsidR="00441518" w:rsidRPr="0000522C" w:rsidRDefault="00441518">
      <w:pPr>
        <w:pStyle w:val="Prrafodelista"/>
        <w:tabs>
          <w:tab w:val="left" w:pos="900"/>
        </w:tabs>
        <w:autoSpaceDE w:val="0"/>
        <w:autoSpaceDN w:val="0"/>
        <w:adjustRightInd w:val="0"/>
        <w:ind w:left="720"/>
        <w:jc w:val="both"/>
        <w:rPr>
          <w:sz w:val="24"/>
          <w:szCs w:val="24"/>
        </w:rPr>
      </w:pPr>
    </w:p>
    <w:p w:rsidR="00441518" w:rsidRPr="0000522C" w:rsidRDefault="00441518">
      <w:pPr>
        <w:pStyle w:val="Textoindependiente3"/>
        <w:numPr>
          <w:ilvl w:val="0"/>
          <w:numId w:val="12"/>
        </w:numPr>
        <w:tabs>
          <w:tab w:val="clear" w:pos="360"/>
          <w:tab w:val="num" w:pos="426"/>
        </w:tabs>
        <w:ind w:left="426" w:hanging="426"/>
        <w:rPr>
          <w:u w:val="none"/>
        </w:rPr>
      </w:pPr>
      <w:r w:rsidRPr="0000522C">
        <w:rPr>
          <w:u w:val="none"/>
        </w:rPr>
        <w:t>Los</w:t>
      </w:r>
      <w:r w:rsidRPr="0000522C">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46761B" w:rsidRPr="0000522C" w:rsidRDefault="0046761B">
      <w:pPr>
        <w:pStyle w:val="Sangra2detindependiente"/>
        <w:tabs>
          <w:tab w:val="left" w:pos="709"/>
        </w:tabs>
        <w:ind w:left="0"/>
        <w:rPr>
          <w:b/>
          <w:lang w:val="es-ES"/>
        </w:rPr>
      </w:pPr>
    </w:p>
    <w:p w:rsidR="00441518" w:rsidRPr="0000522C" w:rsidRDefault="00441518">
      <w:pPr>
        <w:pStyle w:val="Sangra2detindependiente"/>
        <w:tabs>
          <w:tab w:val="left" w:pos="709"/>
        </w:tabs>
        <w:ind w:left="0"/>
        <w:rPr>
          <w:b/>
          <w:lang w:val="es-ES"/>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 xml:space="preserve">CALIFICACIÓN DE RIESGO </w:t>
      </w:r>
    </w:p>
    <w:p w:rsidR="00441518" w:rsidRPr="0000522C" w:rsidRDefault="00441518"/>
    <w:p w:rsidR="00BB5052" w:rsidRDefault="00BB5052" w:rsidP="00BB5052">
      <w:pPr>
        <w:jc w:val="both"/>
        <w:rPr>
          <w:sz w:val="24"/>
          <w:szCs w:val="24"/>
        </w:rPr>
      </w:pPr>
      <w:r w:rsidRPr="0000522C">
        <w:rPr>
          <w:sz w:val="24"/>
          <w:szCs w:val="24"/>
        </w:rPr>
        <w:t>El artículo 235 de la Ley de Bancos requiere que publiquemos la calificación de riesgo realizada por una clasificadora de riesgo registrada en la Superintendencia de Valores, la cual es la siguiente:</w:t>
      </w:r>
    </w:p>
    <w:p w:rsidR="00735DDE" w:rsidRDefault="00735DDE" w:rsidP="00BB5052">
      <w:pPr>
        <w:jc w:val="both"/>
        <w:rPr>
          <w:sz w:val="24"/>
          <w:szCs w:val="24"/>
        </w:rPr>
      </w:pPr>
    </w:p>
    <w:bookmarkStart w:id="852" w:name="_MON_1458465364"/>
    <w:bookmarkEnd w:id="852"/>
    <w:p w:rsidR="00E76F6B" w:rsidRPr="0000522C" w:rsidRDefault="00E76F6B" w:rsidP="00BB5052">
      <w:pPr>
        <w:jc w:val="both"/>
        <w:rPr>
          <w:sz w:val="24"/>
          <w:szCs w:val="24"/>
        </w:rPr>
      </w:pPr>
      <w:r w:rsidRPr="00181C60">
        <w:rPr>
          <w:sz w:val="24"/>
          <w:szCs w:val="24"/>
        </w:rPr>
        <w:object w:dxaOrig="4965" w:dyaOrig="790">
          <v:shape id="_x0000_i1049" type="#_x0000_t75" style="width:377pt;height:56.5pt" o:ole="" fillcolor="window">
            <v:imagedata r:id="rId63" o:title=""/>
          </v:shape>
          <o:OLEObject Type="Embed" ProgID="Excel.Sheet.8" ShapeID="_x0000_i1049" DrawAspect="Content" ObjectID="_1539668675" r:id="rId64"/>
        </w:object>
      </w:r>
    </w:p>
    <w:p w:rsidR="00811E8E" w:rsidRPr="0000522C" w:rsidRDefault="00811E8E" w:rsidP="00811E8E">
      <w:pPr>
        <w:jc w:val="both"/>
        <w:rPr>
          <w:sz w:val="24"/>
          <w:szCs w:val="24"/>
        </w:rPr>
      </w:pPr>
    </w:p>
    <w:p w:rsidR="00811E8E" w:rsidRPr="0000522C" w:rsidRDefault="00811E8E" w:rsidP="00811E8E">
      <w:pPr>
        <w:rPr>
          <w:sz w:val="24"/>
          <w:szCs w:val="24"/>
        </w:rPr>
      </w:pPr>
      <w:bookmarkStart w:id="853" w:name="_MON_1458546197"/>
      <w:bookmarkStart w:id="854" w:name="_MON_1458563393"/>
      <w:bookmarkEnd w:id="853"/>
      <w:bookmarkEnd w:id="854"/>
      <w:r w:rsidRPr="0000522C">
        <w:rPr>
          <w:sz w:val="24"/>
          <w:szCs w:val="24"/>
        </w:rPr>
        <w:t>Descripción de la calificación:</w:t>
      </w:r>
    </w:p>
    <w:p w:rsidR="00811E8E" w:rsidRPr="0000522C" w:rsidRDefault="00811E8E" w:rsidP="00811E8E">
      <w:pPr>
        <w:rPr>
          <w:sz w:val="24"/>
          <w:szCs w:val="24"/>
        </w:rPr>
      </w:pPr>
    </w:p>
    <w:p w:rsidR="00811E8E" w:rsidRPr="0000522C" w:rsidRDefault="00811E8E" w:rsidP="00811E8E">
      <w:pPr>
        <w:tabs>
          <w:tab w:val="left" w:pos="-2160"/>
          <w:tab w:val="left" w:pos="-1980"/>
        </w:tabs>
        <w:jc w:val="both"/>
        <w:rPr>
          <w:snapToGrid w:val="0"/>
          <w:sz w:val="24"/>
          <w:szCs w:val="24"/>
          <w:lang w:val="es-ES_tradnl"/>
        </w:rPr>
      </w:pPr>
      <w:r w:rsidRPr="0000522C">
        <w:rPr>
          <w:b/>
          <w:bCs/>
          <w:snapToGrid w:val="0"/>
          <w:sz w:val="24"/>
          <w:szCs w:val="24"/>
          <w:lang w:val="es-ES_tradnl"/>
        </w:rPr>
        <w:t xml:space="preserve">BBB: </w:t>
      </w:r>
      <w:r w:rsidRPr="0000522C">
        <w:rPr>
          <w:bCs/>
          <w:snapToGrid w:val="0"/>
          <w:sz w:val="24"/>
          <w:szCs w:val="24"/>
          <w:lang w:val="es-ES_tradnl"/>
        </w:rPr>
        <w:t>Corresponde</w:t>
      </w:r>
      <w:r w:rsidRPr="0000522C">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811E8E" w:rsidRPr="0000522C" w:rsidRDefault="00811E8E" w:rsidP="00811E8E">
      <w:pPr>
        <w:tabs>
          <w:tab w:val="left" w:pos="-2160"/>
          <w:tab w:val="left" w:pos="-1980"/>
        </w:tabs>
        <w:jc w:val="both"/>
        <w:rPr>
          <w:rFonts w:eastAsia="Arial Unicode MS"/>
          <w:b/>
          <w:bCs/>
          <w:snapToGrid w:val="0"/>
          <w:sz w:val="24"/>
          <w:szCs w:val="24"/>
          <w:lang w:val="es-ES_tradnl"/>
        </w:rPr>
      </w:pPr>
    </w:p>
    <w:p w:rsidR="00811E8E" w:rsidRPr="0000522C" w:rsidRDefault="00811E8E" w:rsidP="00811E8E">
      <w:pPr>
        <w:rPr>
          <w:sz w:val="24"/>
          <w:szCs w:val="24"/>
          <w:lang w:val="es-SV"/>
        </w:rPr>
      </w:pPr>
      <w:r w:rsidRPr="0000522C">
        <w:rPr>
          <w:sz w:val="24"/>
          <w:szCs w:val="24"/>
          <w:lang w:val="es-SV"/>
        </w:rPr>
        <w:t>El signo “+” indica una tendencia ascendente hacia la categoría de clasificación inmediata superior. </w:t>
      </w:r>
    </w:p>
    <w:p w:rsidR="00D12961" w:rsidRPr="0000522C" w:rsidRDefault="00D12961" w:rsidP="00BB5052">
      <w:pPr>
        <w:rPr>
          <w:sz w:val="24"/>
          <w:szCs w:val="24"/>
          <w:lang w:val="es-SV"/>
        </w:rPr>
      </w:pPr>
    </w:p>
    <w:p w:rsidR="007F5B2A" w:rsidRPr="0000522C" w:rsidRDefault="007F5B2A" w:rsidP="00BB5052">
      <w:pPr>
        <w:rPr>
          <w:sz w:val="24"/>
          <w:szCs w:val="24"/>
          <w:lang w:val="es-SV"/>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lastRenderedPageBreak/>
        <w:t>ACCIONES DE TESORERÍA</w:t>
      </w:r>
    </w:p>
    <w:p w:rsidR="00441518" w:rsidRPr="0000522C" w:rsidRDefault="00441518">
      <w:pPr>
        <w:pStyle w:val="Sangra2detindependiente"/>
        <w:tabs>
          <w:tab w:val="left" w:pos="709"/>
        </w:tabs>
        <w:ind w:left="0"/>
        <w:rPr>
          <w:b/>
          <w:bCs/>
          <w:lang w:val="es-ES"/>
        </w:rPr>
      </w:pPr>
    </w:p>
    <w:p w:rsidR="00441518" w:rsidRPr="0000522C" w:rsidRDefault="00441518">
      <w:pPr>
        <w:pStyle w:val="Sangra2detindependiente"/>
        <w:tabs>
          <w:tab w:val="left" w:pos="709"/>
        </w:tabs>
        <w:ind w:left="0"/>
        <w:rPr>
          <w:lang w:val="es-ES"/>
        </w:rPr>
      </w:pPr>
      <w:r w:rsidRPr="0000522C">
        <w:rPr>
          <w:lang w:val="es-ES"/>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rsidR="00441518" w:rsidRPr="0000522C" w:rsidRDefault="00441518">
      <w:pPr>
        <w:pStyle w:val="Sangra2detindependiente"/>
        <w:tabs>
          <w:tab w:val="left" w:pos="709"/>
        </w:tabs>
        <w:ind w:left="0"/>
        <w:rPr>
          <w:lang w:val="es-ES"/>
        </w:rPr>
      </w:pPr>
    </w:p>
    <w:p w:rsidR="00441518" w:rsidRPr="0000522C" w:rsidRDefault="00441518">
      <w:pPr>
        <w:pStyle w:val="Sangra2detindependiente"/>
        <w:tabs>
          <w:tab w:val="left" w:pos="709"/>
        </w:tabs>
        <w:ind w:left="0"/>
        <w:rPr>
          <w:lang w:val="es-ES"/>
        </w:rPr>
      </w:pPr>
      <w:r w:rsidRPr="0000522C">
        <w:rPr>
          <w:lang w:val="es-ES"/>
        </w:rPr>
        <w:t>Estas acciones se deben utilizar, con autorización de la Superintendencia del Sistema Financiero, para ofrecerlas en primer lugar a los accionistas del Banco y luego al público, con el objeto de subsanar deficiencias de fondo patrimonial del Banco.</w:t>
      </w:r>
    </w:p>
    <w:p w:rsidR="00A158D8" w:rsidRPr="0000522C" w:rsidRDefault="00A158D8">
      <w:pPr>
        <w:pStyle w:val="Sangra2detindependiente"/>
        <w:tabs>
          <w:tab w:val="left" w:pos="709"/>
        </w:tabs>
        <w:ind w:left="0"/>
        <w:rPr>
          <w:lang w:val="es-ES"/>
        </w:rPr>
      </w:pPr>
    </w:p>
    <w:p w:rsidR="00441518" w:rsidRPr="0000522C" w:rsidRDefault="00441518">
      <w:pPr>
        <w:pStyle w:val="Sangra2detindependiente"/>
        <w:tabs>
          <w:tab w:val="left" w:pos="709"/>
        </w:tabs>
        <w:ind w:left="0"/>
        <w:rPr>
          <w:lang w:val="es-ES"/>
        </w:rPr>
      </w:pPr>
      <w:r w:rsidRPr="0000522C">
        <w:rPr>
          <w:lang w:val="es-ES"/>
        </w:rPr>
        <w:t>Las acciones de tesorería que no hayan sido suscritas y pagadas no otorgan derechos patrimoniales ni sociales.</w:t>
      </w:r>
    </w:p>
    <w:p w:rsidR="00441518" w:rsidRPr="0000522C" w:rsidRDefault="00441518">
      <w:pPr>
        <w:pStyle w:val="Sangra2detindependiente"/>
        <w:tabs>
          <w:tab w:val="left" w:pos="709"/>
        </w:tabs>
        <w:ind w:left="0"/>
        <w:rPr>
          <w:lang w:val="es-ES"/>
        </w:rPr>
      </w:pPr>
    </w:p>
    <w:p w:rsidR="00441518" w:rsidRPr="0000522C" w:rsidRDefault="00441518">
      <w:pPr>
        <w:pStyle w:val="Sangra2detindependiente"/>
        <w:tabs>
          <w:tab w:val="left" w:pos="709"/>
        </w:tabs>
        <w:ind w:left="0"/>
        <w:rPr>
          <w:lang w:val="es-ES"/>
        </w:rPr>
      </w:pPr>
      <w:r w:rsidRPr="0000522C">
        <w:rPr>
          <w:lang w:val="es-ES"/>
        </w:rPr>
        <w:t>De acuerdo a la Ley de Creación del Banco esta nota no aplica.</w:t>
      </w:r>
    </w:p>
    <w:p w:rsidR="00441518" w:rsidRPr="0000522C" w:rsidRDefault="00441518">
      <w:pPr>
        <w:pStyle w:val="Sangra2detindependiente"/>
        <w:tabs>
          <w:tab w:val="left" w:pos="709"/>
        </w:tabs>
        <w:ind w:left="0"/>
        <w:rPr>
          <w:lang w:val="es-ES"/>
        </w:rPr>
      </w:pPr>
    </w:p>
    <w:p w:rsidR="006C70EE" w:rsidRPr="0000522C" w:rsidRDefault="006C70EE">
      <w:pPr>
        <w:pStyle w:val="Sangra2detindependiente"/>
        <w:tabs>
          <w:tab w:val="left" w:pos="709"/>
        </w:tabs>
        <w:ind w:left="0"/>
        <w:rPr>
          <w:lang w:val="es-ES"/>
        </w:rPr>
      </w:pPr>
    </w:p>
    <w:p w:rsidR="00441518" w:rsidRPr="0000522C" w:rsidRDefault="00441518" w:rsidP="00B15414">
      <w:pPr>
        <w:pStyle w:val="Ttulo7"/>
        <w:numPr>
          <w:ilvl w:val="0"/>
          <w:numId w:val="2"/>
        </w:numPr>
        <w:tabs>
          <w:tab w:val="left" w:pos="1134"/>
          <w:tab w:val="num" w:pos="1276"/>
        </w:tabs>
        <w:ind w:left="1276" w:hanging="1276"/>
        <w:rPr>
          <w:bCs/>
        </w:rPr>
      </w:pPr>
      <w:r w:rsidRPr="0000522C">
        <w:rPr>
          <w:bCs/>
        </w:rPr>
        <w:t>INFORMACIÓN POR SEGMENTOS</w:t>
      </w:r>
      <w:r w:rsidR="009C25E6" w:rsidRPr="0000522C">
        <w:rPr>
          <w:bCs/>
        </w:rPr>
        <w:t xml:space="preserve">  </w:t>
      </w:r>
    </w:p>
    <w:p w:rsidR="00441518" w:rsidRPr="0000522C" w:rsidRDefault="00441518"/>
    <w:p w:rsidR="00441518" w:rsidRPr="0000522C" w:rsidRDefault="00441518">
      <w:pPr>
        <w:pStyle w:val="Sangra2detindependiente"/>
        <w:tabs>
          <w:tab w:val="left" w:pos="709"/>
        </w:tabs>
        <w:ind w:left="0"/>
        <w:rPr>
          <w:lang w:val="es-ES"/>
        </w:rPr>
      </w:pPr>
      <w:r w:rsidRPr="0000522C">
        <w:rPr>
          <w:lang w:val="es-ES"/>
        </w:rPr>
        <w:t>El Banco de Fomento Agropecuario, únicamente se dedica a la intermediación financiera en El Salvador.</w:t>
      </w:r>
    </w:p>
    <w:p w:rsidR="00441518" w:rsidRPr="0000522C" w:rsidRDefault="00441518">
      <w:pPr>
        <w:pStyle w:val="Sangra2detindependiente"/>
        <w:tabs>
          <w:tab w:val="left" w:pos="709"/>
        </w:tabs>
        <w:ind w:left="0"/>
        <w:rPr>
          <w:lang w:val="es-ES"/>
        </w:rPr>
      </w:pPr>
    </w:p>
    <w:p w:rsidR="00673810" w:rsidRPr="0000522C" w:rsidRDefault="00673810" w:rsidP="00673810"/>
    <w:p w:rsidR="00AA225B" w:rsidRPr="0000522C" w:rsidRDefault="00D101C6" w:rsidP="00AA225B">
      <w:pPr>
        <w:pStyle w:val="Ttulo7"/>
        <w:numPr>
          <w:ilvl w:val="0"/>
          <w:numId w:val="2"/>
        </w:numPr>
        <w:tabs>
          <w:tab w:val="num" w:pos="1134"/>
        </w:tabs>
        <w:ind w:left="1134" w:hanging="1134"/>
      </w:pPr>
      <w:bookmarkStart w:id="855" w:name="OLE_LINK22"/>
      <w:bookmarkStart w:id="856" w:name="OLE_LINK26"/>
      <w:bookmarkStart w:id="857" w:name="OLE_LINK43"/>
      <w:r w:rsidRPr="0000522C">
        <w:t xml:space="preserve"> </w:t>
      </w:r>
      <w:r w:rsidR="003067B7" w:rsidRPr="0000522C">
        <w:t>HECHOS RELEVANTES Y S</w:t>
      </w:r>
      <w:r w:rsidR="004A06D7" w:rsidRPr="0000522C">
        <w:t xml:space="preserve">UBSECUENTES AL </w:t>
      </w:r>
      <w:r w:rsidR="00322D68" w:rsidRPr="0000522C">
        <w:t xml:space="preserve">30 DE </w:t>
      </w:r>
      <w:r w:rsidR="005264E3" w:rsidRPr="0000522C">
        <w:t>SEPTIEMBRE</w:t>
      </w:r>
      <w:r w:rsidR="003067B7" w:rsidRPr="0000522C">
        <w:t xml:space="preserve"> DE 201</w:t>
      </w:r>
      <w:r w:rsidR="007F5B2A" w:rsidRPr="0000522C">
        <w:t>6</w:t>
      </w:r>
      <w:r w:rsidR="003067B7" w:rsidRPr="0000522C">
        <w:t xml:space="preserve">, </w:t>
      </w:r>
      <w:r w:rsidR="009A511C" w:rsidRPr="0000522C">
        <w:t xml:space="preserve"> </w:t>
      </w:r>
      <w:r w:rsidR="003067B7" w:rsidRPr="0000522C">
        <w:t>SON LOS SIGUIENTES:</w:t>
      </w:r>
      <w:r w:rsidR="001C2FA0" w:rsidRPr="0000522C">
        <w:t xml:space="preserve"> </w:t>
      </w:r>
    </w:p>
    <w:p w:rsidR="00FE4D30" w:rsidRPr="0000522C" w:rsidRDefault="00FE4D30" w:rsidP="00FE4D30"/>
    <w:p w:rsidR="00480592" w:rsidRPr="0000522C" w:rsidRDefault="00FE4D30" w:rsidP="00480592">
      <w:pPr>
        <w:numPr>
          <w:ilvl w:val="0"/>
          <w:numId w:val="48"/>
        </w:numPr>
        <w:tabs>
          <w:tab w:val="left" w:pos="-2160"/>
          <w:tab w:val="left" w:pos="-1980"/>
        </w:tabs>
        <w:snapToGrid w:val="0"/>
        <w:spacing w:after="200" w:line="276" w:lineRule="auto"/>
        <w:jc w:val="both"/>
        <w:rPr>
          <w:sz w:val="24"/>
          <w:szCs w:val="24"/>
          <w:lang w:val="es-ES_tradnl"/>
        </w:rPr>
      </w:pPr>
      <w:r w:rsidRPr="0000522C">
        <w:rPr>
          <w:sz w:val="24"/>
          <w:szCs w:val="24"/>
          <w:lang w:val="es-ES_tradnl"/>
        </w:rPr>
        <w:t>A</w:t>
      </w:r>
      <w:bookmarkEnd w:id="855"/>
      <w:bookmarkEnd w:id="856"/>
      <w:bookmarkEnd w:id="857"/>
      <w:r w:rsidR="00480592" w:rsidRPr="0000522C">
        <w:rPr>
          <w:sz w:val="24"/>
          <w:szCs w:val="24"/>
          <w:lang w:val="es-ES_tradnl"/>
        </w:rPr>
        <w:t xml:space="preserve"> CAMBIO DE DIRECTORES Y FUNCIONARIOS</w:t>
      </w:r>
    </w:p>
    <w:p w:rsidR="00480592" w:rsidRPr="0000522C" w:rsidRDefault="00480592" w:rsidP="00480592">
      <w:pPr>
        <w:numPr>
          <w:ilvl w:val="0"/>
          <w:numId w:val="14"/>
        </w:numPr>
        <w:tabs>
          <w:tab w:val="left" w:pos="-2160"/>
          <w:tab w:val="left" w:pos="-1980"/>
        </w:tabs>
        <w:snapToGrid w:val="0"/>
        <w:spacing w:after="200" w:line="276" w:lineRule="auto"/>
        <w:ind w:left="993"/>
        <w:jc w:val="both"/>
        <w:rPr>
          <w:sz w:val="24"/>
          <w:szCs w:val="24"/>
          <w:lang w:val="es-ES_tradnl"/>
        </w:rPr>
      </w:pPr>
      <w:r w:rsidRPr="0000522C">
        <w:rPr>
          <w:sz w:val="24"/>
          <w:szCs w:val="24"/>
          <w:lang w:val="es-ES_tradnl"/>
        </w:rPr>
        <w:t>Licenciada Marta Carolina Águila de Hernández nombrada Directora suplente para un nuevo periodo por parte del Banco Central de Reserva,  a partir de 14 de mayo de 2016 al 14 de mayo 2018.</w:t>
      </w:r>
    </w:p>
    <w:p w:rsidR="00480592" w:rsidRPr="0000522C" w:rsidRDefault="00480592" w:rsidP="00480592">
      <w:pPr>
        <w:numPr>
          <w:ilvl w:val="0"/>
          <w:numId w:val="14"/>
        </w:numPr>
        <w:tabs>
          <w:tab w:val="left" w:pos="-2160"/>
          <w:tab w:val="left" w:pos="-1980"/>
        </w:tabs>
        <w:snapToGrid w:val="0"/>
        <w:spacing w:after="200" w:line="276" w:lineRule="auto"/>
        <w:ind w:left="993"/>
        <w:jc w:val="both"/>
        <w:rPr>
          <w:sz w:val="24"/>
          <w:szCs w:val="24"/>
          <w:lang w:val="es-ES_tradnl"/>
        </w:rPr>
      </w:pPr>
      <w:r w:rsidRPr="0000522C">
        <w:rPr>
          <w:sz w:val="24"/>
          <w:szCs w:val="24"/>
          <w:lang w:val="es-ES_tradnl"/>
        </w:rPr>
        <w:t>Ingeniero Erick Mauricio Guzmán Zelaya nombrado Director propietario para un nuevo periodo por parte del Banco Central de Reserva,  a partir de 22 de julio de 2016 al 21 de julio 2018.</w:t>
      </w:r>
    </w:p>
    <w:p w:rsidR="00597B28" w:rsidRDefault="00480592" w:rsidP="00597B28">
      <w:pPr>
        <w:numPr>
          <w:ilvl w:val="0"/>
          <w:numId w:val="14"/>
        </w:numPr>
        <w:tabs>
          <w:tab w:val="left" w:pos="-2160"/>
          <w:tab w:val="left" w:pos="-1980"/>
          <w:tab w:val="left" w:pos="709"/>
        </w:tabs>
        <w:snapToGrid w:val="0"/>
        <w:ind w:left="993"/>
        <w:jc w:val="both"/>
        <w:rPr>
          <w:sz w:val="24"/>
          <w:szCs w:val="24"/>
          <w:lang w:val="es-ES_tradnl"/>
        </w:rPr>
      </w:pPr>
      <w:r w:rsidRPr="00597B28">
        <w:rPr>
          <w:sz w:val="24"/>
          <w:szCs w:val="24"/>
          <w:lang w:val="es-ES_tradnl"/>
        </w:rPr>
        <w:t>Licenciada Silvia Margarita Rivas de Solórzano, reelecta Directora suplente en representación de las Asociaciones Cooperativas del Sistema, a partir</w:t>
      </w:r>
      <w:r w:rsidR="00597B28">
        <w:rPr>
          <w:sz w:val="24"/>
          <w:szCs w:val="24"/>
          <w:lang w:val="es-ES_tradnl"/>
        </w:rPr>
        <w:t xml:space="preserve"> del</w:t>
      </w:r>
      <w:r w:rsidRPr="00597B28">
        <w:rPr>
          <w:sz w:val="24"/>
          <w:szCs w:val="24"/>
          <w:lang w:val="es-ES_tradnl"/>
        </w:rPr>
        <w:t xml:space="preserve"> 1</w:t>
      </w:r>
      <w:r w:rsidR="00597B28" w:rsidRPr="00597B28">
        <w:rPr>
          <w:sz w:val="24"/>
          <w:szCs w:val="24"/>
          <w:lang w:val="es-ES_tradnl"/>
        </w:rPr>
        <w:t xml:space="preserve">0 </w:t>
      </w:r>
      <w:r w:rsidRPr="00597B28">
        <w:rPr>
          <w:sz w:val="24"/>
          <w:szCs w:val="24"/>
          <w:lang w:val="es-ES_tradnl"/>
        </w:rPr>
        <w:t>de agosto de 201</w:t>
      </w:r>
      <w:r w:rsidR="00597B28" w:rsidRPr="00597B28">
        <w:rPr>
          <w:sz w:val="24"/>
          <w:szCs w:val="24"/>
          <w:lang w:val="es-ES_tradnl"/>
        </w:rPr>
        <w:t>6</w:t>
      </w:r>
      <w:r w:rsidRPr="00597B28">
        <w:rPr>
          <w:sz w:val="24"/>
          <w:szCs w:val="24"/>
          <w:lang w:val="es-ES_tradnl"/>
        </w:rPr>
        <w:t xml:space="preserve"> al 9 de agosto de 2017.</w:t>
      </w:r>
    </w:p>
    <w:p w:rsidR="00597B28" w:rsidRDefault="00597B28" w:rsidP="00597B28">
      <w:pPr>
        <w:tabs>
          <w:tab w:val="left" w:pos="-2160"/>
          <w:tab w:val="left" w:pos="-1980"/>
          <w:tab w:val="left" w:pos="709"/>
        </w:tabs>
        <w:snapToGrid w:val="0"/>
        <w:ind w:left="720"/>
        <w:jc w:val="both"/>
        <w:rPr>
          <w:sz w:val="24"/>
          <w:szCs w:val="24"/>
          <w:lang w:val="es-ES_tradnl"/>
        </w:rPr>
      </w:pPr>
    </w:p>
    <w:p w:rsidR="002C6CB2" w:rsidRPr="00597B28" w:rsidRDefault="00480592" w:rsidP="00597B28">
      <w:pPr>
        <w:numPr>
          <w:ilvl w:val="0"/>
          <w:numId w:val="14"/>
        </w:numPr>
        <w:tabs>
          <w:tab w:val="left" w:pos="-2160"/>
          <w:tab w:val="left" w:pos="-1980"/>
          <w:tab w:val="left" w:pos="709"/>
        </w:tabs>
        <w:snapToGrid w:val="0"/>
        <w:ind w:left="993"/>
        <w:jc w:val="both"/>
        <w:rPr>
          <w:sz w:val="24"/>
          <w:szCs w:val="24"/>
          <w:lang w:val="es-ES_tradnl"/>
        </w:rPr>
      </w:pPr>
      <w:r w:rsidRPr="00597B28">
        <w:rPr>
          <w:sz w:val="24"/>
          <w:szCs w:val="24"/>
          <w:lang w:val="es-ES_tradnl"/>
        </w:rPr>
        <w:t>Agrónomo Carlos Antonio Boza Dreyfus, reelecto como Director Suplente, en representación de las Sociedades Cooperativas Agropecuarias y Asociaciones Gremiales Agropecuarias, para el período</w:t>
      </w:r>
      <w:r w:rsidRPr="00597B28">
        <w:rPr>
          <w:sz w:val="24"/>
          <w:lang w:val="es-ES_tradnl"/>
        </w:rPr>
        <w:t xml:space="preserve"> del 10 de agosto de 2016 al 9 de agosto de 2017.</w:t>
      </w:r>
    </w:p>
    <w:p w:rsidR="002C6CB2" w:rsidRDefault="002C6CB2" w:rsidP="002C6CB2">
      <w:pPr>
        <w:pStyle w:val="Prrafodelista"/>
        <w:rPr>
          <w:sz w:val="24"/>
        </w:rPr>
      </w:pPr>
    </w:p>
    <w:p w:rsidR="00CD0528" w:rsidRPr="002C6CB2" w:rsidRDefault="00C41C4B" w:rsidP="00597B28">
      <w:pPr>
        <w:numPr>
          <w:ilvl w:val="0"/>
          <w:numId w:val="14"/>
        </w:numPr>
        <w:tabs>
          <w:tab w:val="left" w:pos="-2160"/>
          <w:tab w:val="left" w:pos="-1980"/>
          <w:tab w:val="left" w:pos="709"/>
        </w:tabs>
        <w:snapToGrid w:val="0"/>
        <w:ind w:left="993"/>
        <w:jc w:val="both"/>
        <w:rPr>
          <w:sz w:val="24"/>
          <w:szCs w:val="24"/>
          <w:lang w:val="es-ES_tradnl"/>
        </w:rPr>
      </w:pPr>
      <w:r w:rsidRPr="002C6CB2">
        <w:rPr>
          <w:sz w:val="24"/>
        </w:rPr>
        <w:lastRenderedPageBreak/>
        <w:t xml:space="preserve"> </w:t>
      </w:r>
      <w:r w:rsidR="00BA69F1" w:rsidRPr="002C6CB2">
        <w:rPr>
          <w:sz w:val="24"/>
        </w:rPr>
        <w:t xml:space="preserve">Licenciado Alvaro Edgardo Almeida Huezo, nombrado Director Propietario, en </w:t>
      </w:r>
      <w:r w:rsidRPr="002C6CB2">
        <w:rPr>
          <w:sz w:val="24"/>
        </w:rPr>
        <w:t xml:space="preserve">  </w:t>
      </w:r>
      <w:r w:rsidR="00BA69F1" w:rsidRPr="002C6CB2">
        <w:rPr>
          <w:sz w:val="24"/>
        </w:rPr>
        <w:t xml:space="preserve">representación del Ministerio de Economía, a partir del 1 de octubre </w:t>
      </w:r>
      <w:r w:rsidR="007F5B2A" w:rsidRPr="002C6CB2">
        <w:rPr>
          <w:sz w:val="24"/>
        </w:rPr>
        <w:t xml:space="preserve">de 2016 </w:t>
      </w:r>
      <w:r w:rsidR="00BA69F1" w:rsidRPr="002C6CB2">
        <w:rPr>
          <w:sz w:val="24"/>
        </w:rPr>
        <w:t>al 31 de enero de 2018, en sustitución del</w:t>
      </w:r>
      <w:r w:rsidR="00BA69F1" w:rsidRPr="0000522C">
        <w:t xml:space="preserve"> </w:t>
      </w:r>
      <w:r w:rsidR="00BA69F1" w:rsidRPr="002C6CB2">
        <w:rPr>
          <w:sz w:val="24"/>
        </w:rPr>
        <w:t>Ingeniero Teodoro Antonio Romero Romero.</w:t>
      </w:r>
    </w:p>
    <w:p w:rsidR="00CD0528" w:rsidRDefault="00CD0528" w:rsidP="00CD0528">
      <w:pPr>
        <w:pStyle w:val="Prrafodelista"/>
        <w:rPr>
          <w:sz w:val="24"/>
          <w:szCs w:val="24"/>
          <w:lang w:val="es-ES_tradnl"/>
        </w:rPr>
      </w:pPr>
    </w:p>
    <w:p w:rsidR="002644DC" w:rsidRPr="00E60C65" w:rsidRDefault="002644DC" w:rsidP="00597B28">
      <w:pPr>
        <w:numPr>
          <w:ilvl w:val="0"/>
          <w:numId w:val="14"/>
        </w:numPr>
        <w:tabs>
          <w:tab w:val="left" w:pos="-2160"/>
          <w:tab w:val="left" w:pos="-1980"/>
          <w:tab w:val="left" w:pos="709"/>
        </w:tabs>
        <w:snapToGrid w:val="0"/>
        <w:ind w:left="993"/>
        <w:jc w:val="both"/>
        <w:rPr>
          <w:sz w:val="24"/>
          <w:szCs w:val="24"/>
          <w:lang w:val="es-ES_tradnl"/>
        </w:rPr>
      </w:pPr>
      <w:r w:rsidRPr="00E60C65">
        <w:rPr>
          <w:sz w:val="24"/>
          <w:szCs w:val="24"/>
          <w:lang w:val="es-ES_tradnl"/>
        </w:rPr>
        <w:t>A partir de 19 de septiembre de 2016, se han nombrado interinamente al Licenciado Hugo Alvaro Rivas, Gerente Legal y al Licenciado Jaime Roberto Duanes Mart</w:t>
      </w:r>
      <w:r w:rsidR="00E60C65">
        <w:rPr>
          <w:sz w:val="24"/>
          <w:szCs w:val="24"/>
          <w:lang w:val="es-ES_tradnl"/>
        </w:rPr>
        <w:t>í</w:t>
      </w:r>
      <w:r w:rsidRPr="00E60C65">
        <w:rPr>
          <w:sz w:val="24"/>
          <w:szCs w:val="24"/>
          <w:lang w:val="es-ES_tradnl"/>
        </w:rPr>
        <w:t>nez</w:t>
      </w:r>
      <w:r w:rsidR="00E60C65">
        <w:rPr>
          <w:sz w:val="24"/>
          <w:szCs w:val="24"/>
          <w:lang w:val="es-ES_tradnl"/>
        </w:rPr>
        <w:t>,</w:t>
      </w:r>
      <w:r w:rsidRPr="00E60C65">
        <w:rPr>
          <w:sz w:val="24"/>
          <w:szCs w:val="24"/>
          <w:lang w:val="es-ES_tradnl"/>
        </w:rPr>
        <w:t xml:space="preserve"> Secretario Corporativo, en sustitución del Licenciado José Eduardo Aguilar Molina</w:t>
      </w:r>
      <w:r w:rsidR="00E60C65">
        <w:rPr>
          <w:sz w:val="24"/>
          <w:szCs w:val="24"/>
          <w:lang w:val="es-ES_tradnl"/>
        </w:rPr>
        <w:t>,</w:t>
      </w:r>
      <w:r w:rsidR="00CD0528" w:rsidRPr="00E60C65">
        <w:rPr>
          <w:sz w:val="24"/>
          <w:szCs w:val="24"/>
          <w:lang w:val="es-ES_tradnl"/>
        </w:rPr>
        <w:t xml:space="preserve"> qu</w:t>
      </w:r>
      <w:r w:rsidR="00E60C65">
        <w:rPr>
          <w:sz w:val="24"/>
          <w:szCs w:val="24"/>
          <w:lang w:val="es-ES_tradnl"/>
        </w:rPr>
        <w:t>e</w:t>
      </w:r>
      <w:r w:rsidR="00CD0528" w:rsidRPr="00E60C65">
        <w:t xml:space="preserve"> </w:t>
      </w:r>
      <w:r w:rsidR="00CD0528" w:rsidRPr="00E60C65">
        <w:rPr>
          <w:sz w:val="24"/>
          <w:szCs w:val="24"/>
          <w:lang w:val="es-ES_tradnl"/>
        </w:rPr>
        <w:t>renunció al cargo de Gerente Legal y Secretario Corporativo</w:t>
      </w:r>
      <w:r w:rsidRPr="00E60C65">
        <w:rPr>
          <w:sz w:val="24"/>
          <w:szCs w:val="24"/>
          <w:lang w:val="es-ES_tradnl"/>
        </w:rPr>
        <w:t xml:space="preserve">. </w:t>
      </w:r>
    </w:p>
    <w:p w:rsidR="00C41C4B" w:rsidRPr="00C41C4B" w:rsidRDefault="00C41C4B" w:rsidP="00C41C4B">
      <w:pPr>
        <w:tabs>
          <w:tab w:val="left" w:pos="-2160"/>
          <w:tab w:val="left" w:pos="-1980"/>
          <w:tab w:val="left" w:pos="709"/>
        </w:tabs>
        <w:snapToGrid w:val="0"/>
        <w:ind w:left="993"/>
        <w:jc w:val="both"/>
        <w:rPr>
          <w:sz w:val="24"/>
          <w:szCs w:val="24"/>
          <w:lang w:val="es-ES_tradnl"/>
        </w:rPr>
      </w:pPr>
    </w:p>
    <w:p w:rsidR="00480592" w:rsidRPr="0000522C" w:rsidRDefault="00480592" w:rsidP="00480592">
      <w:pPr>
        <w:numPr>
          <w:ilvl w:val="0"/>
          <w:numId w:val="48"/>
        </w:numPr>
        <w:tabs>
          <w:tab w:val="left" w:pos="-2160"/>
          <w:tab w:val="left" w:pos="-1980"/>
        </w:tabs>
        <w:snapToGrid w:val="0"/>
        <w:spacing w:after="200" w:line="276" w:lineRule="auto"/>
        <w:jc w:val="both"/>
        <w:rPr>
          <w:sz w:val="24"/>
          <w:szCs w:val="24"/>
          <w:lang w:val="es-ES_tradnl"/>
        </w:rPr>
      </w:pPr>
      <w:r w:rsidRPr="0000522C">
        <w:rPr>
          <w:sz w:val="24"/>
          <w:szCs w:val="24"/>
          <w:lang w:val="es-ES_tradnl"/>
        </w:rPr>
        <w:t>VENTA Y CESION DE CARTERA AL FIDEAGRO</w:t>
      </w:r>
    </w:p>
    <w:p w:rsidR="00480592" w:rsidRPr="0000522C" w:rsidRDefault="00480592" w:rsidP="00480592">
      <w:pPr>
        <w:ind w:left="709"/>
        <w:jc w:val="both"/>
        <w:rPr>
          <w:sz w:val="24"/>
          <w:szCs w:val="24"/>
          <w:lang w:val="es-ES_tradnl"/>
        </w:rPr>
      </w:pPr>
      <w:r w:rsidRPr="0000522C">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$868.3; siendo el 100% $1,157.8.</w:t>
      </w:r>
    </w:p>
    <w:p w:rsidR="00480592" w:rsidRPr="0000522C" w:rsidRDefault="00480592" w:rsidP="00480592">
      <w:pPr>
        <w:ind w:left="709"/>
        <w:jc w:val="both"/>
        <w:rPr>
          <w:sz w:val="24"/>
          <w:szCs w:val="24"/>
          <w:lang w:val="es-ES_tradnl"/>
        </w:rPr>
      </w:pPr>
    </w:p>
    <w:p w:rsidR="00480592" w:rsidRPr="0000522C" w:rsidRDefault="00480592" w:rsidP="00480592">
      <w:pPr>
        <w:numPr>
          <w:ilvl w:val="0"/>
          <w:numId w:val="48"/>
        </w:numPr>
        <w:tabs>
          <w:tab w:val="left" w:pos="-2160"/>
          <w:tab w:val="left" w:pos="-1980"/>
        </w:tabs>
        <w:snapToGrid w:val="0"/>
        <w:spacing w:after="200" w:line="276" w:lineRule="auto"/>
        <w:jc w:val="both"/>
        <w:rPr>
          <w:sz w:val="24"/>
          <w:szCs w:val="24"/>
          <w:lang w:val="es-ES_tradnl"/>
        </w:rPr>
      </w:pPr>
      <w:r w:rsidRPr="0000522C">
        <w:rPr>
          <w:sz w:val="24"/>
          <w:szCs w:val="24"/>
          <w:lang w:val="es-ES_tradnl"/>
        </w:rPr>
        <w:t>CERTIFICACIÓN ISO 9001: 2008.</w:t>
      </w:r>
    </w:p>
    <w:p w:rsidR="00480592" w:rsidRPr="0000522C" w:rsidRDefault="007F5B2A" w:rsidP="00480592">
      <w:pPr>
        <w:ind w:left="709"/>
        <w:jc w:val="both"/>
        <w:rPr>
          <w:sz w:val="24"/>
          <w:szCs w:val="24"/>
          <w:lang w:val="es-ES_tradnl"/>
        </w:rPr>
      </w:pPr>
      <w:r w:rsidRPr="0000522C">
        <w:rPr>
          <w:sz w:val="24"/>
          <w:szCs w:val="24"/>
          <w:lang w:val="es-ES_tradnl"/>
        </w:rPr>
        <w:t>En el mes de septiembre de 2016, el Banco fue certificado por sexto año consecutivo con la Norma ISO 9001: 2008, por aplicar un Sistema de Gestió</w:t>
      </w:r>
      <w:r w:rsidR="006C570E">
        <w:rPr>
          <w:sz w:val="24"/>
          <w:szCs w:val="24"/>
          <w:lang w:val="es-ES_tradnl"/>
        </w:rPr>
        <w:t xml:space="preserve">n de la Calidad en los procesos de </w:t>
      </w:r>
      <w:r w:rsidRPr="0000522C">
        <w:rPr>
          <w:sz w:val="24"/>
          <w:szCs w:val="24"/>
          <w:lang w:val="es-ES_tradnl"/>
        </w:rPr>
        <w:t>apoyo financiero integral a los sectores productivos mediante el otorgamiento de créditos, recuperación de deudas, manejo de depósitos y otros servicios financieros.</w:t>
      </w:r>
    </w:p>
    <w:p w:rsidR="007F5B2A" w:rsidRDefault="007F5B2A" w:rsidP="00480592">
      <w:pPr>
        <w:ind w:left="709"/>
        <w:jc w:val="both"/>
        <w:rPr>
          <w:sz w:val="24"/>
          <w:szCs w:val="24"/>
          <w:lang w:val="es-ES_tradnl"/>
        </w:rPr>
      </w:pPr>
    </w:p>
    <w:p w:rsidR="006C570E" w:rsidRPr="0000522C" w:rsidRDefault="006C570E" w:rsidP="00480592">
      <w:pPr>
        <w:ind w:left="709"/>
        <w:jc w:val="both"/>
        <w:rPr>
          <w:sz w:val="24"/>
          <w:szCs w:val="24"/>
          <w:lang w:val="es-ES_tradnl"/>
        </w:rPr>
      </w:pPr>
    </w:p>
    <w:p w:rsidR="00480592" w:rsidRPr="0000522C" w:rsidRDefault="00480592" w:rsidP="00480592">
      <w:pPr>
        <w:tabs>
          <w:tab w:val="left" w:pos="-2160"/>
          <w:tab w:val="left" w:pos="-1980"/>
        </w:tabs>
        <w:snapToGrid w:val="0"/>
        <w:jc w:val="both"/>
        <w:rPr>
          <w:b/>
          <w:sz w:val="24"/>
          <w:lang w:val="es-ES_tradnl"/>
        </w:rPr>
      </w:pPr>
      <w:r w:rsidRPr="0000522C">
        <w:rPr>
          <w:b/>
          <w:sz w:val="24"/>
          <w:lang w:val="es-ES_tradnl"/>
        </w:rPr>
        <w:t>HECHOS RELEVANTES Y SUBSECUENTES AL 30 DE SEPTIEMBRE DE 2015,  SON LOS SIGUIENTES:</w:t>
      </w:r>
    </w:p>
    <w:p w:rsidR="00480592" w:rsidRPr="0000522C" w:rsidRDefault="00480592" w:rsidP="00480592">
      <w:pPr>
        <w:widowControl w:val="0"/>
        <w:tabs>
          <w:tab w:val="left" w:pos="-2160"/>
          <w:tab w:val="left" w:pos="-1980"/>
          <w:tab w:val="left" w:pos="1296"/>
        </w:tabs>
        <w:ind w:left="1134"/>
        <w:jc w:val="both"/>
        <w:rPr>
          <w:rFonts w:ascii="Arial" w:hAnsi="Arial"/>
          <w:b/>
          <w:snapToGrid w:val="0"/>
          <w:sz w:val="24"/>
          <w:lang w:val="es-ES_tradnl"/>
        </w:rPr>
      </w:pPr>
    </w:p>
    <w:p w:rsidR="00480592" w:rsidRPr="0000522C" w:rsidRDefault="00480592" w:rsidP="00480592">
      <w:pPr>
        <w:numPr>
          <w:ilvl w:val="0"/>
          <w:numId w:val="50"/>
        </w:numPr>
        <w:tabs>
          <w:tab w:val="left" w:pos="-2160"/>
          <w:tab w:val="left" w:pos="-1980"/>
        </w:tabs>
        <w:snapToGrid w:val="0"/>
        <w:spacing w:after="200" w:line="276" w:lineRule="auto"/>
        <w:jc w:val="both"/>
        <w:rPr>
          <w:sz w:val="24"/>
        </w:rPr>
      </w:pPr>
      <w:r w:rsidRPr="0000522C">
        <w:rPr>
          <w:sz w:val="24"/>
        </w:rPr>
        <w:t>CAMBIO DE DIRECTORES Y FUNCIONARIOS</w:t>
      </w:r>
    </w:p>
    <w:p w:rsidR="00480592" w:rsidRPr="0000522C" w:rsidRDefault="00480592" w:rsidP="00480592">
      <w:pPr>
        <w:numPr>
          <w:ilvl w:val="0"/>
          <w:numId w:val="14"/>
        </w:numPr>
        <w:tabs>
          <w:tab w:val="left" w:pos="-2160"/>
          <w:tab w:val="left" w:pos="-1980"/>
        </w:tabs>
        <w:snapToGrid w:val="0"/>
        <w:spacing w:after="200" w:line="276" w:lineRule="auto"/>
        <w:ind w:left="993"/>
        <w:jc w:val="both"/>
        <w:rPr>
          <w:sz w:val="24"/>
        </w:rPr>
      </w:pPr>
      <w:r w:rsidRPr="0000522C">
        <w:rPr>
          <w:sz w:val="24"/>
        </w:rPr>
        <w:t>Ingeniero Teodoro Antonio Romero Romero, nombrado Director Propietario, en representación del Ministerio de Economía, a partir del 1 de febrero de 2015 al 31 de enero de 2018.</w:t>
      </w:r>
    </w:p>
    <w:p w:rsidR="00480592" w:rsidRPr="0000522C" w:rsidRDefault="00480592" w:rsidP="00480592">
      <w:pPr>
        <w:numPr>
          <w:ilvl w:val="0"/>
          <w:numId w:val="14"/>
        </w:numPr>
        <w:tabs>
          <w:tab w:val="left" w:pos="-2160"/>
          <w:tab w:val="left" w:pos="-1980"/>
        </w:tabs>
        <w:snapToGrid w:val="0"/>
        <w:spacing w:after="200" w:line="276" w:lineRule="auto"/>
        <w:ind w:left="993"/>
        <w:jc w:val="both"/>
        <w:rPr>
          <w:sz w:val="24"/>
        </w:rPr>
      </w:pPr>
      <w:r w:rsidRPr="0000522C">
        <w:rPr>
          <w:sz w:val="24"/>
        </w:rPr>
        <w:t>Licenciada Ivett Alejandrina Rodríguez de Díaz, nombrada Gerente de Sistemas en sustitución del Licenciado Germán Antonio Rosales, a partir del 1 de junio de 2015.</w:t>
      </w:r>
    </w:p>
    <w:p w:rsidR="00480592" w:rsidRPr="0000522C" w:rsidRDefault="00480592" w:rsidP="00480592">
      <w:pPr>
        <w:numPr>
          <w:ilvl w:val="0"/>
          <w:numId w:val="14"/>
        </w:numPr>
        <w:tabs>
          <w:tab w:val="left" w:pos="-2160"/>
          <w:tab w:val="left" w:pos="-1980"/>
        </w:tabs>
        <w:snapToGrid w:val="0"/>
        <w:spacing w:after="200" w:line="276" w:lineRule="auto"/>
        <w:ind w:left="993"/>
        <w:jc w:val="both"/>
        <w:rPr>
          <w:sz w:val="24"/>
        </w:rPr>
      </w:pPr>
      <w:r w:rsidRPr="0000522C">
        <w:rPr>
          <w:sz w:val="24"/>
        </w:rPr>
        <w:t xml:space="preserve"> Licenciado José Marles Guevara Mejía, nombrado Director suplente, en representación del Ministerio de Agricultura y Ganadería, a partir del 22 de julio de 2015 al 21 de julio de 2018.</w:t>
      </w:r>
    </w:p>
    <w:p w:rsidR="00480592" w:rsidRPr="0000522C" w:rsidRDefault="00480592" w:rsidP="00480592">
      <w:pPr>
        <w:numPr>
          <w:ilvl w:val="0"/>
          <w:numId w:val="14"/>
        </w:numPr>
        <w:tabs>
          <w:tab w:val="left" w:pos="-2160"/>
          <w:tab w:val="left" w:pos="-1980"/>
        </w:tabs>
        <w:snapToGrid w:val="0"/>
        <w:spacing w:after="200" w:line="276" w:lineRule="auto"/>
        <w:ind w:left="993"/>
        <w:jc w:val="both"/>
        <w:rPr>
          <w:sz w:val="24"/>
        </w:rPr>
      </w:pPr>
      <w:r w:rsidRPr="0000522C">
        <w:rPr>
          <w:sz w:val="24"/>
        </w:rPr>
        <w:t xml:space="preserve">Fueron reelectos para un nuevo período los Directores: Licenciado José Joaquín Salaverría González y Agrónomo Carlos Antonio Boza Dreyfus y las Directoras </w:t>
      </w:r>
      <w:r w:rsidRPr="0000522C">
        <w:rPr>
          <w:sz w:val="24"/>
        </w:rPr>
        <w:lastRenderedPageBreak/>
        <w:t>Licenciada Roxana Patricia Abrego Granados y Licenciada Silvia Margarita Rivas de Solórzano.</w:t>
      </w:r>
    </w:p>
    <w:p w:rsidR="00480592" w:rsidRPr="0000522C" w:rsidRDefault="00480592" w:rsidP="00480592">
      <w:pPr>
        <w:numPr>
          <w:ilvl w:val="0"/>
          <w:numId w:val="50"/>
        </w:numPr>
        <w:tabs>
          <w:tab w:val="left" w:pos="-2160"/>
          <w:tab w:val="left" w:pos="-1980"/>
        </w:tabs>
        <w:snapToGrid w:val="0"/>
        <w:spacing w:after="200" w:line="276" w:lineRule="auto"/>
        <w:jc w:val="both"/>
        <w:rPr>
          <w:sz w:val="24"/>
        </w:rPr>
      </w:pPr>
      <w:r w:rsidRPr="0000522C">
        <w:rPr>
          <w:sz w:val="24"/>
        </w:rPr>
        <w:t>IMPACTO A LA PRODUCCION DE GRANOS BASICOS</w:t>
      </w:r>
    </w:p>
    <w:p w:rsidR="00480592" w:rsidRPr="0000522C" w:rsidRDefault="00480592" w:rsidP="00480592">
      <w:pPr>
        <w:tabs>
          <w:tab w:val="left" w:pos="-2160"/>
          <w:tab w:val="left" w:pos="-1980"/>
        </w:tabs>
        <w:snapToGrid w:val="0"/>
        <w:spacing w:after="200" w:line="276" w:lineRule="auto"/>
        <w:ind w:left="720"/>
        <w:jc w:val="both"/>
        <w:rPr>
          <w:sz w:val="24"/>
        </w:rPr>
      </w:pPr>
      <w:r w:rsidRPr="0000522C">
        <w:rPr>
          <w:sz w:val="24"/>
        </w:rPr>
        <w:t>El Ministerio de Agricultura está evaluando los posibles daños a la producción de granos básicos a raíz de los fenómenos climatológicos que está afectando en ciertas zonas del país; el Banco está realizando un levantamiento de información, para determinar si existen clientes de créditos afectados y estimar  el posible impacto en los resultados para el próximo año, no obstante, estos créditos están garantizados con el PROGARA.</w:t>
      </w:r>
    </w:p>
    <w:p w:rsidR="00480592" w:rsidRPr="0000522C" w:rsidRDefault="00480592" w:rsidP="00480592">
      <w:pPr>
        <w:numPr>
          <w:ilvl w:val="0"/>
          <w:numId w:val="50"/>
        </w:numPr>
        <w:tabs>
          <w:tab w:val="left" w:pos="-2160"/>
          <w:tab w:val="left" w:pos="-1980"/>
        </w:tabs>
        <w:snapToGrid w:val="0"/>
        <w:spacing w:after="200" w:line="276" w:lineRule="auto"/>
        <w:jc w:val="both"/>
        <w:rPr>
          <w:sz w:val="24"/>
        </w:rPr>
      </w:pPr>
      <w:r w:rsidRPr="0000522C">
        <w:rPr>
          <w:sz w:val="24"/>
        </w:rPr>
        <w:t>CERTIFICACIÓN ISO 9001: 2008.</w:t>
      </w:r>
    </w:p>
    <w:p w:rsidR="00904DFF" w:rsidRPr="00904DFF" w:rsidRDefault="007F5B2A" w:rsidP="00CD0528">
      <w:pPr>
        <w:tabs>
          <w:tab w:val="left" w:pos="-2160"/>
          <w:tab w:val="left" w:pos="-1980"/>
        </w:tabs>
        <w:snapToGrid w:val="0"/>
        <w:spacing w:after="200" w:line="276" w:lineRule="auto"/>
        <w:ind w:left="720"/>
        <w:jc w:val="both"/>
        <w:rPr>
          <w:sz w:val="24"/>
        </w:rPr>
      </w:pPr>
      <w:r w:rsidRPr="0000522C">
        <w:rPr>
          <w:sz w:val="24"/>
        </w:rPr>
        <w:t>En el mes de septiembre de 2015, el Banco fue certificado por quinto año consecutivo con la Norma ISO 9001: 2008, por aplicar un Sistema de Gestión de la Calidad en los procesos de apoyo financiero integral a los sectores productivos mediante el otorgamiento de créditos, recuperación de deudas, manejo de depósitos y otros servicios financieros.</w:t>
      </w:r>
    </w:p>
    <w:sectPr w:rsidR="00904DFF" w:rsidRPr="00904DFF">
      <w:footerReference w:type="even" r:id="rId65"/>
      <w:footerReference w:type="default" r:id="rId66"/>
      <w:footerReference w:type="first" r:id="rId67"/>
      <w:pgSz w:w="12240" w:h="15840"/>
      <w:pgMar w:top="1412" w:right="1531" w:bottom="1412"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AB" w:rsidRDefault="00C964AB">
      <w:r>
        <w:separator/>
      </w:r>
    </w:p>
  </w:endnote>
  <w:endnote w:type="continuationSeparator" w:id="0">
    <w:p w:rsidR="00C964AB" w:rsidRDefault="00C9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BD" w:rsidRDefault="00C870B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870BD" w:rsidRDefault="00C870BD">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C870BD" w:rsidRDefault="00C870BD">
    <w:pPr>
      <w:pStyle w:val="Piedepgina"/>
    </w:pPr>
  </w:p>
  <w:p w:rsidR="00C870BD" w:rsidRDefault="00C870BD"/>
  <w:p w:rsidR="00C870BD" w:rsidRDefault="00C870BD">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t>27</w:t>
    </w:r>
    <w:r>
      <w:rPr>
        <w:rStyle w:val="Nmerodepgina"/>
      </w:rPr>
      <w:fldChar w:fldCharType="end"/>
    </w:r>
  </w:p>
  <w:p w:rsidR="00C870BD" w:rsidRDefault="00C870BD">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 51</w:t>
    </w:r>
    <w:r>
      <w:fldChar w:fldCharType="end"/>
    </w:r>
    <w:r>
      <w:t xml:space="preserve">  NCB-017</w:t>
    </w:r>
  </w:p>
  <w:p w:rsidR="00C870BD" w:rsidRDefault="00C870BD"/>
  <w:p w:rsidR="00C870BD" w:rsidRDefault="00C870BD">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15:51</w:t>
    </w:r>
    <w:r>
      <w:fldChar w:fldCharType="end"/>
    </w:r>
  </w:p>
  <w:p w:rsidR="00C870BD" w:rsidRDefault="00C870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BD" w:rsidRDefault="00C870B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4CBF">
      <w:rPr>
        <w:rStyle w:val="Nmerodepgina"/>
        <w:noProof/>
      </w:rPr>
      <w:t>2</w:t>
    </w:r>
    <w:r>
      <w:rPr>
        <w:rStyle w:val="Nmerodepgina"/>
      </w:rPr>
      <w:fldChar w:fldCharType="end"/>
    </w:r>
  </w:p>
  <w:p w:rsidR="00C870BD" w:rsidRDefault="00C870BD">
    <w:pPr>
      <w:pStyle w:val="Piedepgina"/>
      <w:ind w:right="360"/>
    </w:pPr>
    <w:r>
      <w:fldChar w:fldCharType="begin"/>
    </w:r>
    <w:r>
      <w:instrText xml:space="preserve"> TIME \@ "H:mm" </w:instrText>
    </w:r>
    <w:r>
      <w:fldChar w:fldCharType="separate"/>
    </w:r>
    <w:r w:rsidR="00F24CBF">
      <w:rPr>
        <w:noProof/>
      </w:rPr>
      <w:t>8:57</w:t>
    </w:r>
    <w:r>
      <w:fldChar w:fldCharType="end"/>
    </w:r>
    <w:r>
      <w:t xml:space="preserve">  NCB-017  </w:t>
    </w:r>
    <w:r>
      <w:fldChar w:fldCharType="begin"/>
    </w:r>
    <w:r>
      <w:instrText xml:space="preserve"> DATE \@ "dd/MM/yyyy" </w:instrText>
    </w:r>
    <w:r>
      <w:fldChar w:fldCharType="separate"/>
    </w:r>
    <w:r w:rsidR="00F24CBF">
      <w:rPr>
        <w:noProof/>
      </w:rPr>
      <w:t>03/11/2016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BD" w:rsidRDefault="00C870BD">
    <w:pPr>
      <w:pStyle w:val="Piedepgina"/>
    </w:pPr>
    <w:r>
      <w:fldChar w:fldCharType="begin"/>
    </w:r>
    <w:r>
      <w:instrText xml:space="preserve"> DATE \@ "d/MM/aa" </w:instrText>
    </w:r>
    <w:r>
      <w:fldChar w:fldCharType="separate"/>
    </w:r>
    <w:r w:rsidR="00F24CBF">
      <w:rPr>
        <w:noProof/>
      </w:rPr>
      <w:t>3/11/a</w:t>
    </w:r>
    <w:r>
      <w:fldChar w:fldCharType="end"/>
    </w:r>
    <w:r>
      <w:t xml:space="preserve">   </w:t>
    </w:r>
    <w:r>
      <w:fldChar w:fldCharType="begin"/>
    </w:r>
    <w:r>
      <w:instrText xml:space="preserve"> TIME \@ "H:mm" </w:instrText>
    </w:r>
    <w:r>
      <w:fldChar w:fldCharType="separate"/>
    </w:r>
    <w:r w:rsidR="00F24CBF">
      <w:rPr>
        <w:noProof/>
      </w:rPr>
      <w:t>8:57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AB" w:rsidRDefault="00C964AB">
      <w:r>
        <w:separator/>
      </w:r>
    </w:p>
  </w:footnote>
  <w:footnote w:type="continuationSeparator" w:id="0">
    <w:p w:rsidR="00C964AB" w:rsidRDefault="00C96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1FC0"/>
    <w:multiLevelType w:val="hybridMultilevel"/>
    <w:tmpl w:val="C300562C"/>
    <w:lvl w:ilvl="0" w:tplc="99CE1E1A">
      <w:start w:val="10"/>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0C3B61E9"/>
    <w:multiLevelType w:val="singleLevel"/>
    <w:tmpl w:val="D1DC7E00"/>
    <w:lvl w:ilvl="0">
      <w:start w:val="3"/>
      <w:numFmt w:val="lowerLetter"/>
      <w:lvlText w:val="%1)"/>
      <w:lvlJc w:val="left"/>
      <w:pPr>
        <w:tabs>
          <w:tab w:val="num" w:pos="720"/>
        </w:tabs>
        <w:ind w:left="720" w:hanging="720"/>
      </w:pPr>
    </w:lvl>
  </w:abstractNum>
  <w:abstractNum w:abstractNumId="2">
    <w:nsid w:val="0EA460CF"/>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lvl>
    <w:lvl w:ilvl="2">
      <w:start w:val="1"/>
      <w:numFmt w:val="bullet"/>
      <w:lvlText w:val=""/>
      <w:lvlJc w:val="left"/>
      <w:pPr>
        <w:tabs>
          <w:tab w:val="num" w:pos="2226"/>
        </w:tabs>
        <w:ind w:left="2226"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068795C"/>
    <w:multiLevelType w:val="hybridMultilevel"/>
    <w:tmpl w:val="058ADFB0"/>
    <w:lvl w:ilvl="0" w:tplc="EA6CC532">
      <w:start w:val="1"/>
      <w:numFmt w:val="upp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45474EB"/>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658"/>
        </w:tabs>
        <w:ind w:left="1658" w:hanging="360"/>
      </w:pPr>
    </w:lvl>
    <w:lvl w:ilvl="2" w:tplc="0C0A001B">
      <w:start w:val="1"/>
      <w:numFmt w:val="decimal"/>
      <w:lvlText w:val="%3."/>
      <w:lvlJc w:val="left"/>
      <w:pPr>
        <w:tabs>
          <w:tab w:val="num" w:pos="2018"/>
        </w:tabs>
        <w:ind w:left="2018" w:hanging="360"/>
      </w:pPr>
    </w:lvl>
    <w:lvl w:ilvl="3" w:tplc="0C0A000F">
      <w:start w:val="1"/>
      <w:numFmt w:val="decimal"/>
      <w:lvlText w:val="%4."/>
      <w:lvlJc w:val="left"/>
      <w:pPr>
        <w:tabs>
          <w:tab w:val="num" w:pos="2738"/>
        </w:tabs>
        <w:ind w:left="2738" w:hanging="360"/>
      </w:pPr>
    </w:lvl>
    <w:lvl w:ilvl="4" w:tplc="0C0A0019">
      <w:start w:val="1"/>
      <w:numFmt w:val="decimal"/>
      <w:lvlText w:val="%5."/>
      <w:lvlJc w:val="left"/>
      <w:pPr>
        <w:tabs>
          <w:tab w:val="num" w:pos="3458"/>
        </w:tabs>
        <w:ind w:left="3458" w:hanging="360"/>
      </w:pPr>
    </w:lvl>
    <w:lvl w:ilvl="5" w:tplc="0C0A001B">
      <w:start w:val="1"/>
      <w:numFmt w:val="decimal"/>
      <w:lvlText w:val="%6."/>
      <w:lvlJc w:val="left"/>
      <w:pPr>
        <w:tabs>
          <w:tab w:val="num" w:pos="4178"/>
        </w:tabs>
        <w:ind w:left="4178" w:hanging="360"/>
      </w:pPr>
    </w:lvl>
    <w:lvl w:ilvl="6" w:tplc="0C0A000F">
      <w:start w:val="1"/>
      <w:numFmt w:val="decimal"/>
      <w:lvlText w:val="%7."/>
      <w:lvlJc w:val="left"/>
      <w:pPr>
        <w:tabs>
          <w:tab w:val="num" w:pos="4898"/>
        </w:tabs>
        <w:ind w:left="4898" w:hanging="360"/>
      </w:pPr>
    </w:lvl>
    <w:lvl w:ilvl="7" w:tplc="0C0A0019">
      <w:start w:val="1"/>
      <w:numFmt w:val="decimal"/>
      <w:lvlText w:val="%8."/>
      <w:lvlJc w:val="left"/>
      <w:pPr>
        <w:tabs>
          <w:tab w:val="num" w:pos="5618"/>
        </w:tabs>
        <w:ind w:left="5618" w:hanging="360"/>
      </w:pPr>
    </w:lvl>
    <w:lvl w:ilvl="8" w:tplc="0C0A001B">
      <w:start w:val="1"/>
      <w:numFmt w:val="decimal"/>
      <w:lvlText w:val="%9."/>
      <w:lvlJc w:val="left"/>
      <w:pPr>
        <w:tabs>
          <w:tab w:val="num" w:pos="6338"/>
        </w:tabs>
        <w:ind w:left="6338" w:hanging="360"/>
      </w:pPr>
    </w:lvl>
  </w:abstractNum>
  <w:abstractNum w:abstractNumId="6">
    <w:nsid w:val="24AD372D"/>
    <w:multiLevelType w:val="hybridMultilevel"/>
    <w:tmpl w:val="10701DE4"/>
    <w:lvl w:ilvl="0" w:tplc="5EE2979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25445E32"/>
    <w:multiLevelType w:val="multilevel"/>
    <w:tmpl w:val="C8645120"/>
    <w:lvl w:ilvl="0">
      <w:start w:val="1"/>
      <w:numFmt w:val="lowerLetter"/>
      <w:lvlText w:val="%1)"/>
      <w:lvlJc w:val="left"/>
      <w:pPr>
        <w:tabs>
          <w:tab w:val="num" w:pos="705"/>
        </w:tabs>
        <w:ind w:left="705" w:hanging="705"/>
      </w:pPr>
      <w:rPr>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5667E61"/>
    <w:multiLevelType w:val="hybridMultilevel"/>
    <w:tmpl w:val="5456F370"/>
    <w:lvl w:ilvl="0" w:tplc="9DF404B0">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tabs>
          <w:tab w:val="num" w:pos="578"/>
        </w:tabs>
        <w:ind w:left="578" w:hanging="360"/>
      </w:pPr>
    </w:lvl>
    <w:lvl w:ilvl="2" w:tplc="0C0A001B" w:tentative="1">
      <w:start w:val="1"/>
      <w:numFmt w:val="lowerRoman"/>
      <w:lvlText w:val="%3."/>
      <w:lvlJc w:val="right"/>
      <w:pPr>
        <w:tabs>
          <w:tab w:val="num" w:pos="1298"/>
        </w:tabs>
        <w:ind w:left="1298" w:hanging="180"/>
      </w:pPr>
    </w:lvl>
    <w:lvl w:ilvl="3" w:tplc="0C0A000F" w:tentative="1">
      <w:start w:val="1"/>
      <w:numFmt w:val="decimal"/>
      <w:lvlText w:val="%4."/>
      <w:lvlJc w:val="left"/>
      <w:pPr>
        <w:tabs>
          <w:tab w:val="num" w:pos="2018"/>
        </w:tabs>
        <w:ind w:left="2018" w:hanging="360"/>
      </w:pPr>
    </w:lvl>
    <w:lvl w:ilvl="4" w:tplc="0C0A0019" w:tentative="1">
      <w:start w:val="1"/>
      <w:numFmt w:val="lowerLetter"/>
      <w:lvlText w:val="%5."/>
      <w:lvlJc w:val="left"/>
      <w:pPr>
        <w:tabs>
          <w:tab w:val="num" w:pos="2738"/>
        </w:tabs>
        <w:ind w:left="2738" w:hanging="360"/>
      </w:pPr>
    </w:lvl>
    <w:lvl w:ilvl="5" w:tplc="0C0A001B" w:tentative="1">
      <w:start w:val="1"/>
      <w:numFmt w:val="lowerRoman"/>
      <w:lvlText w:val="%6."/>
      <w:lvlJc w:val="right"/>
      <w:pPr>
        <w:tabs>
          <w:tab w:val="num" w:pos="3458"/>
        </w:tabs>
        <w:ind w:left="3458" w:hanging="180"/>
      </w:pPr>
    </w:lvl>
    <w:lvl w:ilvl="6" w:tplc="0C0A000F" w:tentative="1">
      <w:start w:val="1"/>
      <w:numFmt w:val="decimal"/>
      <w:lvlText w:val="%7."/>
      <w:lvlJc w:val="left"/>
      <w:pPr>
        <w:tabs>
          <w:tab w:val="num" w:pos="4178"/>
        </w:tabs>
        <w:ind w:left="4178" w:hanging="360"/>
      </w:pPr>
    </w:lvl>
    <w:lvl w:ilvl="7" w:tplc="0C0A0019" w:tentative="1">
      <w:start w:val="1"/>
      <w:numFmt w:val="lowerLetter"/>
      <w:lvlText w:val="%8."/>
      <w:lvlJc w:val="left"/>
      <w:pPr>
        <w:tabs>
          <w:tab w:val="num" w:pos="4898"/>
        </w:tabs>
        <w:ind w:left="4898" w:hanging="360"/>
      </w:pPr>
    </w:lvl>
    <w:lvl w:ilvl="8" w:tplc="0C0A001B" w:tentative="1">
      <w:start w:val="1"/>
      <w:numFmt w:val="lowerRoman"/>
      <w:lvlText w:val="%9."/>
      <w:lvlJc w:val="right"/>
      <w:pPr>
        <w:tabs>
          <w:tab w:val="num" w:pos="5618"/>
        </w:tabs>
        <w:ind w:left="5618" w:hanging="180"/>
      </w:pPr>
    </w:lvl>
  </w:abstractNum>
  <w:abstractNum w:abstractNumId="9">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8E91A5D"/>
    <w:multiLevelType w:val="hybridMultilevel"/>
    <w:tmpl w:val="3C0E4D5A"/>
    <w:lvl w:ilvl="0" w:tplc="21922DFA">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nsid w:val="2ACC0599"/>
    <w:multiLevelType w:val="hybridMultilevel"/>
    <w:tmpl w:val="82AEEFD6"/>
    <w:lvl w:ilvl="0" w:tplc="B82042E4">
      <w:start w:val="1"/>
      <w:numFmt w:val="decimal"/>
      <w:lvlText w:val="NOTA %1."/>
      <w:lvlJc w:val="left"/>
      <w:pPr>
        <w:tabs>
          <w:tab w:val="num" w:pos="1222"/>
        </w:tabs>
        <w:ind w:left="426" w:hanging="284"/>
      </w:pPr>
      <w:rPr>
        <w:rFonts w:hint="default"/>
        <w:b/>
        <w:sz w:val="24"/>
        <w:szCs w:val="24"/>
      </w:rPr>
    </w:lvl>
    <w:lvl w:ilvl="1" w:tplc="B82042E4">
      <w:start w:val="1"/>
      <w:numFmt w:val="decimal"/>
      <w:lvlText w:val="NOTA %2."/>
      <w:lvlJc w:val="left"/>
      <w:pPr>
        <w:tabs>
          <w:tab w:val="num" w:pos="1920"/>
        </w:tabs>
        <w:ind w:left="1920" w:hanging="360"/>
      </w:pPr>
      <w:rPr>
        <w:rFonts w:hint="default"/>
        <w:b/>
        <w:sz w:val="24"/>
        <w:szCs w:val="24"/>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30CA794B"/>
    <w:multiLevelType w:val="hybridMultilevel"/>
    <w:tmpl w:val="90582434"/>
    <w:lvl w:ilvl="0" w:tplc="F67E0168">
      <w:start w:val="1"/>
      <w:numFmt w:val="decimal"/>
      <w:lvlText w:val="NOTA %1."/>
      <w:lvlJc w:val="left"/>
      <w:pPr>
        <w:tabs>
          <w:tab w:val="num" w:pos="1080"/>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nsid w:val="33DE0CB1"/>
    <w:multiLevelType w:val="multilevel"/>
    <w:tmpl w:val="440A0015"/>
    <w:styleLink w:val="Estilo1"/>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BA60E2"/>
    <w:multiLevelType w:val="multilevel"/>
    <w:tmpl w:val="440A0015"/>
    <w:numStyleLink w:val="Estilo1"/>
  </w:abstractNum>
  <w:abstractNum w:abstractNumId="16">
    <w:nsid w:val="373539EF"/>
    <w:multiLevelType w:val="multilevel"/>
    <w:tmpl w:val="8BAE3782"/>
    <w:lvl w:ilvl="0">
      <w:start w:val="2"/>
      <w:numFmt w:val="decimal"/>
      <w:lvlText w:val="%1"/>
      <w:lvlJc w:val="left"/>
      <w:pPr>
        <w:tabs>
          <w:tab w:val="num" w:pos="705"/>
        </w:tabs>
        <w:ind w:left="705" w:hanging="705"/>
      </w:pPr>
    </w:lvl>
    <w:lvl w:ilvl="1">
      <w:start w:val="6"/>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7503EF3"/>
    <w:multiLevelType w:val="hybridMultilevel"/>
    <w:tmpl w:val="4ED4891A"/>
    <w:lvl w:ilvl="0" w:tplc="880CCCCE">
      <w:start w:val="1"/>
      <w:numFmt w:val="upperLetter"/>
      <w:lvlText w:val="%1."/>
      <w:lvlJc w:val="left"/>
      <w:pPr>
        <w:tabs>
          <w:tab w:val="num" w:pos="1506"/>
        </w:tabs>
        <w:ind w:left="1506"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7E1A0E"/>
    <w:multiLevelType w:val="hybridMultilevel"/>
    <w:tmpl w:val="C3CAA802"/>
    <w:lvl w:ilvl="0" w:tplc="57DE6B66">
      <w:start w:val="1"/>
      <w:numFmt w:val="upperLetter"/>
      <w:lvlText w:val="%1."/>
      <w:lvlJc w:val="left"/>
      <w:pPr>
        <w:ind w:left="1068" w:hanging="708"/>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nsid w:val="38D209BA"/>
    <w:multiLevelType w:val="singleLevel"/>
    <w:tmpl w:val="99CE1E1A"/>
    <w:lvl w:ilvl="0">
      <w:start w:val="10"/>
      <w:numFmt w:val="bullet"/>
      <w:lvlText w:val="-"/>
      <w:lvlJc w:val="left"/>
      <w:pPr>
        <w:ind w:left="720" w:hanging="360"/>
      </w:pPr>
      <w:rPr>
        <w:rFonts w:ascii="Times New Roman" w:eastAsia="Times New Roman" w:hAnsi="Times New Roman" w:cs="Times New Roman" w:hint="default"/>
      </w:rPr>
    </w:lvl>
  </w:abstractNum>
  <w:abstractNum w:abstractNumId="20">
    <w:nsid w:val="39DD11AE"/>
    <w:multiLevelType w:val="singleLevel"/>
    <w:tmpl w:val="0C0A000F"/>
    <w:lvl w:ilvl="0">
      <w:start w:val="1"/>
      <w:numFmt w:val="decimal"/>
      <w:lvlText w:val="%1."/>
      <w:lvlJc w:val="left"/>
      <w:pPr>
        <w:tabs>
          <w:tab w:val="num" w:pos="360"/>
        </w:tabs>
        <w:ind w:left="360" w:hanging="360"/>
      </w:pPr>
    </w:lvl>
  </w:abstractNum>
  <w:abstractNum w:abstractNumId="21">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E56378C"/>
    <w:multiLevelType w:val="hybridMultilevel"/>
    <w:tmpl w:val="23A259F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17E47CE"/>
    <w:multiLevelType w:val="hybridMultilevel"/>
    <w:tmpl w:val="D612164E"/>
    <w:lvl w:ilvl="0" w:tplc="5A0ABFFA">
      <w:start w:val="6"/>
      <w:numFmt w:val="none"/>
      <w:lvlText w:val="%1NOTA  28"/>
      <w:lvlJc w:val="left"/>
      <w:pPr>
        <w:tabs>
          <w:tab w:val="num" w:pos="1080"/>
        </w:tabs>
        <w:ind w:left="511" w:hanging="511"/>
      </w:pPr>
      <w:rPr>
        <w:rFonts w:ascii="Times New Roman" w:hAnsi="Times New Roman" w:hint="default"/>
        <w:b/>
        <w:i w:val="0"/>
        <w:color w:val="auto"/>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lvl>
    <w:lvl w:ilvl="2" w:tplc="0C0A0005">
      <w:start w:val="1"/>
      <w:numFmt w:val="bullet"/>
      <w:lvlText w:val=""/>
      <w:lvlJc w:val="left"/>
      <w:pPr>
        <w:tabs>
          <w:tab w:val="num" w:pos="2226"/>
        </w:tabs>
        <w:ind w:left="222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44C444E0"/>
    <w:multiLevelType w:val="hybridMultilevel"/>
    <w:tmpl w:val="16B6B776"/>
    <w:lvl w:ilvl="0" w:tplc="98EACFC4">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27">
    <w:nsid w:val="47E02175"/>
    <w:multiLevelType w:val="multilevel"/>
    <w:tmpl w:val="6CB60892"/>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9">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1D943EC"/>
    <w:multiLevelType w:val="singleLevel"/>
    <w:tmpl w:val="0442BA18"/>
    <w:lvl w:ilvl="0">
      <w:start w:val="1"/>
      <w:numFmt w:val="lowerLetter"/>
      <w:lvlText w:val="%1)"/>
      <w:lvlJc w:val="left"/>
      <w:pPr>
        <w:tabs>
          <w:tab w:val="num" w:pos="1410"/>
        </w:tabs>
        <w:ind w:left="1410" w:hanging="750"/>
      </w:pPr>
    </w:lvl>
  </w:abstractNum>
  <w:abstractNum w:abstractNumId="31">
    <w:nsid w:val="536F05F2"/>
    <w:multiLevelType w:val="multilevel"/>
    <w:tmpl w:val="78165B5A"/>
    <w:lvl w:ilvl="0">
      <w:start w:val="2"/>
      <w:numFmt w:val="decimal"/>
      <w:lvlText w:val="%1.1"/>
      <w:lvlJc w:val="left"/>
      <w:pPr>
        <w:tabs>
          <w:tab w:val="num" w:pos="644"/>
        </w:tabs>
        <w:ind w:left="644"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32">
    <w:nsid w:val="56511B3C"/>
    <w:multiLevelType w:val="hybridMultilevel"/>
    <w:tmpl w:val="036454F2"/>
    <w:lvl w:ilvl="0" w:tplc="1B0625A6">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A761CF7"/>
    <w:multiLevelType w:val="singleLevel"/>
    <w:tmpl w:val="E9B2CEB6"/>
    <w:lvl w:ilvl="0">
      <w:start w:val="1"/>
      <w:numFmt w:val="lowerLetter"/>
      <w:lvlText w:val="%1)"/>
      <w:lvlJc w:val="left"/>
      <w:pPr>
        <w:tabs>
          <w:tab w:val="num" w:pos="705"/>
        </w:tabs>
        <w:ind w:left="705" w:hanging="705"/>
      </w:pPr>
    </w:lvl>
  </w:abstractNum>
  <w:abstractNum w:abstractNumId="34">
    <w:nsid w:val="5BB158BE"/>
    <w:multiLevelType w:val="hybridMultilevel"/>
    <w:tmpl w:val="3A368DC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C3A35D7"/>
    <w:multiLevelType w:val="multilevel"/>
    <w:tmpl w:val="4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E267395"/>
    <w:multiLevelType w:val="hybridMultilevel"/>
    <w:tmpl w:val="D49889E2"/>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B982486E">
      <w:start w:val="1"/>
      <w:numFmt w:val="upperLetter"/>
      <w:lvlText w:val="%5."/>
      <w:lvlJc w:val="left"/>
      <w:pPr>
        <w:ind w:left="3600" w:hanging="360"/>
      </w:pPr>
      <w:rPr>
        <w:rFonts w:hint="default"/>
      </w:rPr>
    </w:lvl>
    <w:lvl w:ilvl="5" w:tplc="21922DFA">
      <w:numFmt w:val="bullet"/>
      <w:lvlText w:val="-"/>
      <w:lvlJc w:val="left"/>
      <w:pPr>
        <w:ind w:left="4500" w:hanging="360"/>
      </w:pPr>
      <w:rPr>
        <w:rFonts w:ascii="Times New Roman" w:eastAsia="Times New Roman" w:hAnsi="Times New Roman" w:cs="Times New Roman"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E3B21BC"/>
    <w:multiLevelType w:val="hybridMultilevel"/>
    <w:tmpl w:val="23A259F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920C2B"/>
    <w:multiLevelType w:val="singleLevel"/>
    <w:tmpl w:val="19B48FE6"/>
    <w:lvl w:ilvl="0">
      <w:start w:val="1"/>
      <w:numFmt w:val="lowerLetter"/>
      <w:lvlText w:val="%1)"/>
      <w:lvlJc w:val="left"/>
      <w:pPr>
        <w:tabs>
          <w:tab w:val="num" w:pos="1413"/>
        </w:tabs>
        <w:ind w:left="1413" w:hanging="705"/>
      </w:pPr>
    </w:lvl>
  </w:abstractNum>
  <w:abstractNum w:abstractNumId="39">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0">
    <w:nsid w:val="77EA213C"/>
    <w:multiLevelType w:val="singleLevel"/>
    <w:tmpl w:val="230E10BA"/>
    <w:lvl w:ilvl="0">
      <w:start w:val="1"/>
      <w:numFmt w:val="lowerLetter"/>
      <w:lvlText w:val="%1)"/>
      <w:lvlJc w:val="left"/>
      <w:pPr>
        <w:tabs>
          <w:tab w:val="num" w:pos="720"/>
        </w:tabs>
        <w:ind w:left="720" w:hanging="720"/>
      </w:pPr>
    </w:lvl>
  </w:abstractNum>
  <w:num w:numId="1">
    <w:abstractNumId w:val="26"/>
    <w:lvlOverride w:ilvl="0">
      <w:startOverride w:val="1"/>
    </w:lvlOverride>
  </w:num>
  <w:num w:numId="2">
    <w:abstractNumId w:val="11"/>
  </w:num>
  <w:num w:numId="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num>
  <w:num w:numId="8">
    <w:abstractNumId w:val="1"/>
    <w:lvlOverride w:ilvl="0">
      <w:startOverride w:val="3"/>
    </w:lvlOverride>
  </w:num>
  <w:num w:numId="9">
    <w:abstractNumId w:val="7"/>
  </w:num>
  <w:num w:numId="10">
    <w:abstractNumId w:val="33"/>
  </w:num>
  <w:num w:numId="11">
    <w:abstractNumId w:val="40"/>
    <w:lvlOverride w:ilvl="0">
      <w:startOverride w:val="1"/>
    </w:lvlOverride>
  </w:num>
  <w:num w:numId="12">
    <w:abstractNumId w:val="20"/>
  </w:num>
  <w:num w:numId="13">
    <w:abstractNumId w:val="20"/>
    <w:lvlOverride w:ilvl="0">
      <w:startOverride w:val="1"/>
    </w:lvlOverride>
  </w:num>
  <w:num w:numId="14">
    <w:abstractNumId w:val="19"/>
  </w:num>
  <w:num w:numId="15">
    <w:abstractNumId w:val="19"/>
  </w:num>
  <w:num w:numId="16">
    <w:abstractNumId w:val="36"/>
  </w:num>
  <w:num w:numId="17">
    <w:abstractNumId w:val="25"/>
  </w:num>
  <w:num w:numId="18">
    <w:abstractNumId w:val="4"/>
  </w:num>
  <w:num w:numId="19">
    <w:abstractNumId w:val="13"/>
  </w:num>
  <w:num w:numId="20">
    <w:abstractNumId w:val="32"/>
  </w:num>
  <w:num w:numId="21">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6"/>
  </w:num>
  <w:num w:numId="27">
    <w:abstractNumId w:val="3"/>
  </w:num>
  <w:num w:numId="28">
    <w:abstractNumId w:val="2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8"/>
  </w:num>
  <w:num w:numId="32">
    <w:abstractNumId w:val="18"/>
  </w:num>
  <w:num w:numId="33">
    <w:abstractNumId w:val="5"/>
  </w:num>
  <w:num w:numId="34">
    <w:abstractNumId w:val="24"/>
    <w:lvlOverride w:ilvl="0"/>
    <w:lvlOverride w:ilvl="1">
      <w:startOverride w:val="1"/>
    </w:lvlOverride>
    <w:lvlOverride w:ilvl="2"/>
    <w:lvlOverride w:ilvl="3"/>
    <w:lvlOverride w:ilvl="4"/>
    <w:lvlOverride w:ilvl="5"/>
    <w:lvlOverride w:ilvl="6"/>
    <w:lvlOverride w:ilvl="7"/>
    <w:lvlOverride w:ilvl="8"/>
  </w:num>
  <w:num w:numId="35">
    <w:abstractNumId w:val="14"/>
  </w:num>
  <w:num w:numId="36">
    <w:abstractNumId w:val="15"/>
  </w:num>
  <w:num w:numId="37">
    <w:abstractNumId w:val="19"/>
  </w:num>
  <w:num w:numId="38">
    <w:abstractNumId w:val="39"/>
  </w:num>
  <w:num w:numId="39">
    <w:abstractNumId w:val="23"/>
  </w:num>
  <w:num w:numId="40">
    <w:abstractNumId w:val="17"/>
  </w:num>
  <w:num w:numId="41">
    <w:abstractNumId w:val="35"/>
  </w:num>
  <w:num w:numId="42">
    <w:abstractNumId w:val="10"/>
  </w:num>
  <w:num w:numId="43">
    <w:abstractNumId w:val="34"/>
  </w:num>
  <w:num w:numId="44">
    <w:abstractNumId w:val="9"/>
  </w:num>
  <w:num w:numId="45">
    <w:abstractNumId w:val="29"/>
  </w:num>
  <w:num w:numId="46">
    <w:abstractNumId w:val="33"/>
    <w:lvlOverride w:ilvl="0">
      <w:startOverride w:val="1"/>
    </w:lvlOverride>
  </w:num>
  <w:num w:numId="47">
    <w:abstractNumId w:val="9"/>
  </w:num>
  <w:num w:numId="48">
    <w:abstractNumId w:val="22"/>
  </w:num>
  <w:num w:numId="49">
    <w:abstractNumId w:val="0"/>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82"/>
    <w:rsid w:val="000006AB"/>
    <w:rsid w:val="000016C4"/>
    <w:rsid w:val="00002B41"/>
    <w:rsid w:val="00002CE4"/>
    <w:rsid w:val="000037ED"/>
    <w:rsid w:val="00004CA9"/>
    <w:rsid w:val="0000522C"/>
    <w:rsid w:val="000077C3"/>
    <w:rsid w:val="00012489"/>
    <w:rsid w:val="00012A3D"/>
    <w:rsid w:val="00012DF3"/>
    <w:rsid w:val="00013158"/>
    <w:rsid w:val="00015394"/>
    <w:rsid w:val="00015B7F"/>
    <w:rsid w:val="000171F0"/>
    <w:rsid w:val="000171F8"/>
    <w:rsid w:val="000205C9"/>
    <w:rsid w:val="00027C25"/>
    <w:rsid w:val="0003073F"/>
    <w:rsid w:val="00030813"/>
    <w:rsid w:val="00032D8C"/>
    <w:rsid w:val="00035986"/>
    <w:rsid w:val="000360A9"/>
    <w:rsid w:val="00036477"/>
    <w:rsid w:val="00042B0C"/>
    <w:rsid w:val="0004348B"/>
    <w:rsid w:val="0004442F"/>
    <w:rsid w:val="00046600"/>
    <w:rsid w:val="00052683"/>
    <w:rsid w:val="00053C15"/>
    <w:rsid w:val="00055283"/>
    <w:rsid w:val="0005556F"/>
    <w:rsid w:val="000627B0"/>
    <w:rsid w:val="00062EEF"/>
    <w:rsid w:val="00064D3D"/>
    <w:rsid w:val="0006552C"/>
    <w:rsid w:val="00066A55"/>
    <w:rsid w:val="00070339"/>
    <w:rsid w:val="00072A96"/>
    <w:rsid w:val="00074397"/>
    <w:rsid w:val="00077052"/>
    <w:rsid w:val="00080DAB"/>
    <w:rsid w:val="0008396B"/>
    <w:rsid w:val="0008585A"/>
    <w:rsid w:val="00086D59"/>
    <w:rsid w:val="0008772D"/>
    <w:rsid w:val="0009226D"/>
    <w:rsid w:val="00092E15"/>
    <w:rsid w:val="00094D63"/>
    <w:rsid w:val="00097E57"/>
    <w:rsid w:val="000A1F1D"/>
    <w:rsid w:val="000B2AF5"/>
    <w:rsid w:val="000B34A4"/>
    <w:rsid w:val="000B34CE"/>
    <w:rsid w:val="000B460A"/>
    <w:rsid w:val="000B4927"/>
    <w:rsid w:val="000B4D79"/>
    <w:rsid w:val="000B5105"/>
    <w:rsid w:val="000B66EB"/>
    <w:rsid w:val="000B7FDE"/>
    <w:rsid w:val="000C4B08"/>
    <w:rsid w:val="000C564C"/>
    <w:rsid w:val="000C5C50"/>
    <w:rsid w:val="000D25AD"/>
    <w:rsid w:val="000D4546"/>
    <w:rsid w:val="000D7FEE"/>
    <w:rsid w:val="000E091F"/>
    <w:rsid w:val="000E0C77"/>
    <w:rsid w:val="000E213C"/>
    <w:rsid w:val="000E3777"/>
    <w:rsid w:val="000E57B5"/>
    <w:rsid w:val="000E5F02"/>
    <w:rsid w:val="000E6694"/>
    <w:rsid w:val="000E7894"/>
    <w:rsid w:val="000F4B3C"/>
    <w:rsid w:val="000F7A9B"/>
    <w:rsid w:val="00100D55"/>
    <w:rsid w:val="001014A8"/>
    <w:rsid w:val="00106D01"/>
    <w:rsid w:val="00110DCD"/>
    <w:rsid w:val="001111BF"/>
    <w:rsid w:val="00114B2B"/>
    <w:rsid w:val="00115451"/>
    <w:rsid w:val="001154E8"/>
    <w:rsid w:val="00120684"/>
    <w:rsid w:val="00123B92"/>
    <w:rsid w:val="00126109"/>
    <w:rsid w:val="00126A31"/>
    <w:rsid w:val="00126D35"/>
    <w:rsid w:val="00130410"/>
    <w:rsid w:val="00130BC9"/>
    <w:rsid w:val="00130F6E"/>
    <w:rsid w:val="001349D3"/>
    <w:rsid w:val="0013666A"/>
    <w:rsid w:val="00137AE0"/>
    <w:rsid w:val="00141D0C"/>
    <w:rsid w:val="00143088"/>
    <w:rsid w:val="0014779D"/>
    <w:rsid w:val="00151709"/>
    <w:rsid w:val="00151ABA"/>
    <w:rsid w:val="001655A3"/>
    <w:rsid w:val="00167EA4"/>
    <w:rsid w:val="00170496"/>
    <w:rsid w:val="00171E10"/>
    <w:rsid w:val="001731E1"/>
    <w:rsid w:val="00173B93"/>
    <w:rsid w:val="00173D0D"/>
    <w:rsid w:val="00175E72"/>
    <w:rsid w:val="00176616"/>
    <w:rsid w:val="00176A8A"/>
    <w:rsid w:val="00176B0E"/>
    <w:rsid w:val="0017703F"/>
    <w:rsid w:val="001802D0"/>
    <w:rsid w:val="0018047B"/>
    <w:rsid w:val="001813C3"/>
    <w:rsid w:val="001836A9"/>
    <w:rsid w:val="0018602B"/>
    <w:rsid w:val="0018723B"/>
    <w:rsid w:val="001874AD"/>
    <w:rsid w:val="00191A53"/>
    <w:rsid w:val="0019330C"/>
    <w:rsid w:val="00194FEE"/>
    <w:rsid w:val="001957F1"/>
    <w:rsid w:val="00196A95"/>
    <w:rsid w:val="0019710D"/>
    <w:rsid w:val="001971DE"/>
    <w:rsid w:val="001A07EF"/>
    <w:rsid w:val="001A1A75"/>
    <w:rsid w:val="001A2997"/>
    <w:rsid w:val="001A3202"/>
    <w:rsid w:val="001A3CD1"/>
    <w:rsid w:val="001A5C5F"/>
    <w:rsid w:val="001A5C9D"/>
    <w:rsid w:val="001A7C20"/>
    <w:rsid w:val="001B18A7"/>
    <w:rsid w:val="001B2223"/>
    <w:rsid w:val="001B7E5C"/>
    <w:rsid w:val="001C2929"/>
    <w:rsid w:val="001C2FA0"/>
    <w:rsid w:val="001C69B5"/>
    <w:rsid w:val="001C6A67"/>
    <w:rsid w:val="001C71C5"/>
    <w:rsid w:val="001C72C4"/>
    <w:rsid w:val="001D0125"/>
    <w:rsid w:val="001D19E1"/>
    <w:rsid w:val="001D3113"/>
    <w:rsid w:val="001D323E"/>
    <w:rsid w:val="001D4C04"/>
    <w:rsid w:val="001D53B9"/>
    <w:rsid w:val="001D6DB7"/>
    <w:rsid w:val="001D7303"/>
    <w:rsid w:val="001E0A11"/>
    <w:rsid w:val="001E5870"/>
    <w:rsid w:val="001F137B"/>
    <w:rsid w:val="001F1625"/>
    <w:rsid w:val="001F21AE"/>
    <w:rsid w:val="001F642D"/>
    <w:rsid w:val="001F6AC3"/>
    <w:rsid w:val="002010B0"/>
    <w:rsid w:val="00202BD0"/>
    <w:rsid w:val="0020339D"/>
    <w:rsid w:val="00203E98"/>
    <w:rsid w:val="00203E9D"/>
    <w:rsid w:val="00205383"/>
    <w:rsid w:val="002063A0"/>
    <w:rsid w:val="00206617"/>
    <w:rsid w:val="002107BD"/>
    <w:rsid w:val="00212156"/>
    <w:rsid w:val="00214B3F"/>
    <w:rsid w:val="00216409"/>
    <w:rsid w:val="002176C6"/>
    <w:rsid w:val="002205AD"/>
    <w:rsid w:val="00220E49"/>
    <w:rsid w:val="00221B46"/>
    <w:rsid w:val="00221D0F"/>
    <w:rsid w:val="0022419C"/>
    <w:rsid w:val="00224EDB"/>
    <w:rsid w:val="0023119F"/>
    <w:rsid w:val="00231F04"/>
    <w:rsid w:val="0023721E"/>
    <w:rsid w:val="00240A46"/>
    <w:rsid w:val="00240CA4"/>
    <w:rsid w:val="002426B4"/>
    <w:rsid w:val="00242D3A"/>
    <w:rsid w:val="002456CD"/>
    <w:rsid w:val="0024758C"/>
    <w:rsid w:val="00250024"/>
    <w:rsid w:val="0025178B"/>
    <w:rsid w:val="00254824"/>
    <w:rsid w:val="0025571B"/>
    <w:rsid w:val="002564F2"/>
    <w:rsid w:val="00257199"/>
    <w:rsid w:val="00263350"/>
    <w:rsid w:val="0026349B"/>
    <w:rsid w:val="002644DC"/>
    <w:rsid w:val="00264639"/>
    <w:rsid w:val="00267388"/>
    <w:rsid w:val="002673CB"/>
    <w:rsid w:val="00267C89"/>
    <w:rsid w:val="002703E4"/>
    <w:rsid w:val="00272331"/>
    <w:rsid w:val="0027592B"/>
    <w:rsid w:val="00276A7B"/>
    <w:rsid w:val="00276FBF"/>
    <w:rsid w:val="00285A19"/>
    <w:rsid w:val="00285B77"/>
    <w:rsid w:val="002867B1"/>
    <w:rsid w:val="00295F38"/>
    <w:rsid w:val="002972B9"/>
    <w:rsid w:val="002A0028"/>
    <w:rsid w:val="002A0B4F"/>
    <w:rsid w:val="002A0D2F"/>
    <w:rsid w:val="002A20DA"/>
    <w:rsid w:val="002A42DD"/>
    <w:rsid w:val="002A4EA0"/>
    <w:rsid w:val="002A4EC5"/>
    <w:rsid w:val="002B0688"/>
    <w:rsid w:val="002B1B82"/>
    <w:rsid w:val="002B26CE"/>
    <w:rsid w:val="002B27E4"/>
    <w:rsid w:val="002B4ECD"/>
    <w:rsid w:val="002C07CA"/>
    <w:rsid w:val="002C6CB2"/>
    <w:rsid w:val="002C703E"/>
    <w:rsid w:val="002C787B"/>
    <w:rsid w:val="002D0D71"/>
    <w:rsid w:val="002D2E32"/>
    <w:rsid w:val="002E17DD"/>
    <w:rsid w:val="002E6D1E"/>
    <w:rsid w:val="002E6D20"/>
    <w:rsid w:val="002F072A"/>
    <w:rsid w:val="002F1387"/>
    <w:rsid w:val="002F1933"/>
    <w:rsid w:val="002F3D70"/>
    <w:rsid w:val="002F707E"/>
    <w:rsid w:val="0030121B"/>
    <w:rsid w:val="003018F3"/>
    <w:rsid w:val="003019D9"/>
    <w:rsid w:val="00301F21"/>
    <w:rsid w:val="00303D0E"/>
    <w:rsid w:val="003067B7"/>
    <w:rsid w:val="00306BAF"/>
    <w:rsid w:val="003120D4"/>
    <w:rsid w:val="00316520"/>
    <w:rsid w:val="003179E3"/>
    <w:rsid w:val="00317D8D"/>
    <w:rsid w:val="00322D68"/>
    <w:rsid w:val="00323BBA"/>
    <w:rsid w:val="00324B4F"/>
    <w:rsid w:val="0032546C"/>
    <w:rsid w:val="003256F6"/>
    <w:rsid w:val="0032595C"/>
    <w:rsid w:val="00327F98"/>
    <w:rsid w:val="00332BBA"/>
    <w:rsid w:val="0033432F"/>
    <w:rsid w:val="00335701"/>
    <w:rsid w:val="00340D23"/>
    <w:rsid w:val="003471E1"/>
    <w:rsid w:val="00347F02"/>
    <w:rsid w:val="0035038A"/>
    <w:rsid w:val="003512D1"/>
    <w:rsid w:val="00351DCB"/>
    <w:rsid w:val="00361BA7"/>
    <w:rsid w:val="00365417"/>
    <w:rsid w:val="00371840"/>
    <w:rsid w:val="003737C9"/>
    <w:rsid w:val="00375191"/>
    <w:rsid w:val="00375689"/>
    <w:rsid w:val="00377DB5"/>
    <w:rsid w:val="003811F3"/>
    <w:rsid w:val="003826E9"/>
    <w:rsid w:val="00385322"/>
    <w:rsid w:val="00390787"/>
    <w:rsid w:val="003907A7"/>
    <w:rsid w:val="00391B57"/>
    <w:rsid w:val="00392923"/>
    <w:rsid w:val="00392E4F"/>
    <w:rsid w:val="00393BB3"/>
    <w:rsid w:val="003A3A56"/>
    <w:rsid w:val="003A5088"/>
    <w:rsid w:val="003A5CB7"/>
    <w:rsid w:val="003A5D6F"/>
    <w:rsid w:val="003B089F"/>
    <w:rsid w:val="003B333A"/>
    <w:rsid w:val="003B5EF6"/>
    <w:rsid w:val="003B7B5E"/>
    <w:rsid w:val="003C3751"/>
    <w:rsid w:val="003C457F"/>
    <w:rsid w:val="003C4AB0"/>
    <w:rsid w:val="003C7149"/>
    <w:rsid w:val="003C7DB9"/>
    <w:rsid w:val="003D6F87"/>
    <w:rsid w:val="003D7FB9"/>
    <w:rsid w:val="003E05ED"/>
    <w:rsid w:val="003E2B91"/>
    <w:rsid w:val="003F09CC"/>
    <w:rsid w:val="003F327A"/>
    <w:rsid w:val="003F4EB7"/>
    <w:rsid w:val="003F657C"/>
    <w:rsid w:val="003F6A2A"/>
    <w:rsid w:val="003F7C49"/>
    <w:rsid w:val="0040047C"/>
    <w:rsid w:val="004006D0"/>
    <w:rsid w:val="0040088B"/>
    <w:rsid w:val="00401B9E"/>
    <w:rsid w:val="00411EF3"/>
    <w:rsid w:val="0041276E"/>
    <w:rsid w:val="00412910"/>
    <w:rsid w:val="00413794"/>
    <w:rsid w:val="00414EE3"/>
    <w:rsid w:val="00417BAA"/>
    <w:rsid w:val="00421050"/>
    <w:rsid w:val="00422419"/>
    <w:rsid w:val="00422AFD"/>
    <w:rsid w:val="00424EE2"/>
    <w:rsid w:val="00425003"/>
    <w:rsid w:val="0042584F"/>
    <w:rsid w:val="00425AE9"/>
    <w:rsid w:val="004400E1"/>
    <w:rsid w:val="00440727"/>
    <w:rsid w:val="00441518"/>
    <w:rsid w:val="0044158D"/>
    <w:rsid w:val="00442DC9"/>
    <w:rsid w:val="00443BF9"/>
    <w:rsid w:val="00453E1B"/>
    <w:rsid w:val="00461206"/>
    <w:rsid w:val="00461D30"/>
    <w:rsid w:val="004632F0"/>
    <w:rsid w:val="00463BB9"/>
    <w:rsid w:val="0046570E"/>
    <w:rsid w:val="00465DC6"/>
    <w:rsid w:val="0046761B"/>
    <w:rsid w:val="004679B9"/>
    <w:rsid w:val="00472C16"/>
    <w:rsid w:val="00473802"/>
    <w:rsid w:val="00480592"/>
    <w:rsid w:val="00482312"/>
    <w:rsid w:val="0048673B"/>
    <w:rsid w:val="004916B7"/>
    <w:rsid w:val="00493774"/>
    <w:rsid w:val="00496A8E"/>
    <w:rsid w:val="004974E9"/>
    <w:rsid w:val="004A06D7"/>
    <w:rsid w:val="004A3228"/>
    <w:rsid w:val="004A57F3"/>
    <w:rsid w:val="004A590D"/>
    <w:rsid w:val="004A6B9D"/>
    <w:rsid w:val="004A6C19"/>
    <w:rsid w:val="004B11D4"/>
    <w:rsid w:val="004B1F9F"/>
    <w:rsid w:val="004B209F"/>
    <w:rsid w:val="004B24F3"/>
    <w:rsid w:val="004B2CA5"/>
    <w:rsid w:val="004B2E2C"/>
    <w:rsid w:val="004B4374"/>
    <w:rsid w:val="004B4E69"/>
    <w:rsid w:val="004B6D04"/>
    <w:rsid w:val="004B754E"/>
    <w:rsid w:val="004C0072"/>
    <w:rsid w:val="004C2376"/>
    <w:rsid w:val="004C2933"/>
    <w:rsid w:val="004C2FB0"/>
    <w:rsid w:val="004C402C"/>
    <w:rsid w:val="004C568A"/>
    <w:rsid w:val="004C664A"/>
    <w:rsid w:val="004C7A95"/>
    <w:rsid w:val="004D00D3"/>
    <w:rsid w:val="004D215D"/>
    <w:rsid w:val="004E2FE7"/>
    <w:rsid w:val="004E38D2"/>
    <w:rsid w:val="004E3CD2"/>
    <w:rsid w:val="004E440D"/>
    <w:rsid w:val="004E4F96"/>
    <w:rsid w:val="004E5B1F"/>
    <w:rsid w:val="004E642A"/>
    <w:rsid w:val="004F0A05"/>
    <w:rsid w:val="004F0E17"/>
    <w:rsid w:val="004F3488"/>
    <w:rsid w:val="004F54CC"/>
    <w:rsid w:val="00501293"/>
    <w:rsid w:val="005017EB"/>
    <w:rsid w:val="0050566C"/>
    <w:rsid w:val="005058F9"/>
    <w:rsid w:val="00512393"/>
    <w:rsid w:val="00512E58"/>
    <w:rsid w:val="0051359D"/>
    <w:rsid w:val="00514021"/>
    <w:rsid w:val="00516932"/>
    <w:rsid w:val="0052076B"/>
    <w:rsid w:val="0052130B"/>
    <w:rsid w:val="00521EDA"/>
    <w:rsid w:val="00522505"/>
    <w:rsid w:val="00522D13"/>
    <w:rsid w:val="00525472"/>
    <w:rsid w:val="005258CB"/>
    <w:rsid w:val="005264E3"/>
    <w:rsid w:val="00530474"/>
    <w:rsid w:val="005336BA"/>
    <w:rsid w:val="005351E7"/>
    <w:rsid w:val="005359C0"/>
    <w:rsid w:val="00536FD7"/>
    <w:rsid w:val="00537CEF"/>
    <w:rsid w:val="00540838"/>
    <w:rsid w:val="00543A53"/>
    <w:rsid w:val="005448A1"/>
    <w:rsid w:val="0054584B"/>
    <w:rsid w:val="00547F08"/>
    <w:rsid w:val="00550F11"/>
    <w:rsid w:val="005536F0"/>
    <w:rsid w:val="0055634C"/>
    <w:rsid w:val="00557C07"/>
    <w:rsid w:val="00560231"/>
    <w:rsid w:val="005653DC"/>
    <w:rsid w:val="005657FE"/>
    <w:rsid w:val="00565831"/>
    <w:rsid w:val="00567581"/>
    <w:rsid w:val="00567B2F"/>
    <w:rsid w:val="0057082A"/>
    <w:rsid w:val="005712E2"/>
    <w:rsid w:val="005726D4"/>
    <w:rsid w:val="00574651"/>
    <w:rsid w:val="00580A2A"/>
    <w:rsid w:val="00584C29"/>
    <w:rsid w:val="00585B64"/>
    <w:rsid w:val="00594337"/>
    <w:rsid w:val="00597B28"/>
    <w:rsid w:val="005A01D2"/>
    <w:rsid w:val="005A17EC"/>
    <w:rsid w:val="005A42F3"/>
    <w:rsid w:val="005A55F2"/>
    <w:rsid w:val="005A6817"/>
    <w:rsid w:val="005B1915"/>
    <w:rsid w:val="005B63EA"/>
    <w:rsid w:val="005B6586"/>
    <w:rsid w:val="005C0151"/>
    <w:rsid w:val="005C1359"/>
    <w:rsid w:val="005C32C1"/>
    <w:rsid w:val="005C3943"/>
    <w:rsid w:val="005C4329"/>
    <w:rsid w:val="005C4EE4"/>
    <w:rsid w:val="005C6F79"/>
    <w:rsid w:val="005C7F34"/>
    <w:rsid w:val="005D0384"/>
    <w:rsid w:val="005D052E"/>
    <w:rsid w:val="005D365C"/>
    <w:rsid w:val="005D7D41"/>
    <w:rsid w:val="005E2718"/>
    <w:rsid w:val="005E293B"/>
    <w:rsid w:val="005E37E0"/>
    <w:rsid w:val="005E3987"/>
    <w:rsid w:val="005E3B83"/>
    <w:rsid w:val="005E5597"/>
    <w:rsid w:val="005E5A21"/>
    <w:rsid w:val="005E788A"/>
    <w:rsid w:val="005F0C70"/>
    <w:rsid w:val="005F46E9"/>
    <w:rsid w:val="005F5B0C"/>
    <w:rsid w:val="00611CBD"/>
    <w:rsid w:val="006153E4"/>
    <w:rsid w:val="0061586A"/>
    <w:rsid w:val="00617715"/>
    <w:rsid w:val="0062013C"/>
    <w:rsid w:val="00620E98"/>
    <w:rsid w:val="00621532"/>
    <w:rsid w:val="006217EA"/>
    <w:rsid w:val="00623C6B"/>
    <w:rsid w:val="00625EF4"/>
    <w:rsid w:val="00626802"/>
    <w:rsid w:val="00626B97"/>
    <w:rsid w:val="0062703F"/>
    <w:rsid w:val="006274F7"/>
    <w:rsid w:val="00631D28"/>
    <w:rsid w:val="00631DB7"/>
    <w:rsid w:val="0063243A"/>
    <w:rsid w:val="006344AF"/>
    <w:rsid w:val="0064036D"/>
    <w:rsid w:val="00640BDC"/>
    <w:rsid w:val="006410DC"/>
    <w:rsid w:val="006424C8"/>
    <w:rsid w:val="00650F5B"/>
    <w:rsid w:val="00651099"/>
    <w:rsid w:val="00651665"/>
    <w:rsid w:val="00651FC5"/>
    <w:rsid w:val="00653211"/>
    <w:rsid w:val="00653D73"/>
    <w:rsid w:val="006562C3"/>
    <w:rsid w:val="006576F9"/>
    <w:rsid w:val="0066242F"/>
    <w:rsid w:val="00662C08"/>
    <w:rsid w:val="00662F66"/>
    <w:rsid w:val="006715AB"/>
    <w:rsid w:val="00673664"/>
    <w:rsid w:val="00673810"/>
    <w:rsid w:val="00675683"/>
    <w:rsid w:val="00676069"/>
    <w:rsid w:val="00676ABD"/>
    <w:rsid w:val="00677557"/>
    <w:rsid w:val="006816E3"/>
    <w:rsid w:val="006873A2"/>
    <w:rsid w:val="00691C12"/>
    <w:rsid w:val="00694782"/>
    <w:rsid w:val="00694A5E"/>
    <w:rsid w:val="006968BD"/>
    <w:rsid w:val="00697EBF"/>
    <w:rsid w:val="006A30DD"/>
    <w:rsid w:val="006A32B7"/>
    <w:rsid w:val="006A58CD"/>
    <w:rsid w:val="006A6EB4"/>
    <w:rsid w:val="006A747E"/>
    <w:rsid w:val="006B0CB1"/>
    <w:rsid w:val="006B1BBF"/>
    <w:rsid w:val="006B5F56"/>
    <w:rsid w:val="006B6034"/>
    <w:rsid w:val="006B6D7C"/>
    <w:rsid w:val="006C0884"/>
    <w:rsid w:val="006C0E06"/>
    <w:rsid w:val="006C172E"/>
    <w:rsid w:val="006C2543"/>
    <w:rsid w:val="006C300A"/>
    <w:rsid w:val="006C5500"/>
    <w:rsid w:val="006C570E"/>
    <w:rsid w:val="006C5722"/>
    <w:rsid w:val="006C70EE"/>
    <w:rsid w:val="006D0F88"/>
    <w:rsid w:val="006D1CB8"/>
    <w:rsid w:val="006E1E66"/>
    <w:rsid w:val="006E4DE5"/>
    <w:rsid w:val="006E4ED8"/>
    <w:rsid w:val="006E5393"/>
    <w:rsid w:val="006F0374"/>
    <w:rsid w:val="006F36EA"/>
    <w:rsid w:val="006F6A65"/>
    <w:rsid w:val="006F6A82"/>
    <w:rsid w:val="006F7C4A"/>
    <w:rsid w:val="00700417"/>
    <w:rsid w:val="007006C2"/>
    <w:rsid w:val="00700F8E"/>
    <w:rsid w:val="007045B0"/>
    <w:rsid w:val="00704615"/>
    <w:rsid w:val="00704C0C"/>
    <w:rsid w:val="0071046C"/>
    <w:rsid w:val="007122AD"/>
    <w:rsid w:val="007126C5"/>
    <w:rsid w:val="00720143"/>
    <w:rsid w:val="00721009"/>
    <w:rsid w:val="00722599"/>
    <w:rsid w:val="0072315D"/>
    <w:rsid w:val="007241F8"/>
    <w:rsid w:val="00724E25"/>
    <w:rsid w:val="007255FD"/>
    <w:rsid w:val="00727A19"/>
    <w:rsid w:val="00730C40"/>
    <w:rsid w:val="0073148F"/>
    <w:rsid w:val="00731F73"/>
    <w:rsid w:val="007345CC"/>
    <w:rsid w:val="00734B1D"/>
    <w:rsid w:val="007351E0"/>
    <w:rsid w:val="00735DDE"/>
    <w:rsid w:val="00735E35"/>
    <w:rsid w:val="007368C4"/>
    <w:rsid w:val="007409F0"/>
    <w:rsid w:val="007415EF"/>
    <w:rsid w:val="00743529"/>
    <w:rsid w:val="00744BB8"/>
    <w:rsid w:val="007453CE"/>
    <w:rsid w:val="00746044"/>
    <w:rsid w:val="00746F64"/>
    <w:rsid w:val="00753993"/>
    <w:rsid w:val="00754813"/>
    <w:rsid w:val="00755E16"/>
    <w:rsid w:val="007635EB"/>
    <w:rsid w:val="00763B9F"/>
    <w:rsid w:val="00764A5E"/>
    <w:rsid w:val="0076649B"/>
    <w:rsid w:val="007667E6"/>
    <w:rsid w:val="00770F4F"/>
    <w:rsid w:val="007719A0"/>
    <w:rsid w:val="00771F59"/>
    <w:rsid w:val="00774A0C"/>
    <w:rsid w:val="00774BEB"/>
    <w:rsid w:val="007753FB"/>
    <w:rsid w:val="007768AA"/>
    <w:rsid w:val="007769AB"/>
    <w:rsid w:val="007779AB"/>
    <w:rsid w:val="00777CD3"/>
    <w:rsid w:val="0078445E"/>
    <w:rsid w:val="00784DC0"/>
    <w:rsid w:val="0078712C"/>
    <w:rsid w:val="00793287"/>
    <w:rsid w:val="0079466F"/>
    <w:rsid w:val="007947FE"/>
    <w:rsid w:val="007961DB"/>
    <w:rsid w:val="00796D46"/>
    <w:rsid w:val="00796D4E"/>
    <w:rsid w:val="00797799"/>
    <w:rsid w:val="007A5C1F"/>
    <w:rsid w:val="007A7544"/>
    <w:rsid w:val="007A7B80"/>
    <w:rsid w:val="007B090B"/>
    <w:rsid w:val="007B37EB"/>
    <w:rsid w:val="007B3C92"/>
    <w:rsid w:val="007B3D39"/>
    <w:rsid w:val="007B4524"/>
    <w:rsid w:val="007C13D8"/>
    <w:rsid w:val="007C1C1B"/>
    <w:rsid w:val="007C3000"/>
    <w:rsid w:val="007C3749"/>
    <w:rsid w:val="007C6D6B"/>
    <w:rsid w:val="007C7842"/>
    <w:rsid w:val="007C7A53"/>
    <w:rsid w:val="007D1BDD"/>
    <w:rsid w:val="007D4FDA"/>
    <w:rsid w:val="007E102F"/>
    <w:rsid w:val="007E2C6D"/>
    <w:rsid w:val="007E349C"/>
    <w:rsid w:val="007E385A"/>
    <w:rsid w:val="007E3A60"/>
    <w:rsid w:val="007E3F8C"/>
    <w:rsid w:val="007E456F"/>
    <w:rsid w:val="007E5B9D"/>
    <w:rsid w:val="007F115F"/>
    <w:rsid w:val="007F14F6"/>
    <w:rsid w:val="007F2EDD"/>
    <w:rsid w:val="007F5B2A"/>
    <w:rsid w:val="007F65B0"/>
    <w:rsid w:val="00806312"/>
    <w:rsid w:val="0080649F"/>
    <w:rsid w:val="00806586"/>
    <w:rsid w:val="00806BDA"/>
    <w:rsid w:val="00806DEC"/>
    <w:rsid w:val="008101D2"/>
    <w:rsid w:val="0081057D"/>
    <w:rsid w:val="0081111C"/>
    <w:rsid w:val="00811E8E"/>
    <w:rsid w:val="00812B34"/>
    <w:rsid w:val="0081696B"/>
    <w:rsid w:val="00817F14"/>
    <w:rsid w:val="008209CB"/>
    <w:rsid w:val="00820B66"/>
    <w:rsid w:val="0082235E"/>
    <w:rsid w:val="0082322B"/>
    <w:rsid w:val="008237D8"/>
    <w:rsid w:val="008243D3"/>
    <w:rsid w:val="00827DD5"/>
    <w:rsid w:val="00832BB3"/>
    <w:rsid w:val="00833392"/>
    <w:rsid w:val="00833F31"/>
    <w:rsid w:val="00834879"/>
    <w:rsid w:val="00835958"/>
    <w:rsid w:val="00837C4C"/>
    <w:rsid w:val="0084276C"/>
    <w:rsid w:val="00842B07"/>
    <w:rsid w:val="00842E87"/>
    <w:rsid w:val="00843AF9"/>
    <w:rsid w:val="00843CB5"/>
    <w:rsid w:val="008453D3"/>
    <w:rsid w:val="008479D0"/>
    <w:rsid w:val="00850489"/>
    <w:rsid w:val="0085053E"/>
    <w:rsid w:val="00850F91"/>
    <w:rsid w:val="0085218F"/>
    <w:rsid w:val="008535EE"/>
    <w:rsid w:val="00854606"/>
    <w:rsid w:val="008546CF"/>
    <w:rsid w:val="00855F2F"/>
    <w:rsid w:val="00857160"/>
    <w:rsid w:val="0085785F"/>
    <w:rsid w:val="008601E2"/>
    <w:rsid w:val="008605E4"/>
    <w:rsid w:val="0086087B"/>
    <w:rsid w:val="0086673A"/>
    <w:rsid w:val="00866E12"/>
    <w:rsid w:val="00870C12"/>
    <w:rsid w:val="008743CE"/>
    <w:rsid w:val="00874D5F"/>
    <w:rsid w:val="00884803"/>
    <w:rsid w:val="00890722"/>
    <w:rsid w:val="00891315"/>
    <w:rsid w:val="008942F7"/>
    <w:rsid w:val="008A2E08"/>
    <w:rsid w:val="008A2FF8"/>
    <w:rsid w:val="008A654C"/>
    <w:rsid w:val="008A6EA6"/>
    <w:rsid w:val="008A7142"/>
    <w:rsid w:val="008A7EB9"/>
    <w:rsid w:val="008B1365"/>
    <w:rsid w:val="008B479B"/>
    <w:rsid w:val="008B4B4B"/>
    <w:rsid w:val="008C19E1"/>
    <w:rsid w:val="008C31B1"/>
    <w:rsid w:val="008C3ED5"/>
    <w:rsid w:val="008C6A00"/>
    <w:rsid w:val="008C7FEB"/>
    <w:rsid w:val="008D0DD5"/>
    <w:rsid w:val="008D2DFF"/>
    <w:rsid w:val="008D4B53"/>
    <w:rsid w:val="008E0CF5"/>
    <w:rsid w:val="008E7866"/>
    <w:rsid w:val="008F1DE1"/>
    <w:rsid w:val="008F73F0"/>
    <w:rsid w:val="00904DFF"/>
    <w:rsid w:val="00905AB1"/>
    <w:rsid w:val="00907CED"/>
    <w:rsid w:val="00911E5D"/>
    <w:rsid w:val="00916B7D"/>
    <w:rsid w:val="009172B7"/>
    <w:rsid w:val="00927747"/>
    <w:rsid w:val="009307F7"/>
    <w:rsid w:val="00931BA9"/>
    <w:rsid w:val="009326EA"/>
    <w:rsid w:val="009340A2"/>
    <w:rsid w:val="00934334"/>
    <w:rsid w:val="00935EB1"/>
    <w:rsid w:val="0094040D"/>
    <w:rsid w:val="0094223E"/>
    <w:rsid w:val="009429BB"/>
    <w:rsid w:val="00946A32"/>
    <w:rsid w:val="0095411E"/>
    <w:rsid w:val="00961588"/>
    <w:rsid w:val="00963334"/>
    <w:rsid w:val="009642A5"/>
    <w:rsid w:val="009718A1"/>
    <w:rsid w:val="009719ED"/>
    <w:rsid w:val="009724B5"/>
    <w:rsid w:val="009826C1"/>
    <w:rsid w:val="00983B12"/>
    <w:rsid w:val="00987438"/>
    <w:rsid w:val="009909D3"/>
    <w:rsid w:val="00992C3D"/>
    <w:rsid w:val="00992FB4"/>
    <w:rsid w:val="00993C5A"/>
    <w:rsid w:val="00994BE0"/>
    <w:rsid w:val="00994C4D"/>
    <w:rsid w:val="00994D5B"/>
    <w:rsid w:val="0099620D"/>
    <w:rsid w:val="00996255"/>
    <w:rsid w:val="0099747E"/>
    <w:rsid w:val="009979AE"/>
    <w:rsid w:val="00997DCD"/>
    <w:rsid w:val="009A1FA1"/>
    <w:rsid w:val="009A2DDD"/>
    <w:rsid w:val="009A4DA9"/>
    <w:rsid w:val="009A50E4"/>
    <w:rsid w:val="009A511C"/>
    <w:rsid w:val="009B1BB9"/>
    <w:rsid w:val="009B37AA"/>
    <w:rsid w:val="009B3E3C"/>
    <w:rsid w:val="009B53AD"/>
    <w:rsid w:val="009B62F9"/>
    <w:rsid w:val="009C02D6"/>
    <w:rsid w:val="009C0521"/>
    <w:rsid w:val="009C25E6"/>
    <w:rsid w:val="009C2B2B"/>
    <w:rsid w:val="009C4F38"/>
    <w:rsid w:val="009C5491"/>
    <w:rsid w:val="009C57A7"/>
    <w:rsid w:val="009C5EAC"/>
    <w:rsid w:val="009D1E01"/>
    <w:rsid w:val="009D21EA"/>
    <w:rsid w:val="009E2F52"/>
    <w:rsid w:val="009E56BF"/>
    <w:rsid w:val="009F00EC"/>
    <w:rsid w:val="009F0C98"/>
    <w:rsid w:val="009F20B1"/>
    <w:rsid w:val="009F2191"/>
    <w:rsid w:val="00A02243"/>
    <w:rsid w:val="00A026BB"/>
    <w:rsid w:val="00A02C90"/>
    <w:rsid w:val="00A04FB6"/>
    <w:rsid w:val="00A0703A"/>
    <w:rsid w:val="00A07BF8"/>
    <w:rsid w:val="00A12D00"/>
    <w:rsid w:val="00A13A75"/>
    <w:rsid w:val="00A14BDF"/>
    <w:rsid w:val="00A158D8"/>
    <w:rsid w:val="00A16634"/>
    <w:rsid w:val="00A235EB"/>
    <w:rsid w:val="00A23CCF"/>
    <w:rsid w:val="00A245EA"/>
    <w:rsid w:val="00A27C6C"/>
    <w:rsid w:val="00A33227"/>
    <w:rsid w:val="00A348A7"/>
    <w:rsid w:val="00A34C8C"/>
    <w:rsid w:val="00A34F66"/>
    <w:rsid w:val="00A36B22"/>
    <w:rsid w:val="00A3748D"/>
    <w:rsid w:val="00A411A2"/>
    <w:rsid w:val="00A42EF1"/>
    <w:rsid w:val="00A437BD"/>
    <w:rsid w:val="00A45FBF"/>
    <w:rsid w:val="00A4655C"/>
    <w:rsid w:val="00A504D7"/>
    <w:rsid w:val="00A570AF"/>
    <w:rsid w:val="00A60EA2"/>
    <w:rsid w:val="00A615CB"/>
    <w:rsid w:val="00A615D3"/>
    <w:rsid w:val="00A6198E"/>
    <w:rsid w:val="00A61C06"/>
    <w:rsid w:val="00A62560"/>
    <w:rsid w:val="00A62795"/>
    <w:rsid w:val="00A62D4D"/>
    <w:rsid w:val="00A6351D"/>
    <w:rsid w:val="00A66E84"/>
    <w:rsid w:val="00A70F37"/>
    <w:rsid w:val="00A72DAC"/>
    <w:rsid w:val="00A74EAF"/>
    <w:rsid w:val="00A76890"/>
    <w:rsid w:val="00A8634A"/>
    <w:rsid w:val="00A9018E"/>
    <w:rsid w:val="00A97BF6"/>
    <w:rsid w:val="00AA1367"/>
    <w:rsid w:val="00AA225B"/>
    <w:rsid w:val="00AA2ED9"/>
    <w:rsid w:val="00AA33CB"/>
    <w:rsid w:val="00AA5A61"/>
    <w:rsid w:val="00AA6DAD"/>
    <w:rsid w:val="00AA7938"/>
    <w:rsid w:val="00AB0219"/>
    <w:rsid w:val="00AB0A6D"/>
    <w:rsid w:val="00AB1081"/>
    <w:rsid w:val="00AB1FA4"/>
    <w:rsid w:val="00AB3121"/>
    <w:rsid w:val="00AB3ED2"/>
    <w:rsid w:val="00AB4FF1"/>
    <w:rsid w:val="00AB67A1"/>
    <w:rsid w:val="00AB7668"/>
    <w:rsid w:val="00AB79D7"/>
    <w:rsid w:val="00AC12EA"/>
    <w:rsid w:val="00AC15BD"/>
    <w:rsid w:val="00AC3919"/>
    <w:rsid w:val="00AC6459"/>
    <w:rsid w:val="00AC7C19"/>
    <w:rsid w:val="00AC7CEA"/>
    <w:rsid w:val="00AD52E7"/>
    <w:rsid w:val="00AE1BC0"/>
    <w:rsid w:val="00AE2082"/>
    <w:rsid w:val="00AE40FD"/>
    <w:rsid w:val="00AE545C"/>
    <w:rsid w:val="00AE6078"/>
    <w:rsid w:val="00AF1190"/>
    <w:rsid w:val="00AF1DE8"/>
    <w:rsid w:val="00AF2E60"/>
    <w:rsid w:val="00AF3A29"/>
    <w:rsid w:val="00AF5959"/>
    <w:rsid w:val="00AF6D0A"/>
    <w:rsid w:val="00B01ED9"/>
    <w:rsid w:val="00B04C5E"/>
    <w:rsid w:val="00B04F1F"/>
    <w:rsid w:val="00B05942"/>
    <w:rsid w:val="00B05AAB"/>
    <w:rsid w:val="00B132B7"/>
    <w:rsid w:val="00B14824"/>
    <w:rsid w:val="00B15414"/>
    <w:rsid w:val="00B16844"/>
    <w:rsid w:val="00B1754A"/>
    <w:rsid w:val="00B17645"/>
    <w:rsid w:val="00B2191E"/>
    <w:rsid w:val="00B245F0"/>
    <w:rsid w:val="00B267AB"/>
    <w:rsid w:val="00B30E8A"/>
    <w:rsid w:val="00B350B1"/>
    <w:rsid w:val="00B35BA4"/>
    <w:rsid w:val="00B36F3C"/>
    <w:rsid w:val="00B37BF7"/>
    <w:rsid w:val="00B41215"/>
    <w:rsid w:val="00B4126F"/>
    <w:rsid w:val="00B43868"/>
    <w:rsid w:val="00B4579E"/>
    <w:rsid w:val="00B45D63"/>
    <w:rsid w:val="00B46397"/>
    <w:rsid w:val="00B5030C"/>
    <w:rsid w:val="00B5236A"/>
    <w:rsid w:val="00B533EE"/>
    <w:rsid w:val="00B554DD"/>
    <w:rsid w:val="00B55D5C"/>
    <w:rsid w:val="00B562AF"/>
    <w:rsid w:val="00B604DB"/>
    <w:rsid w:val="00B6162C"/>
    <w:rsid w:val="00B61E00"/>
    <w:rsid w:val="00B623A9"/>
    <w:rsid w:val="00B629A0"/>
    <w:rsid w:val="00B6384B"/>
    <w:rsid w:val="00B653CF"/>
    <w:rsid w:val="00B655E5"/>
    <w:rsid w:val="00B656EA"/>
    <w:rsid w:val="00B66E5C"/>
    <w:rsid w:val="00B67F98"/>
    <w:rsid w:val="00B746FB"/>
    <w:rsid w:val="00B758DE"/>
    <w:rsid w:val="00B842CD"/>
    <w:rsid w:val="00B855BE"/>
    <w:rsid w:val="00B85E72"/>
    <w:rsid w:val="00B8662B"/>
    <w:rsid w:val="00B8735A"/>
    <w:rsid w:val="00B9087B"/>
    <w:rsid w:val="00B931BE"/>
    <w:rsid w:val="00B94FA2"/>
    <w:rsid w:val="00B96FA3"/>
    <w:rsid w:val="00B97D1E"/>
    <w:rsid w:val="00B97EBC"/>
    <w:rsid w:val="00BA2317"/>
    <w:rsid w:val="00BA32F5"/>
    <w:rsid w:val="00BA69F1"/>
    <w:rsid w:val="00BA7374"/>
    <w:rsid w:val="00BB5052"/>
    <w:rsid w:val="00BB6C77"/>
    <w:rsid w:val="00BC0E20"/>
    <w:rsid w:val="00BC238E"/>
    <w:rsid w:val="00BC3690"/>
    <w:rsid w:val="00BC411A"/>
    <w:rsid w:val="00BD1164"/>
    <w:rsid w:val="00BD1FD9"/>
    <w:rsid w:val="00BD2367"/>
    <w:rsid w:val="00BD2848"/>
    <w:rsid w:val="00BD36A9"/>
    <w:rsid w:val="00BD42CA"/>
    <w:rsid w:val="00BD42F3"/>
    <w:rsid w:val="00BD54DF"/>
    <w:rsid w:val="00BE339A"/>
    <w:rsid w:val="00BE3B7D"/>
    <w:rsid w:val="00BE470F"/>
    <w:rsid w:val="00BE5517"/>
    <w:rsid w:val="00BE5ECE"/>
    <w:rsid w:val="00BF3FF8"/>
    <w:rsid w:val="00BF54C4"/>
    <w:rsid w:val="00BF66B5"/>
    <w:rsid w:val="00BF6E5F"/>
    <w:rsid w:val="00C03A2C"/>
    <w:rsid w:val="00C0544E"/>
    <w:rsid w:val="00C10D94"/>
    <w:rsid w:val="00C11B92"/>
    <w:rsid w:val="00C13845"/>
    <w:rsid w:val="00C13CC9"/>
    <w:rsid w:val="00C16246"/>
    <w:rsid w:val="00C20B95"/>
    <w:rsid w:val="00C22A00"/>
    <w:rsid w:val="00C22EAD"/>
    <w:rsid w:val="00C25212"/>
    <w:rsid w:val="00C279C7"/>
    <w:rsid w:val="00C31D4E"/>
    <w:rsid w:val="00C33EB6"/>
    <w:rsid w:val="00C35645"/>
    <w:rsid w:val="00C35E63"/>
    <w:rsid w:val="00C36FD5"/>
    <w:rsid w:val="00C3710B"/>
    <w:rsid w:val="00C41C4B"/>
    <w:rsid w:val="00C421D6"/>
    <w:rsid w:val="00C42EAE"/>
    <w:rsid w:val="00C4350D"/>
    <w:rsid w:val="00C43B55"/>
    <w:rsid w:val="00C443EE"/>
    <w:rsid w:val="00C443F7"/>
    <w:rsid w:val="00C44773"/>
    <w:rsid w:val="00C4488E"/>
    <w:rsid w:val="00C5136C"/>
    <w:rsid w:val="00C53275"/>
    <w:rsid w:val="00C55242"/>
    <w:rsid w:val="00C55CA0"/>
    <w:rsid w:val="00C56802"/>
    <w:rsid w:val="00C56D30"/>
    <w:rsid w:val="00C56FB6"/>
    <w:rsid w:val="00C57D1E"/>
    <w:rsid w:val="00C6362B"/>
    <w:rsid w:val="00C64C00"/>
    <w:rsid w:val="00C65219"/>
    <w:rsid w:val="00C658E0"/>
    <w:rsid w:val="00C67CDE"/>
    <w:rsid w:val="00C70D07"/>
    <w:rsid w:val="00C71751"/>
    <w:rsid w:val="00C73B44"/>
    <w:rsid w:val="00C75A6C"/>
    <w:rsid w:val="00C7740C"/>
    <w:rsid w:val="00C810E4"/>
    <w:rsid w:val="00C8322A"/>
    <w:rsid w:val="00C870BD"/>
    <w:rsid w:val="00C87310"/>
    <w:rsid w:val="00C87493"/>
    <w:rsid w:val="00C87836"/>
    <w:rsid w:val="00C87DFC"/>
    <w:rsid w:val="00C91159"/>
    <w:rsid w:val="00C95913"/>
    <w:rsid w:val="00C95A49"/>
    <w:rsid w:val="00C964AB"/>
    <w:rsid w:val="00C97A3E"/>
    <w:rsid w:val="00CA1838"/>
    <w:rsid w:val="00CA1FDA"/>
    <w:rsid w:val="00CA441E"/>
    <w:rsid w:val="00CA523E"/>
    <w:rsid w:val="00CA54B2"/>
    <w:rsid w:val="00CB1198"/>
    <w:rsid w:val="00CB1418"/>
    <w:rsid w:val="00CB2425"/>
    <w:rsid w:val="00CB5A25"/>
    <w:rsid w:val="00CC0273"/>
    <w:rsid w:val="00CC745C"/>
    <w:rsid w:val="00CD0528"/>
    <w:rsid w:val="00CD3DA1"/>
    <w:rsid w:val="00CD403A"/>
    <w:rsid w:val="00CD75C4"/>
    <w:rsid w:val="00CD7D3E"/>
    <w:rsid w:val="00CD7E28"/>
    <w:rsid w:val="00CE0D17"/>
    <w:rsid w:val="00CE0FEB"/>
    <w:rsid w:val="00CE2E07"/>
    <w:rsid w:val="00CF190A"/>
    <w:rsid w:val="00CF5523"/>
    <w:rsid w:val="00CF67C9"/>
    <w:rsid w:val="00CF79D6"/>
    <w:rsid w:val="00D00EA1"/>
    <w:rsid w:val="00D01B8A"/>
    <w:rsid w:val="00D01E86"/>
    <w:rsid w:val="00D02B10"/>
    <w:rsid w:val="00D03E24"/>
    <w:rsid w:val="00D07812"/>
    <w:rsid w:val="00D101C6"/>
    <w:rsid w:val="00D10CBC"/>
    <w:rsid w:val="00D11BDC"/>
    <w:rsid w:val="00D11E85"/>
    <w:rsid w:val="00D12961"/>
    <w:rsid w:val="00D13CB8"/>
    <w:rsid w:val="00D1416B"/>
    <w:rsid w:val="00D16665"/>
    <w:rsid w:val="00D21982"/>
    <w:rsid w:val="00D23B79"/>
    <w:rsid w:val="00D23FBF"/>
    <w:rsid w:val="00D25AF5"/>
    <w:rsid w:val="00D31AD6"/>
    <w:rsid w:val="00D321A0"/>
    <w:rsid w:val="00D32E60"/>
    <w:rsid w:val="00D32FD3"/>
    <w:rsid w:val="00D363CF"/>
    <w:rsid w:val="00D36A47"/>
    <w:rsid w:val="00D404B3"/>
    <w:rsid w:val="00D40B88"/>
    <w:rsid w:val="00D4163C"/>
    <w:rsid w:val="00D42A1F"/>
    <w:rsid w:val="00D44154"/>
    <w:rsid w:val="00D45796"/>
    <w:rsid w:val="00D458F6"/>
    <w:rsid w:val="00D45EA5"/>
    <w:rsid w:val="00D45F8E"/>
    <w:rsid w:val="00D46099"/>
    <w:rsid w:val="00D46289"/>
    <w:rsid w:val="00D47B49"/>
    <w:rsid w:val="00D50A8B"/>
    <w:rsid w:val="00D5783A"/>
    <w:rsid w:val="00D6244F"/>
    <w:rsid w:val="00D638DA"/>
    <w:rsid w:val="00D64880"/>
    <w:rsid w:val="00D64D09"/>
    <w:rsid w:val="00D65595"/>
    <w:rsid w:val="00D67B09"/>
    <w:rsid w:val="00D71F8A"/>
    <w:rsid w:val="00D72125"/>
    <w:rsid w:val="00D75235"/>
    <w:rsid w:val="00D75C27"/>
    <w:rsid w:val="00D80947"/>
    <w:rsid w:val="00D818CC"/>
    <w:rsid w:val="00D822C8"/>
    <w:rsid w:val="00D831B8"/>
    <w:rsid w:val="00D84610"/>
    <w:rsid w:val="00D86147"/>
    <w:rsid w:val="00D87932"/>
    <w:rsid w:val="00D937A9"/>
    <w:rsid w:val="00D97A82"/>
    <w:rsid w:val="00DA3D54"/>
    <w:rsid w:val="00DA6681"/>
    <w:rsid w:val="00DB0B30"/>
    <w:rsid w:val="00DB0F56"/>
    <w:rsid w:val="00DB1C59"/>
    <w:rsid w:val="00DB2047"/>
    <w:rsid w:val="00DB4C4C"/>
    <w:rsid w:val="00DB52C8"/>
    <w:rsid w:val="00DB65D2"/>
    <w:rsid w:val="00DC126A"/>
    <w:rsid w:val="00DC6407"/>
    <w:rsid w:val="00DC77B8"/>
    <w:rsid w:val="00DC7EC3"/>
    <w:rsid w:val="00DD00C4"/>
    <w:rsid w:val="00DD048A"/>
    <w:rsid w:val="00DD3710"/>
    <w:rsid w:val="00DD3B79"/>
    <w:rsid w:val="00DD42A0"/>
    <w:rsid w:val="00DD54FB"/>
    <w:rsid w:val="00DE0211"/>
    <w:rsid w:val="00DE09F6"/>
    <w:rsid w:val="00DE0EFA"/>
    <w:rsid w:val="00DE2C13"/>
    <w:rsid w:val="00DE2EE6"/>
    <w:rsid w:val="00DE2FB8"/>
    <w:rsid w:val="00DE4789"/>
    <w:rsid w:val="00DE5288"/>
    <w:rsid w:val="00DF0F5D"/>
    <w:rsid w:val="00DF2060"/>
    <w:rsid w:val="00DF2BE5"/>
    <w:rsid w:val="00DF4401"/>
    <w:rsid w:val="00DF6FC1"/>
    <w:rsid w:val="00E01462"/>
    <w:rsid w:val="00E015F1"/>
    <w:rsid w:val="00E01B2F"/>
    <w:rsid w:val="00E02D42"/>
    <w:rsid w:val="00E04B01"/>
    <w:rsid w:val="00E04F8C"/>
    <w:rsid w:val="00E061B3"/>
    <w:rsid w:val="00E06789"/>
    <w:rsid w:val="00E11971"/>
    <w:rsid w:val="00E1280D"/>
    <w:rsid w:val="00E12C53"/>
    <w:rsid w:val="00E171C9"/>
    <w:rsid w:val="00E178B7"/>
    <w:rsid w:val="00E17B20"/>
    <w:rsid w:val="00E20515"/>
    <w:rsid w:val="00E2080B"/>
    <w:rsid w:val="00E21462"/>
    <w:rsid w:val="00E21CA1"/>
    <w:rsid w:val="00E2213F"/>
    <w:rsid w:val="00E31A88"/>
    <w:rsid w:val="00E325C0"/>
    <w:rsid w:val="00E40B36"/>
    <w:rsid w:val="00E42D0C"/>
    <w:rsid w:val="00E50937"/>
    <w:rsid w:val="00E5283D"/>
    <w:rsid w:val="00E563A3"/>
    <w:rsid w:val="00E603AB"/>
    <w:rsid w:val="00E60962"/>
    <w:rsid w:val="00E60C65"/>
    <w:rsid w:val="00E62554"/>
    <w:rsid w:val="00E662F4"/>
    <w:rsid w:val="00E67B0A"/>
    <w:rsid w:val="00E7080E"/>
    <w:rsid w:val="00E7165A"/>
    <w:rsid w:val="00E73B24"/>
    <w:rsid w:val="00E74241"/>
    <w:rsid w:val="00E74B9B"/>
    <w:rsid w:val="00E76F6B"/>
    <w:rsid w:val="00E8172E"/>
    <w:rsid w:val="00E85A9F"/>
    <w:rsid w:val="00E85BC6"/>
    <w:rsid w:val="00E861E9"/>
    <w:rsid w:val="00E86789"/>
    <w:rsid w:val="00E92789"/>
    <w:rsid w:val="00E92D48"/>
    <w:rsid w:val="00E94A4E"/>
    <w:rsid w:val="00E9703C"/>
    <w:rsid w:val="00E9711C"/>
    <w:rsid w:val="00E97D33"/>
    <w:rsid w:val="00EA08A2"/>
    <w:rsid w:val="00EA39E8"/>
    <w:rsid w:val="00EA5846"/>
    <w:rsid w:val="00EA7C01"/>
    <w:rsid w:val="00EB13D0"/>
    <w:rsid w:val="00EB3AED"/>
    <w:rsid w:val="00EB56BC"/>
    <w:rsid w:val="00EB5704"/>
    <w:rsid w:val="00EC1DD1"/>
    <w:rsid w:val="00EC3479"/>
    <w:rsid w:val="00EC770F"/>
    <w:rsid w:val="00ED13CC"/>
    <w:rsid w:val="00ED1B0F"/>
    <w:rsid w:val="00ED3D79"/>
    <w:rsid w:val="00ED402F"/>
    <w:rsid w:val="00ED4EA0"/>
    <w:rsid w:val="00ED59C3"/>
    <w:rsid w:val="00ED7539"/>
    <w:rsid w:val="00EE0817"/>
    <w:rsid w:val="00EE1208"/>
    <w:rsid w:val="00EE39DF"/>
    <w:rsid w:val="00EE3ED5"/>
    <w:rsid w:val="00EE5478"/>
    <w:rsid w:val="00EE6671"/>
    <w:rsid w:val="00EE7538"/>
    <w:rsid w:val="00EE7963"/>
    <w:rsid w:val="00EF00DB"/>
    <w:rsid w:val="00EF1776"/>
    <w:rsid w:val="00F03427"/>
    <w:rsid w:val="00F102E6"/>
    <w:rsid w:val="00F135AF"/>
    <w:rsid w:val="00F16393"/>
    <w:rsid w:val="00F207F3"/>
    <w:rsid w:val="00F21350"/>
    <w:rsid w:val="00F21481"/>
    <w:rsid w:val="00F2192B"/>
    <w:rsid w:val="00F24CBF"/>
    <w:rsid w:val="00F260FF"/>
    <w:rsid w:val="00F31EF7"/>
    <w:rsid w:val="00F337EF"/>
    <w:rsid w:val="00F34237"/>
    <w:rsid w:val="00F35E34"/>
    <w:rsid w:val="00F416FA"/>
    <w:rsid w:val="00F42AE5"/>
    <w:rsid w:val="00F42F6D"/>
    <w:rsid w:val="00F448B1"/>
    <w:rsid w:val="00F50F2C"/>
    <w:rsid w:val="00F518E5"/>
    <w:rsid w:val="00F5202D"/>
    <w:rsid w:val="00F52C56"/>
    <w:rsid w:val="00F53479"/>
    <w:rsid w:val="00F55C96"/>
    <w:rsid w:val="00F56FAF"/>
    <w:rsid w:val="00F574CD"/>
    <w:rsid w:val="00F57524"/>
    <w:rsid w:val="00F64967"/>
    <w:rsid w:val="00F66598"/>
    <w:rsid w:val="00F66B4F"/>
    <w:rsid w:val="00F679F8"/>
    <w:rsid w:val="00F711BA"/>
    <w:rsid w:val="00F72C89"/>
    <w:rsid w:val="00F730FF"/>
    <w:rsid w:val="00F74137"/>
    <w:rsid w:val="00F74A0D"/>
    <w:rsid w:val="00F74AF2"/>
    <w:rsid w:val="00F76A58"/>
    <w:rsid w:val="00F777EF"/>
    <w:rsid w:val="00F81AF0"/>
    <w:rsid w:val="00F8667E"/>
    <w:rsid w:val="00F87021"/>
    <w:rsid w:val="00F92433"/>
    <w:rsid w:val="00F933E5"/>
    <w:rsid w:val="00F934E8"/>
    <w:rsid w:val="00F942C9"/>
    <w:rsid w:val="00F9444B"/>
    <w:rsid w:val="00FA23D9"/>
    <w:rsid w:val="00FA3A88"/>
    <w:rsid w:val="00FA64CC"/>
    <w:rsid w:val="00FA6E63"/>
    <w:rsid w:val="00FB1578"/>
    <w:rsid w:val="00FB2742"/>
    <w:rsid w:val="00FC1311"/>
    <w:rsid w:val="00FC40E6"/>
    <w:rsid w:val="00FC571D"/>
    <w:rsid w:val="00FC6DDF"/>
    <w:rsid w:val="00FD0FB7"/>
    <w:rsid w:val="00FD2420"/>
    <w:rsid w:val="00FD2B00"/>
    <w:rsid w:val="00FD2E4D"/>
    <w:rsid w:val="00FD2F94"/>
    <w:rsid w:val="00FD46A5"/>
    <w:rsid w:val="00FD4973"/>
    <w:rsid w:val="00FD5CBA"/>
    <w:rsid w:val="00FE0AE4"/>
    <w:rsid w:val="00FE2826"/>
    <w:rsid w:val="00FE28F4"/>
    <w:rsid w:val="00FE2DCF"/>
    <w:rsid w:val="00FE3EC9"/>
    <w:rsid w:val="00FE4D30"/>
    <w:rsid w:val="00FE55B8"/>
    <w:rsid w:val="00FE6E87"/>
    <w:rsid w:val="00FF3DEB"/>
    <w:rsid w:val="00FF63DA"/>
    <w:rsid w:val="00FF6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extoindependiente3Car">
    <w:name w:val="Texto independiente 3 Car"/>
    <w:basedOn w:val="Fuentedeprrafopredeter"/>
    <w:link w:val="Textoindependiente3"/>
    <w:rsid w:val="00224EDB"/>
    <w:rPr>
      <w:sz w:val="24"/>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extoindependiente3Car">
    <w:name w:val="Texto independiente 3 Car"/>
    <w:basedOn w:val="Fuentedeprrafopredeter"/>
    <w:link w:val="Textoindependiente3"/>
    <w:rsid w:val="00224EDB"/>
    <w:rPr>
      <w:sz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4554">
      <w:bodyDiv w:val="1"/>
      <w:marLeft w:val="0"/>
      <w:marRight w:val="0"/>
      <w:marTop w:val="0"/>
      <w:marBottom w:val="0"/>
      <w:divBdr>
        <w:top w:val="none" w:sz="0" w:space="0" w:color="auto"/>
        <w:left w:val="none" w:sz="0" w:space="0" w:color="auto"/>
        <w:bottom w:val="none" w:sz="0" w:space="0" w:color="auto"/>
        <w:right w:val="none" w:sz="0" w:space="0" w:color="auto"/>
      </w:divBdr>
    </w:div>
    <w:div w:id="651445191">
      <w:bodyDiv w:val="1"/>
      <w:marLeft w:val="0"/>
      <w:marRight w:val="0"/>
      <w:marTop w:val="0"/>
      <w:marBottom w:val="0"/>
      <w:divBdr>
        <w:top w:val="none" w:sz="0" w:space="0" w:color="auto"/>
        <w:left w:val="none" w:sz="0" w:space="0" w:color="auto"/>
        <w:bottom w:val="none" w:sz="0" w:space="0" w:color="auto"/>
        <w:right w:val="none" w:sz="0" w:space="0" w:color="auto"/>
      </w:divBdr>
    </w:div>
    <w:div w:id="725374246">
      <w:bodyDiv w:val="1"/>
      <w:marLeft w:val="0"/>
      <w:marRight w:val="0"/>
      <w:marTop w:val="0"/>
      <w:marBottom w:val="0"/>
      <w:divBdr>
        <w:top w:val="none" w:sz="0" w:space="0" w:color="auto"/>
        <w:left w:val="none" w:sz="0" w:space="0" w:color="auto"/>
        <w:bottom w:val="none" w:sz="0" w:space="0" w:color="auto"/>
        <w:right w:val="none" w:sz="0" w:space="0" w:color="auto"/>
      </w:divBdr>
    </w:div>
    <w:div w:id="1104962024">
      <w:bodyDiv w:val="1"/>
      <w:marLeft w:val="0"/>
      <w:marRight w:val="0"/>
      <w:marTop w:val="0"/>
      <w:marBottom w:val="0"/>
      <w:divBdr>
        <w:top w:val="none" w:sz="0" w:space="0" w:color="auto"/>
        <w:left w:val="none" w:sz="0" w:space="0" w:color="auto"/>
        <w:bottom w:val="none" w:sz="0" w:space="0" w:color="auto"/>
        <w:right w:val="none" w:sz="0" w:space="0" w:color="auto"/>
      </w:divBdr>
    </w:div>
    <w:div w:id="1515605079">
      <w:bodyDiv w:val="1"/>
      <w:marLeft w:val="0"/>
      <w:marRight w:val="0"/>
      <w:marTop w:val="0"/>
      <w:marBottom w:val="0"/>
      <w:divBdr>
        <w:top w:val="none" w:sz="0" w:space="0" w:color="auto"/>
        <w:left w:val="none" w:sz="0" w:space="0" w:color="auto"/>
        <w:bottom w:val="none" w:sz="0" w:space="0" w:color="auto"/>
        <w:right w:val="none" w:sz="0" w:space="0" w:color="auto"/>
      </w:divBdr>
    </w:div>
    <w:div w:id="1670257335">
      <w:bodyDiv w:val="1"/>
      <w:marLeft w:val="0"/>
      <w:marRight w:val="0"/>
      <w:marTop w:val="0"/>
      <w:marBottom w:val="0"/>
      <w:divBdr>
        <w:top w:val="none" w:sz="0" w:space="0" w:color="auto"/>
        <w:left w:val="none" w:sz="0" w:space="0" w:color="auto"/>
        <w:bottom w:val="none" w:sz="0" w:space="0" w:color="auto"/>
        <w:right w:val="none" w:sz="0" w:space="0" w:color="auto"/>
      </w:divBdr>
    </w:div>
    <w:div w:id="1680234160">
      <w:bodyDiv w:val="1"/>
      <w:marLeft w:val="0"/>
      <w:marRight w:val="0"/>
      <w:marTop w:val="0"/>
      <w:marBottom w:val="0"/>
      <w:divBdr>
        <w:top w:val="none" w:sz="0" w:space="0" w:color="auto"/>
        <w:left w:val="none" w:sz="0" w:space="0" w:color="auto"/>
        <w:bottom w:val="none" w:sz="0" w:space="0" w:color="auto"/>
        <w:right w:val="none" w:sz="0" w:space="0" w:color="auto"/>
      </w:divBdr>
    </w:div>
    <w:div w:id="21085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Excel_97-2003_Worksheet13.xls"/><Relationship Id="rId42" Type="http://schemas.openxmlformats.org/officeDocument/2006/relationships/oleObject" Target="embeddings/Microsoft_Excel_97-2003_Worksheet16.xls"/><Relationship Id="rId47" Type="http://schemas.openxmlformats.org/officeDocument/2006/relationships/image" Target="media/image20.emf"/><Relationship Id="rId50" Type="http://schemas.openxmlformats.org/officeDocument/2006/relationships/oleObject" Target="embeddings/Microsoft_Excel_97-2003_Worksheet20.xls"/><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5.emf"/><Relationship Id="rId40" Type="http://schemas.openxmlformats.org/officeDocument/2006/relationships/oleObject" Target="embeddings/Microsoft_Excel_97-2003_Worksheet15.xls"/><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Excel_97-2003_Worksheet24.xls"/><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Excel_97-2003_Worksheet17.xls"/><Relationship Id="rId52" Type="http://schemas.openxmlformats.org/officeDocument/2006/relationships/oleObject" Target="embeddings/Microsoft_Excel_97-2003_Worksheet21.xls"/><Relationship Id="rId60" Type="http://schemas.openxmlformats.org/officeDocument/2006/relationships/oleObject" Target="embeddings/Microsoft_Excel_97-2003_Worksheet25.xls"/><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Excel_97-2003_Worksheet19.xls"/><Relationship Id="rId56" Type="http://schemas.openxmlformats.org/officeDocument/2006/relationships/oleObject" Target="embeddings/Microsoft_Excel_97-2003_Worksheet23.xls"/><Relationship Id="rId64" Type="http://schemas.openxmlformats.org/officeDocument/2006/relationships/oleObject" Target="embeddings/Microsoft_Excel_97-2003_Worksheet27.xls"/><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xlsx"/><Relationship Id="rId46" Type="http://schemas.openxmlformats.org/officeDocument/2006/relationships/oleObject" Target="embeddings/Microsoft_Excel_97-2003_Worksheet18.xls"/><Relationship Id="rId59" Type="http://schemas.openxmlformats.org/officeDocument/2006/relationships/image" Target="media/image26.emf"/><Relationship Id="rId67" Type="http://schemas.openxmlformats.org/officeDocument/2006/relationships/footer" Target="footer3.xml"/><Relationship Id="rId20" Type="http://schemas.openxmlformats.org/officeDocument/2006/relationships/oleObject" Target="embeddings/Microsoft_Excel_97-2003_Worksheet6.xls"/><Relationship Id="rId41" Type="http://schemas.openxmlformats.org/officeDocument/2006/relationships/image" Target="media/image17.emf"/><Relationship Id="rId54" Type="http://schemas.openxmlformats.org/officeDocument/2006/relationships/oleObject" Target="embeddings/Microsoft_Excel_97-2003_Worksheet22.xls"/><Relationship Id="rId62" Type="http://schemas.openxmlformats.org/officeDocument/2006/relationships/oleObject" Target="embeddings/Microsoft_Excel_97-2003_Worksheet26.xl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086F-8343-4E50-813E-6DCE6FAA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6162</Words>
  <Characters>33894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39977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GF-DC-Menjivar,Ana</cp:lastModifiedBy>
  <cp:revision>2</cp:revision>
  <cp:lastPrinted>2016-10-17T22:20:00Z</cp:lastPrinted>
  <dcterms:created xsi:type="dcterms:W3CDTF">2016-11-03T14:57:00Z</dcterms:created>
  <dcterms:modified xsi:type="dcterms:W3CDTF">2016-11-03T14:57:00Z</dcterms:modified>
</cp:coreProperties>
</file>