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85" w:rsidRPr="00D00BAF" w:rsidRDefault="000E0885">
      <w:pPr>
        <w:pStyle w:val="Textoindependiente"/>
        <w:tabs>
          <w:tab w:val="clear" w:pos="720"/>
          <w:tab w:val="clear" w:pos="1296"/>
          <w:tab w:val="clear" w:pos="2016"/>
          <w:tab w:val="left" w:pos="-2160"/>
          <w:tab w:val="left" w:pos="-1980"/>
        </w:tabs>
        <w:rPr>
          <w:rFonts w:ascii="Times New Roman" w:hAnsi="Times New Roman"/>
        </w:rPr>
      </w:pPr>
      <w:r w:rsidRPr="00D00BAF">
        <w:rPr>
          <w:rFonts w:ascii="Times New Roman" w:hAnsi="Times New Roman"/>
        </w:rPr>
        <w:t>BANCO DE FOMENTO AGROPECUARIO</w:t>
      </w:r>
    </w:p>
    <w:p w:rsidR="000E0885" w:rsidRPr="00D00BAF" w:rsidRDefault="000E0885">
      <w:pPr>
        <w:pStyle w:val="Textoindependiente"/>
        <w:tabs>
          <w:tab w:val="clear" w:pos="720"/>
          <w:tab w:val="clear" w:pos="1296"/>
          <w:tab w:val="clear" w:pos="2016"/>
          <w:tab w:val="left" w:pos="-2160"/>
          <w:tab w:val="left" w:pos="-1980"/>
        </w:tabs>
        <w:rPr>
          <w:rFonts w:ascii="Times New Roman" w:hAnsi="Times New Roman"/>
        </w:rPr>
      </w:pPr>
      <w:r w:rsidRPr="00D00BAF">
        <w:rPr>
          <w:rFonts w:ascii="Times New Roman" w:hAnsi="Times New Roman"/>
        </w:rPr>
        <w:t>NOTAS A LOS ESTADOS FINANC</w:t>
      </w:r>
      <w:r w:rsidR="0065044E" w:rsidRPr="00D00BAF">
        <w:rPr>
          <w:rFonts w:ascii="Times New Roman" w:hAnsi="Times New Roman"/>
        </w:rPr>
        <w:t xml:space="preserve">IEROS </w:t>
      </w:r>
      <w:r w:rsidR="00223B68" w:rsidRPr="00D00BAF">
        <w:rPr>
          <w:rFonts w:ascii="Times New Roman" w:hAnsi="Times New Roman"/>
        </w:rPr>
        <w:t xml:space="preserve"> </w:t>
      </w:r>
      <w:r w:rsidR="002107B5" w:rsidRPr="00D00BAF">
        <w:rPr>
          <w:rFonts w:ascii="Times New Roman" w:hAnsi="Times New Roman"/>
        </w:rPr>
        <w:t>AL 31 DE DICIEMBRE DE 2015 Y 2014</w:t>
      </w:r>
    </w:p>
    <w:p w:rsidR="000E0885" w:rsidRPr="00D00BAF" w:rsidRDefault="000E0885">
      <w:pPr>
        <w:pStyle w:val="Textoindependiente"/>
        <w:tabs>
          <w:tab w:val="clear" w:pos="720"/>
          <w:tab w:val="clear" w:pos="1296"/>
          <w:tab w:val="clear" w:pos="2016"/>
          <w:tab w:val="left" w:pos="-2160"/>
          <w:tab w:val="left" w:pos="-1980"/>
        </w:tabs>
        <w:rPr>
          <w:rFonts w:ascii="Times New Roman" w:hAnsi="Times New Roman"/>
          <w:sz w:val="22"/>
        </w:rPr>
      </w:pPr>
      <w:r w:rsidRPr="00D00BAF">
        <w:rPr>
          <w:rFonts w:ascii="Times New Roman" w:hAnsi="Times New Roman"/>
          <w:sz w:val="22"/>
        </w:rPr>
        <w:t>(Expresados en miles de dólares de los Estados Unidos de América)</w:t>
      </w:r>
    </w:p>
    <w:p w:rsidR="000E0885" w:rsidRPr="00D00BAF"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2107B5" w:rsidRPr="00D00BAF" w:rsidRDefault="002107B5" w:rsidP="002107B5">
      <w:pPr>
        <w:widowControl w:val="0"/>
        <w:tabs>
          <w:tab w:val="left" w:pos="-2160"/>
          <w:tab w:val="left" w:pos="-1980"/>
        </w:tabs>
        <w:jc w:val="both"/>
        <w:rPr>
          <w:bCs/>
          <w:snapToGrid w:val="0"/>
          <w:sz w:val="24"/>
          <w:lang w:val="es-ES_tradnl"/>
        </w:rPr>
      </w:pPr>
      <w:r w:rsidRPr="00D00BAF">
        <w:rPr>
          <w:bCs/>
          <w:snapToGrid w:val="0"/>
          <w:sz w:val="24"/>
          <w:lang w:val="es-ES_tradnl"/>
        </w:rPr>
        <w:t>Las notas que se presentan son un resumen de las notas que contienen los Estados Financieros sobre los que emitió opinión el auditor externo.</w:t>
      </w:r>
    </w:p>
    <w:p w:rsidR="002107B5" w:rsidRPr="00D00BAF" w:rsidRDefault="002107B5" w:rsidP="002107B5">
      <w:pPr>
        <w:widowControl w:val="0"/>
        <w:tabs>
          <w:tab w:val="left" w:pos="-2160"/>
          <w:tab w:val="left" w:pos="-1980"/>
        </w:tabs>
        <w:ind w:left="360"/>
        <w:jc w:val="both"/>
        <w:rPr>
          <w:b/>
          <w:snapToGrid w:val="0"/>
          <w:sz w:val="22"/>
          <w:lang w:val="es-ES_tradnl"/>
        </w:rPr>
      </w:pPr>
    </w:p>
    <w:p w:rsidR="002107B5" w:rsidRPr="00D00BAF" w:rsidRDefault="002107B5" w:rsidP="002107B5">
      <w:pPr>
        <w:widowControl w:val="0"/>
        <w:tabs>
          <w:tab w:val="left" w:pos="-2160"/>
          <w:tab w:val="left" w:pos="-1980"/>
        </w:tabs>
        <w:ind w:left="360"/>
        <w:jc w:val="both"/>
        <w:rPr>
          <w:b/>
          <w:snapToGrid w:val="0"/>
          <w:sz w:val="22"/>
          <w:lang w:val="es-ES_tradnl"/>
        </w:rPr>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OPERACIONES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D00BAF">
        <w:rPr>
          <w:rFonts w:ascii="Times New Roman" w:hAnsi="Times New Roman"/>
          <w:b w:val="0"/>
        </w:rPr>
        <w:t>Organización y Propósito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2"/>
        <w:tabs>
          <w:tab w:val="clear" w:pos="-2160"/>
          <w:tab w:val="clear" w:pos="-1980"/>
        </w:tabs>
      </w:pPr>
      <w:r w:rsidRPr="00D00BAF">
        <w:t>El Banco de Fomento Agropecuario se dedica a la intermediación financiera mediante la captación de depósitos del público y a la colocación de préstamos principalmente a los sectores agropecuarios y la pequeña y mediana empresa; fue creado mediante Decreto Legislativo No. 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D00BAF">
        <w:rPr>
          <w:rFonts w:ascii="Times New Roman" w:hAnsi="Times New Roman"/>
          <w:b w:val="0"/>
        </w:rPr>
        <w:t>Los Estados Financieros están expresados en miles de dólares de los Estados Unidos de América.</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PRINCIPALES POLÍTICAS CONTABLES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2.1</w:t>
      </w:r>
      <w:r w:rsidRPr="00D00BAF">
        <w:rPr>
          <w:rFonts w:ascii="Times New Roman" w:hAnsi="Times New Roman"/>
        </w:rPr>
        <w:tab/>
        <w:t>Normas técnicas y principios de contabilidad</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ind w:left="709"/>
        <w:jc w:val="both"/>
        <w:rPr>
          <w:rFonts w:ascii="Times New Roman" w:hAnsi="Times New Roman"/>
          <w:b w:val="0"/>
        </w:rPr>
      </w:pPr>
      <w:r w:rsidRPr="00D00BAF">
        <w:rPr>
          <w:rFonts w:ascii="Times New Roman" w:hAnsi="Times New Roman"/>
          <w:b w:val="0"/>
        </w:rPr>
        <w:t xml:space="preserve">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w:t>
      </w:r>
      <w:r w:rsidR="000B2BBF" w:rsidRPr="00D00BAF">
        <w:rPr>
          <w:rFonts w:ascii="Times New Roman" w:hAnsi="Times New Roman"/>
          <w:b w:val="0"/>
        </w:rPr>
        <w:t>2</w:t>
      </w:r>
      <w:r w:rsidR="0053612B" w:rsidRPr="00D00BAF">
        <w:rPr>
          <w:rFonts w:ascii="Times New Roman" w:hAnsi="Times New Roman"/>
          <w:b w:val="0"/>
        </w:rPr>
        <w:t>2</w:t>
      </w:r>
      <w:r w:rsidRPr="00D00BAF">
        <w:rPr>
          <w:rFonts w:ascii="Times New Roman" w:hAnsi="Times New Roman"/>
          <w:b w:val="0"/>
        </w:rPr>
        <w:t>).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0E0885" w:rsidRPr="00D00BAF" w:rsidRDefault="000E0885">
      <w:pPr>
        <w:pStyle w:val="Textoindependiente"/>
        <w:tabs>
          <w:tab w:val="clear" w:pos="720"/>
          <w:tab w:val="clear" w:pos="1296"/>
          <w:tab w:val="clear" w:pos="2016"/>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2.2</w:t>
      </w:r>
      <w:r w:rsidRPr="00D00BAF">
        <w:rPr>
          <w:rFonts w:ascii="Times New Roman" w:hAnsi="Times New Roman"/>
        </w:rPr>
        <w:tab/>
        <w:t>Políticas Obligatorias</w:t>
      </w:r>
    </w:p>
    <w:p w:rsidR="000E0885" w:rsidRPr="00D00BAF"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tabs>
          <w:tab w:val="clear" w:pos="720"/>
          <w:tab w:val="clear" w:pos="1296"/>
          <w:tab w:val="clear" w:pos="2016"/>
          <w:tab w:val="left" w:pos="-2160"/>
        </w:tabs>
        <w:ind w:firstLine="709"/>
        <w:jc w:val="both"/>
        <w:rPr>
          <w:rFonts w:ascii="Times New Roman" w:hAnsi="Times New Roman"/>
          <w:b w:val="0"/>
        </w:rPr>
      </w:pPr>
      <w:r w:rsidRPr="00D00BAF">
        <w:rPr>
          <w:rFonts w:ascii="Times New Roman" w:hAnsi="Times New Roman"/>
          <w:b w:val="0"/>
        </w:rPr>
        <w:t>Las políticas contables de obligatorio cumplimiento tratan sobre los temas siguientes:</w:t>
      </w:r>
    </w:p>
    <w:p w:rsidR="000E0885" w:rsidRPr="00D00BAF"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Inversiones Financieras.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Provisión de intereses y suspensión de la provisión.</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lastRenderedPageBreak/>
        <w:t>Activo fijo.</w:t>
      </w:r>
    </w:p>
    <w:p w:rsidR="002F47AF" w:rsidRPr="00D00BAF" w:rsidRDefault="002F47AF" w:rsidP="002F47AF">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 xml:space="preserve">Indemnizaciones y </w:t>
      </w:r>
      <w:r w:rsidR="00851585" w:rsidRPr="00D00BAF">
        <w:rPr>
          <w:rFonts w:ascii="Times New Roman" w:hAnsi="Times New Roman"/>
          <w:b w:val="0"/>
        </w:rPr>
        <w:t>retiro v</w:t>
      </w:r>
      <w:r w:rsidRPr="00D00BAF">
        <w:rPr>
          <w:rFonts w:ascii="Times New Roman" w:hAnsi="Times New Roman"/>
          <w:b w:val="0"/>
        </w:rPr>
        <w:t>oluntario.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Reservas de saneamiento.</w:t>
      </w:r>
    </w:p>
    <w:p w:rsidR="000E0885" w:rsidRPr="00D00BAF" w:rsidRDefault="000E0885">
      <w:pPr>
        <w:pStyle w:val="Textoindependiente"/>
        <w:tabs>
          <w:tab w:val="clear" w:pos="720"/>
          <w:tab w:val="clear" w:pos="1296"/>
          <w:tab w:val="clear" w:pos="2016"/>
          <w:tab w:val="left" w:pos="-2160"/>
          <w:tab w:val="left" w:pos="-1980"/>
        </w:tabs>
        <w:ind w:left="705"/>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Préstamos vencidos.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Inversiones accionarias.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Activos extraordinarios.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Transacciones en moneda extranjera.</w:t>
      </w:r>
    </w:p>
    <w:p w:rsidR="000E0885" w:rsidRPr="00D00BAF" w:rsidRDefault="000E0885">
      <w:pPr>
        <w:pStyle w:val="Prrafodelista"/>
        <w:rPr>
          <w:b/>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Cargos por riesgos generales de la Banca.</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Intereses por pagar.</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Reconocimiento de ingresos y</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Reconocimiento de pérdidas en préstamos y cuentas por cobrar.</w:t>
      </w:r>
    </w:p>
    <w:p w:rsidR="000E0885" w:rsidRPr="00D00BAF" w:rsidRDefault="000E0885">
      <w:pPr>
        <w:jc w:val="both"/>
        <w:rPr>
          <w:sz w:val="24"/>
          <w:lang w:val="es-ES_tradnl"/>
        </w:rPr>
      </w:pPr>
    </w:p>
    <w:p w:rsidR="000E0885" w:rsidRPr="00D00BAF" w:rsidRDefault="000E0885">
      <w:pPr>
        <w:pStyle w:val="Textoindependiente2"/>
        <w:tabs>
          <w:tab w:val="clear" w:pos="-2160"/>
          <w:tab w:val="clear" w:pos="-1980"/>
        </w:tabs>
      </w:pPr>
      <w:r w:rsidRPr="00D00BAF">
        <w:t>Las políticas sobre los temas antes relacionados se publican por la Superintendencia en los boletines y otros medios de divulgación.</w:t>
      </w:r>
    </w:p>
    <w:p w:rsidR="000E0885" w:rsidRPr="00D00BAF" w:rsidRDefault="000E0885">
      <w:pPr>
        <w:pStyle w:val="Textoindependiente2"/>
        <w:tabs>
          <w:tab w:val="clear" w:pos="-2160"/>
          <w:tab w:val="clear" w:pos="-1980"/>
        </w:tabs>
      </w:pPr>
    </w:p>
    <w:p w:rsidR="000E0885" w:rsidRPr="00D00BAF" w:rsidRDefault="000E0885">
      <w:pPr>
        <w:pStyle w:val="Textoindependiente2"/>
        <w:tabs>
          <w:tab w:val="clear" w:pos="-2160"/>
          <w:tab w:val="clear" w:pos="-1980"/>
        </w:tabs>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bookmarkStart w:id="0" w:name="_Hlk45616015"/>
      <w:r w:rsidRPr="00574CE0">
        <w:rPr>
          <w:rFonts w:ascii="Times New Roman" w:hAnsi="Times New Roman"/>
        </w:rPr>
        <w:t>INVERSIONES FINANCIERAS Y SUS PROVISIONES</w:t>
      </w:r>
    </w:p>
    <w:p w:rsidR="002A1B56" w:rsidRPr="00D00BAF" w:rsidRDefault="002A1B56">
      <w:pPr>
        <w:jc w:val="both"/>
        <w:rPr>
          <w:sz w:val="24"/>
        </w:rPr>
      </w:pPr>
    </w:p>
    <w:bookmarkStart w:id="1" w:name="_MON_1120552258"/>
    <w:bookmarkStart w:id="2" w:name="_MON_1120552335"/>
    <w:bookmarkStart w:id="3" w:name="_MON_1128253341"/>
    <w:bookmarkStart w:id="4" w:name="_MON_1128257286"/>
    <w:bookmarkStart w:id="5" w:name="_MON_1128257351"/>
    <w:bookmarkStart w:id="6" w:name="_MON_1128257596"/>
    <w:bookmarkStart w:id="7" w:name="_MON_1144052663"/>
    <w:bookmarkStart w:id="8" w:name="_MON_1151584559"/>
    <w:bookmarkStart w:id="9" w:name="_MON_1159345246"/>
    <w:bookmarkStart w:id="10" w:name="_MON_1159360593"/>
    <w:bookmarkStart w:id="11" w:name="_MON_1285759814"/>
    <w:bookmarkStart w:id="12" w:name="_MON_1332825391"/>
    <w:bookmarkStart w:id="13" w:name="_MON_1364017902"/>
    <w:bookmarkStart w:id="14" w:name="_MON_1395836475"/>
    <w:bookmarkStart w:id="15" w:name="_MON_1452502157"/>
    <w:bookmarkStart w:id="16" w:name="_MON_1458545709"/>
    <w:bookmarkStart w:id="17" w:name="_MON_1119889068"/>
    <w:bookmarkStart w:id="18" w:name="_MON_1119889408"/>
    <w:bookmarkStart w:id="19" w:name="_MON_1119889455"/>
    <w:bookmarkStart w:id="20" w:name="_MON_1119948593"/>
    <w:bookmarkStart w:id="21" w:name="_MON_1119948842"/>
    <w:bookmarkStart w:id="22" w:name="_MON_1119948903"/>
    <w:bookmarkStart w:id="23" w:name="_MON_1119948954"/>
    <w:bookmarkStart w:id="24" w:name="_MON_11200275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MON_1120552170"/>
    <w:bookmarkEnd w:id="25"/>
    <w:p w:rsidR="000E0885" w:rsidRPr="00D00BAF" w:rsidRDefault="00C86B78">
      <w:pPr>
        <w:jc w:val="both"/>
        <w:rPr>
          <w:sz w:val="24"/>
        </w:rPr>
      </w:pPr>
      <w:r w:rsidRPr="00D00BAF">
        <w:rPr>
          <w:sz w:val="24"/>
        </w:rPr>
        <w:object w:dxaOrig="6203" w:dyaOrig="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1pt;height:36.35pt" o:ole="" fillcolor="window">
            <v:imagedata r:id="rId9" o:title=""/>
          </v:shape>
          <o:OLEObject Type="Embed" ProgID="Excel.Sheet.8" ShapeID="_x0000_i1025" DrawAspect="Content" ObjectID="_1518274665" r:id="rId10"/>
        </w:object>
      </w:r>
    </w:p>
    <w:p w:rsidR="000E0885" w:rsidRPr="00D00BAF" w:rsidRDefault="000E0885">
      <w:pPr>
        <w:jc w:val="both"/>
        <w:rPr>
          <w:sz w:val="22"/>
        </w:rPr>
      </w:pPr>
    </w:p>
    <w:p w:rsidR="00C86B78" w:rsidRPr="00D00BAF" w:rsidRDefault="00C86B78" w:rsidP="00C86B78">
      <w:pPr>
        <w:jc w:val="both"/>
        <w:rPr>
          <w:sz w:val="24"/>
          <w:szCs w:val="24"/>
        </w:rPr>
      </w:pPr>
      <w:bookmarkStart w:id="26" w:name="OLE_LINK3"/>
      <w:bookmarkEnd w:id="0"/>
      <w:r w:rsidRPr="00D00BAF">
        <w:rPr>
          <w:sz w:val="24"/>
          <w:szCs w:val="24"/>
        </w:rPr>
        <w:t xml:space="preserve">Al 31 de diciembre de 2015, </w:t>
      </w:r>
      <w:r w:rsidR="0013198E">
        <w:rPr>
          <w:sz w:val="24"/>
          <w:szCs w:val="24"/>
        </w:rPr>
        <w:t xml:space="preserve">el Banco </w:t>
      </w:r>
      <w:r w:rsidRPr="00D00BAF">
        <w:rPr>
          <w:sz w:val="24"/>
          <w:szCs w:val="24"/>
        </w:rPr>
        <w:t>no ha dado inversiones en garantía y al 31 de diciembre de 2014, eran $2,011.4.</w:t>
      </w:r>
    </w:p>
    <w:p w:rsidR="00C86B78" w:rsidRPr="00D00BAF" w:rsidRDefault="00C86B78" w:rsidP="00C86B78">
      <w:pPr>
        <w:jc w:val="both"/>
        <w:rPr>
          <w:sz w:val="24"/>
        </w:rPr>
      </w:pPr>
    </w:p>
    <w:p w:rsidR="00C86B78" w:rsidRPr="00D00BAF" w:rsidRDefault="00C86B78" w:rsidP="00C86B78">
      <w:pPr>
        <w:jc w:val="both"/>
        <w:rPr>
          <w:sz w:val="24"/>
        </w:rPr>
      </w:pPr>
      <w:r w:rsidRPr="00D00BAF">
        <w:rPr>
          <w:sz w:val="24"/>
        </w:rPr>
        <w:t>No se ha creado provisión por posibles pérdidas para ambos períodos, por no existir riesgo en la clase de títulos que se tiene.</w:t>
      </w:r>
    </w:p>
    <w:p w:rsidR="00C86B78" w:rsidRPr="00D00BAF" w:rsidRDefault="00C86B78" w:rsidP="00C86B78">
      <w:pPr>
        <w:jc w:val="both"/>
        <w:rPr>
          <w:sz w:val="24"/>
        </w:rPr>
      </w:pPr>
    </w:p>
    <w:p w:rsidR="00C86B78" w:rsidRPr="00D00BAF" w:rsidRDefault="00C86B78" w:rsidP="00C86B78">
      <w:pPr>
        <w:keepNext/>
        <w:jc w:val="both"/>
        <w:outlineLvl w:val="3"/>
        <w:rPr>
          <w:b/>
          <w:sz w:val="24"/>
          <w:szCs w:val="24"/>
        </w:rPr>
      </w:pPr>
      <w:r w:rsidRPr="00D00BAF">
        <w:rPr>
          <w:sz w:val="24"/>
          <w:szCs w:val="24"/>
        </w:rPr>
        <w:t>La tasa de rendimiento promedio del período fue de 4.0% y 2.3%, para el año 2015 y 2014, respectivamente</w:t>
      </w:r>
      <w:r w:rsidRPr="00D00BAF">
        <w:rPr>
          <w:b/>
          <w:sz w:val="24"/>
          <w:szCs w:val="24"/>
        </w:rPr>
        <w:t>.</w:t>
      </w:r>
    </w:p>
    <w:p w:rsidR="00C86B78" w:rsidRPr="00D00BAF" w:rsidRDefault="00C86B78" w:rsidP="00C86B78">
      <w:pPr>
        <w:jc w:val="both"/>
        <w:rPr>
          <w:sz w:val="24"/>
        </w:rPr>
      </w:pPr>
    </w:p>
    <w:p w:rsidR="00C86B78" w:rsidRPr="00D00BAF" w:rsidRDefault="00C86B78" w:rsidP="00C86B78">
      <w:pPr>
        <w:tabs>
          <w:tab w:val="left" w:pos="-2160"/>
          <w:tab w:val="left" w:pos="-1980"/>
          <w:tab w:val="left" w:pos="709"/>
        </w:tabs>
        <w:jc w:val="both"/>
        <w:rPr>
          <w:sz w:val="24"/>
        </w:rPr>
      </w:pPr>
      <w:r w:rsidRPr="00D00BAF">
        <w:rPr>
          <w:sz w:val="24"/>
        </w:rPr>
        <w:t>La tasa de rendimiento promedio es el porcentaje que resulta de dividir los ingresos (incluyendo intereses y comisiones) de la cartera de inversiones entre el saldo promedio de la cartera bruta de inversiones por el período reportado</w:t>
      </w:r>
    </w:p>
    <w:p w:rsidR="00C86B78" w:rsidRPr="00D00BAF" w:rsidRDefault="00C86B78" w:rsidP="00C86B78">
      <w:pPr>
        <w:tabs>
          <w:tab w:val="left" w:pos="-2160"/>
          <w:tab w:val="left" w:pos="-1980"/>
          <w:tab w:val="left" w:pos="709"/>
        </w:tabs>
        <w:jc w:val="both"/>
        <w:rPr>
          <w:sz w:val="24"/>
        </w:rPr>
      </w:pPr>
    </w:p>
    <w:p w:rsidR="00C86B78" w:rsidRPr="00D00BAF" w:rsidRDefault="00C86B78" w:rsidP="00C86B78">
      <w:pPr>
        <w:tabs>
          <w:tab w:val="left" w:pos="-2160"/>
          <w:tab w:val="left" w:pos="-1980"/>
          <w:tab w:val="left" w:pos="709"/>
        </w:tabs>
        <w:jc w:val="both"/>
        <w:rPr>
          <w:sz w:val="24"/>
        </w:rPr>
      </w:pPr>
      <w:r w:rsidRPr="00D00BAF">
        <w:rPr>
          <w:sz w:val="24"/>
        </w:rPr>
        <w:lastRenderedPageBreak/>
        <w:t>La disminución en la inversión de títulos valores  se debe a la cancelación en el 2015, de los Bonos de la Reforma Agraria emitidos por el Instituto Salvadoreño de Transformación Agraria.</w:t>
      </w:r>
    </w:p>
    <w:p w:rsidR="006650FF" w:rsidRDefault="006650FF" w:rsidP="00C86B78">
      <w:pPr>
        <w:tabs>
          <w:tab w:val="left" w:pos="-2160"/>
          <w:tab w:val="left" w:pos="-1980"/>
          <w:tab w:val="left" w:pos="709"/>
        </w:tabs>
        <w:jc w:val="both"/>
        <w:rPr>
          <w:sz w:val="24"/>
        </w:rPr>
      </w:pPr>
    </w:p>
    <w:p w:rsidR="001B1ED1" w:rsidRPr="00D00BAF" w:rsidRDefault="001B1ED1" w:rsidP="00C86B78">
      <w:pPr>
        <w:tabs>
          <w:tab w:val="left" w:pos="-2160"/>
          <w:tab w:val="left" w:pos="-1980"/>
          <w:tab w:val="left" w:pos="709"/>
        </w:tabs>
        <w:jc w:val="both"/>
        <w:rPr>
          <w:sz w:val="24"/>
        </w:rPr>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574CE0">
        <w:rPr>
          <w:rFonts w:ascii="Times New Roman" w:hAnsi="Times New Roman"/>
        </w:rPr>
        <w:t>PRÉSTAMOS Y CONTINGENCIAS Y SUS PROVISIONES</w:t>
      </w:r>
    </w:p>
    <w:p w:rsidR="00E773CA" w:rsidRPr="00D00BAF" w:rsidRDefault="00E773CA" w:rsidP="00E773CA">
      <w:pPr>
        <w:jc w:val="both"/>
      </w:pPr>
      <w:bookmarkStart w:id="27" w:name="OLE_LINK48"/>
      <w:bookmarkStart w:id="28" w:name="OLE_LINK7"/>
      <w:bookmarkEnd w:id="26"/>
    </w:p>
    <w:bookmarkStart w:id="29" w:name="_MON_1144052900"/>
    <w:bookmarkStart w:id="30" w:name="_MON_1144053301"/>
    <w:bookmarkStart w:id="31" w:name="_MON_1144216828"/>
    <w:bookmarkStart w:id="32" w:name="_MON_1151759588"/>
    <w:bookmarkStart w:id="33" w:name="_MON_1151823374"/>
    <w:bookmarkStart w:id="34" w:name="_MON_1151939912"/>
    <w:bookmarkStart w:id="35" w:name="_MON_1152028728"/>
    <w:bookmarkStart w:id="36" w:name="_MON_1152030335"/>
    <w:bookmarkStart w:id="37" w:name="_MON_1159346153"/>
    <w:bookmarkStart w:id="38" w:name="_MON_1159690949"/>
    <w:bookmarkStart w:id="39" w:name="_MON_1159693242"/>
    <w:bookmarkStart w:id="40" w:name="_MON_1159693352"/>
    <w:bookmarkStart w:id="41" w:name="_MON_1176024378"/>
    <w:bookmarkStart w:id="42" w:name="_MON_1214401423"/>
    <w:bookmarkStart w:id="43" w:name="_MON_1276938249"/>
    <w:bookmarkStart w:id="44" w:name="_MON_1284283738"/>
    <w:bookmarkStart w:id="45" w:name="_MON_1284790739"/>
    <w:bookmarkStart w:id="46" w:name="_MON_1284891660"/>
    <w:bookmarkStart w:id="47" w:name="_MON_1284891863"/>
    <w:bookmarkStart w:id="48" w:name="_MON_1284969091"/>
    <w:bookmarkStart w:id="49" w:name="_MON_1299500904"/>
    <w:bookmarkStart w:id="50" w:name="_MON_1300525737"/>
    <w:bookmarkStart w:id="51" w:name="_MON_1301137390"/>
    <w:bookmarkStart w:id="52" w:name="_MON_1301203185"/>
    <w:bookmarkStart w:id="53" w:name="_MON_1308413712"/>
    <w:bookmarkStart w:id="54" w:name="_MON_1309966947"/>
    <w:bookmarkStart w:id="55" w:name="_MON_1316440584"/>
    <w:bookmarkStart w:id="56" w:name="_MON_1317305350"/>
    <w:bookmarkStart w:id="57" w:name="_MON_1324714164"/>
    <w:bookmarkStart w:id="58" w:name="_MON_1325336548"/>
    <w:bookmarkStart w:id="59" w:name="_MON_1329545144"/>
    <w:bookmarkStart w:id="60" w:name="_MON_1332159915"/>
    <w:bookmarkStart w:id="61" w:name="_MON_1332573490"/>
    <w:bookmarkStart w:id="62" w:name="_MON_1332573504"/>
    <w:bookmarkStart w:id="63" w:name="_MON_1338010368"/>
    <w:bookmarkStart w:id="64" w:name="_MON_1338012686"/>
    <w:bookmarkStart w:id="65" w:name="_MON_1339827516"/>
    <w:bookmarkStart w:id="66" w:name="_MON_1340550625"/>
    <w:bookmarkStart w:id="67" w:name="_MON_1340616973"/>
    <w:bookmarkStart w:id="68" w:name="_MON_1340617350"/>
    <w:bookmarkStart w:id="69" w:name="_MON_1345899085"/>
    <w:bookmarkStart w:id="70" w:name="_MON_1347878672"/>
    <w:bookmarkStart w:id="71" w:name="_MON_1347951568"/>
    <w:bookmarkStart w:id="72" w:name="_MON_1356163208"/>
    <w:bookmarkStart w:id="73" w:name="_MON_1356509147"/>
    <w:bookmarkStart w:id="74" w:name="_MON_1356766062"/>
    <w:bookmarkStart w:id="75" w:name="_MON_1361007392"/>
    <w:bookmarkStart w:id="76" w:name="_MON_1361007567"/>
    <w:bookmarkStart w:id="77" w:name="_MON_1363682390"/>
    <w:bookmarkStart w:id="78" w:name="_MON_1371387133"/>
    <w:bookmarkStart w:id="79" w:name="_MON_1371465967"/>
    <w:bookmarkStart w:id="80" w:name="_MON_1376902542"/>
    <w:bookmarkStart w:id="81" w:name="_MON_1379408347"/>
    <w:bookmarkStart w:id="82" w:name="_MON_1410865748"/>
    <w:bookmarkStart w:id="83" w:name="_MON_1410865771"/>
    <w:bookmarkStart w:id="84" w:name="_MON_1410866044"/>
    <w:bookmarkStart w:id="85" w:name="_MON_1410951850"/>
    <w:bookmarkStart w:id="86" w:name="_MON_1419249762"/>
    <w:bookmarkStart w:id="87" w:name="_MON_1419677066"/>
    <w:bookmarkStart w:id="88" w:name="_MON_1419750473"/>
    <w:bookmarkStart w:id="89" w:name="_MON_1419849575"/>
    <w:bookmarkStart w:id="90" w:name="_MON_1424523162"/>
    <w:bookmarkStart w:id="91" w:name="_MON_1424583796"/>
    <w:bookmarkStart w:id="92" w:name="_MON_1426676229"/>
    <w:bookmarkStart w:id="93" w:name="_MON_1432385335"/>
    <w:bookmarkStart w:id="94" w:name="_MON_1434788893"/>
    <w:bookmarkStart w:id="95" w:name="_MON_1440829131"/>
    <w:bookmarkStart w:id="96" w:name="_MON_1440830339"/>
    <w:bookmarkStart w:id="97" w:name="_MON_1441104449"/>
    <w:bookmarkStart w:id="98" w:name="_MON_1442649422"/>
    <w:bookmarkStart w:id="99" w:name="_MON_1442822649"/>
    <w:bookmarkStart w:id="100" w:name="_MON_1450526030"/>
    <w:bookmarkStart w:id="101" w:name="_MON_1451285581"/>
    <w:bookmarkStart w:id="102" w:name="_MON_1454763214"/>
    <w:bookmarkStart w:id="103" w:name="_MON_1454844736"/>
    <w:bookmarkStart w:id="104" w:name="_MON_1458390276"/>
    <w:bookmarkStart w:id="105" w:name="_MON_1458465834"/>
    <w:bookmarkStart w:id="106" w:name="_MON_1459773372"/>
    <w:bookmarkStart w:id="107" w:name="_MON_1459773611"/>
    <w:bookmarkStart w:id="108" w:name="_MON_1459773740"/>
    <w:bookmarkStart w:id="109" w:name="_MON_1459773777"/>
    <w:bookmarkStart w:id="110" w:name="_MON_1459773994"/>
    <w:bookmarkStart w:id="111" w:name="_MON_1459774036"/>
    <w:bookmarkStart w:id="112" w:name="_MON_1459774184"/>
    <w:bookmarkStart w:id="113" w:name="_MON_1459774355"/>
    <w:bookmarkStart w:id="114" w:name="_MON_1459774395"/>
    <w:bookmarkStart w:id="115" w:name="_MON_1459774446"/>
    <w:bookmarkStart w:id="116" w:name="_MON_1459774484"/>
    <w:bookmarkStart w:id="117" w:name="_MON_1459774851"/>
    <w:bookmarkStart w:id="118" w:name="_MON_1459774967"/>
    <w:bookmarkStart w:id="119" w:name="_MON_1464604757"/>
    <w:bookmarkStart w:id="120" w:name="_MON_1466319324"/>
    <w:bookmarkStart w:id="121" w:name="_MON_1466336330"/>
    <w:bookmarkStart w:id="122" w:name="_MON_1471675806"/>
    <w:bookmarkStart w:id="123" w:name="_MON_1080462059"/>
    <w:bookmarkStart w:id="124" w:name="_MON_1080462114"/>
    <w:bookmarkStart w:id="125" w:name="_MON_1080462565"/>
    <w:bookmarkStart w:id="126" w:name="_MON_1080462643"/>
    <w:bookmarkStart w:id="127" w:name="_MON_1080562720"/>
    <w:bookmarkStart w:id="128" w:name="_MON_1080571451"/>
    <w:bookmarkStart w:id="129" w:name="_MON_1080571580"/>
    <w:bookmarkStart w:id="130" w:name="_MON_1080635464"/>
    <w:bookmarkStart w:id="131" w:name="_MON_1087991350"/>
    <w:bookmarkStart w:id="132" w:name="_MON_1087992339"/>
    <w:bookmarkStart w:id="133" w:name="_MON_1088342603"/>
    <w:bookmarkStart w:id="134" w:name="_MON_1088342624"/>
    <w:bookmarkStart w:id="135" w:name="_MON_1094900411"/>
    <w:bookmarkStart w:id="136" w:name="_MON_1095750070"/>
    <w:bookmarkStart w:id="137" w:name="_MON_1095754732"/>
    <w:bookmarkStart w:id="138" w:name="_MON_1095934134"/>
    <w:bookmarkStart w:id="139" w:name="_MON_1095934232"/>
    <w:bookmarkStart w:id="140" w:name="_MON_1095934469"/>
    <w:bookmarkStart w:id="141" w:name="_MON_1095934929"/>
    <w:bookmarkStart w:id="142" w:name="_MON_1095934960"/>
    <w:bookmarkStart w:id="143" w:name="_MON_1095935006"/>
    <w:bookmarkStart w:id="144" w:name="_MON_1095935261"/>
    <w:bookmarkStart w:id="145" w:name="_MON_1095935307"/>
    <w:bookmarkStart w:id="146" w:name="_MON_1095935635"/>
    <w:bookmarkStart w:id="147" w:name="_MON_1095936208"/>
    <w:bookmarkStart w:id="148" w:name="_MON_1096120105"/>
    <w:bookmarkStart w:id="149" w:name="_MON_1097305837"/>
    <w:bookmarkStart w:id="150" w:name="_MON_1105528367"/>
    <w:bookmarkStart w:id="151" w:name="_MON_1105528427"/>
    <w:bookmarkStart w:id="152" w:name="_MON_1110958382"/>
    <w:bookmarkStart w:id="153" w:name="_MON_1111822787"/>
    <w:bookmarkStart w:id="154" w:name="_MON_1111823140"/>
    <w:bookmarkStart w:id="155" w:name="_MON_1111852162"/>
    <w:bookmarkStart w:id="156" w:name="_MON_1111852198"/>
    <w:bookmarkStart w:id="157" w:name="_MON_1111921662"/>
    <w:bookmarkStart w:id="158" w:name="_MON_1119461899"/>
    <w:bookmarkStart w:id="159" w:name="_MON_1119464107"/>
    <w:bookmarkStart w:id="160" w:name="_MON_1119711777"/>
    <w:bookmarkStart w:id="161" w:name="_MON_1119872020"/>
    <w:bookmarkStart w:id="162" w:name="_MON_1119883135"/>
    <w:bookmarkStart w:id="163" w:name="_MON_1119883162"/>
    <w:bookmarkStart w:id="164" w:name="_MON_1119883177"/>
    <w:bookmarkStart w:id="165" w:name="_MON_1119883227"/>
    <w:bookmarkStart w:id="166" w:name="_MON_1119889477"/>
    <w:bookmarkStart w:id="167" w:name="_MON_1119948814"/>
    <w:bookmarkStart w:id="168" w:name="_MON_1119948876"/>
    <w:bookmarkStart w:id="169" w:name="_MON_1119948926"/>
    <w:bookmarkStart w:id="170" w:name="_MON_1120027805"/>
    <w:bookmarkStart w:id="171" w:name="_MON_1120034179"/>
    <w:bookmarkStart w:id="172" w:name="_MON_1127898715"/>
    <w:bookmarkStart w:id="173" w:name="_MON_1127898806"/>
    <w:bookmarkStart w:id="174" w:name="_MON_1127898885"/>
    <w:bookmarkStart w:id="175" w:name="_MON_1127911683"/>
    <w:bookmarkStart w:id="176" w:name="_MON_1128253030"/>
    <w:bookmarkStart w:id="177" w:name="_MON_1128257225"/>
    <w:bookmarkStart w:id="178" w:name="_MON_1137927942"/>
    <w:bookmarkStart w:id="179" w:name="OLE_LINK2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Start w:id="180" w:name="_MON_1143360232"/>
    <w:bookmarkEnd w:id="180"/>
    <w:p w:rsidR="00E773CA" w:rsidRPr="00D00BAF" w:rsidRDefault="00686348" w:rsidP="00E773CA">
      <w:r w:rsidRPr="00D00BAF">
        <w:object w:dxaOrig="6252" w:dyaOrig="1633">
          <v:shape id="_x0000_i1026" type="#_x0000_t75" style="width:424.15pt;height:111.2pt" o:ole="" fillcolor="window">
            <v:imagedata r:id="rId11" o:title=""/>
          </v:shape>
          <o:OLEObject Type="Embed" ProgID="Excel.Sheet.8" ShapeID="_x0000_i1026" DrawAspect="Content" ObjectID="_1518274666" r:id="rId12"/>
        </w:object>
      </w:r>
      <w:bookmarkEnd w:id="179"/>
    </w:p>
    <w:p w:rsidR="00E773CA" w:rsidRPr="00D00BAF" w:rsidRDefault="00E773CA" w:rsidP="00E773CA">
      <w:pPr>
        <w:tabs>
          <w:tab w:val="left" w:pos="-2160"/>
          <w:tab w:val="left" w:pos="-1980"/>
          <w:tab w:val="left" w:pos="708"/>
        </w:tabs>
        <w:jc w:val="both"/>
      </w:pPr>
    </w:p>
    <w:p w:rsidR="00E773CA" w:rsidRPr="00D00BAF" w:rsidRDefault="00E773CA" w:rsidP="00E773CA">
      <w:pPr>
        <w:tabs>
          <w:tab w:val="left" w:pos="-2160"/>
          <w:tab w:val="left" w:pos="-1980"/>
          <w:tab w:val="left" w:pos="708"/>
        </w:tabs>
        <w:jc w:val="both"/>
      </w:pPr>
    </w:p>
    <w:p w:rsidR="00E773CA" w:rsidRPr="00D00BAF" w:rsidRDefault="00E773CA" w:rsidP="00E773CA">
      <w:pPr>
        <w:tabs>
          <w:tab w:val="left" w:pos="-2160"/>
          <w:tab w:val="left" w:pos="-1980"/>
          <w:tab w:val="left" w:pos="708"/>
        </w:tabs>
        <w:jc w:val="both"/>
        <w:rPr>
          <w:sz w:val="24"/>
        </w:rPr>
      </w:pPr>
      <w:r w:rsidRPr="00D00BAF">
        <w:rPr>
          <w:sz w:val="24"/>
        </w:rPr>
        <w:t>El movimiento de las provisiones en el período reportado es:</w:t>
      </w:r>
    </w:p>
    <w:p w:rsidR="00E773CA" w:rsidRPr="00D00BAF" w:rsidRDefault="00E773CA" w:rsidP="00E773CA">
      <w:pPr>
        <w:tabs>
          <w:tab w:val="left" w:pos="-2160"/>
          <w:tab w:val="left" w:pos="-1980"/>
          <w:tab w:val="left" w:pos="708"/>
        </w:tabs>
        <w:jc w:val="both"/>
      </w:pPr>
    </w:p>
    <w:p w:rsidR="00E773CA" w:rsidRPr="00D00BAF" w:rsidRDefault="00E773CA" w:rsidP="00E773CA">
      <w:pPr>
        <w:tabs>
          <w:tab w:val="left" w:pos="-2160"/>
          <w:tab w:val="left" w:pos="-1980"/>
          <w:tab w:val="left" w:pos="708"/>
        </w:tabs>
        <w:jc w:val="both"/>
      </w:pPr>
    </w:p>
    <w:bookmarkStart w:id="181" w:name="_MON_1361007579"/>
    <w:bookmarkStart w:id="182" w:name="_MON_1363682598"/>
    <w:bookmarkStart w:id="183" w:name="_MON_1371386447"/>
    <w:bookmarkStart w:id="184" w:name="_MON_1371387180"/>
    <w:bookmarkStart w:id="185" w:name="_MON_1371466060"/>
    <w:bookmarkStart w:id="186" w:name="_MON_1371557126"/>
    <w:bookmarkStart w:id="187" w:name="_MON_1376902603"/>
    <w:bookmarkStart w:id="188" w:name="_MON_1379408397"/>
    <w:bookmarkStart w:id="189" w:name="_MON_1379413390"/>
    <w:bookmarkStart w:id="190" w:name="_MON_1380437581"/>
    <w:bookmarkStart w:id="191" w:name="_MON_1381048163"/>
    <w:bookmarkStart w:id="192" w:name="_MON_1387356042"/>
    <w:bookmarkStart w:id="193" w:name="_MON_1387708746"/>
    <w:bookmarkStart w:id="194" w:name="_MON_1387708779"/>
    <w:bookmarkStart w:id="195" w:name="_MON_1393143697"/>
    <w:bookmarkStart w:id="196" w:name="_MON_1393308926"/>
    <w:bookmarkStart w:id="197" w:name="_MON_1395473398"/>
    <w:bookmarkStart w:id="198" w:name="_MON_1395483449"/>
    <w:bookmarkStart w:id="199" w:name="_MON_1395818064"/>
    <w:bookmarkStart w:id="200" w:name="_MON_1396441295"/>
    <w:bookmarkStart w:id="201" w:name="_MON_1396441324"/>
    <w:bookmarkStart w:id="202" w:name="_MON_1401520836"/>
    <w:bookmarkStart w:id="203" w:name="_MON_1403004991"/>
    <w:bookmarkStart w:id="204" w:name="_MON_1403076192"/>
    <w:bookmarkStart w:id="205" w:name="_MON_1408785923"/>
    <w:bookmarkStart w:id="206" w:name="_MON_1410865636"/>
    <w:bookmarkStart w:id="207" w:name="_MON_1410951892"/>
    <w:bookmarkStart w:id="208" w:name="_MON_1419250019"/>
    <w:bookmarkStart w:id="209" w:name="_MON_1419677442"/>
    <w:bookmarkStart w:id="210" w:name="_MON_1419849600"/>
    <w:bookmarkStart w:id="211" w:name="_MON_1424523190"/>
    <w:bookmarkStart w:id="212" w:name="_MON_1424583860"/>
    <w:bookmarkStart w:id="213" w:name="_MON_1426676304"/>
    <w:bookmarkStart w:id="214" w:name="_MON_1432385431"/>
    <w:bookmarkStart w:id="215" w:name="_MON_1434788941"/>
    <w:bookmarkStart w:id="216" w:name="_MON_1440829142"/>
    <w:bookmarkStart w:id="217" w:name="_MON_1442649495"/>
    <w:bookmarkStart w:id="218" w:name="_MON_1443356246"/>
    <w:bookmarkStart w:id="219" w:name="_MON_1450525713"/>
    <w:bookmarkStart w:id="220" w:name="_MON_1451285667"/>
    <w:bookmarkStart w:id="221" w:name="_MON_1451456553"/>
    <w:bookmarkStart w:id="222" w:name="_MON_1454763235"/>
    <w:bookmarkStart w:id="223" w:name="_MON_1454844789"/>
    <w:bookmarkStart w:id="224" w:name="_MON_1458390347"/>
    <w:bookmarkStart w:id="225" w:name="_MON_1458465883"/>
    <w:bookmarkStart w:id="226" w:name="_MON_1464604827"/>
    <w:bookmarkStart w:id="227" w:name="_MON_1466319466"/>
    <w:bookmarkStart w:id="228" w:name="_MON_1466320952"/>
    <w:bookmarkStart w:id="229" w:name="_MON_1471675944"/>
    <w:bookmarkStart w:id="230" w:name="_MON_1111822761"/>
    <w:bookmarkStart w:id="231" w:name="_MON_1111823501"/>
    <w:bookmarkStart w:id="232" w:name="_MON_1111852236"/>
    <w:bookmarkStart w:id="233" w:name="_MON_1111852281"/>
    <w:bookmarkStart w:id="234" w:name="_MON_1111852322"/>
    <w:bookmarkStart w:id="235" w:name="_MON_1111852333"/>
    <w:bookmarkStart w:id="236" w:name="_MON_1111852609"/>
    <w:bookmarkStart w:id="237" w:name="_MON_1111852662"/>
    <w:bookmarkStart w:id="238" w:name="_MON_1111852796"/>
    <w:bookmarkStart w:id="239" w:name="_MON_1111852824"/>
    <w:bookmarkStart w:id="240" w:name="_MON_1111921769"/>
    <w:bookmarkStart w:id="241" w:name="_MON_1112461581"/>
    <w:bookmarkStart w:id="242" w:name="_MON_1112506897"/>
    <w:bookmarkStart w:id="243" w:name="_MON_1112595736"/>
    <w:bookmarkStart w:id="244" w:name="_MON_1119522234"/>
    <w:bookmarkStart w:id="245" w:name="_MON_1119522299"/>
    <w:bookmarkStart w:id="246" w:name="_MON_1119522355"/>
    <w:bookmarkStart w:id="247" w:name="_MON_1119525466"/>
    <w:bookmarkStart w:id="248" w:name="_MON_1119525549"/>
    <w:bookmarkStart w:id="249" w:name="_MON_1127055067"/>
    <w:bookmarkStart w:id="250" w:name="_MON_1135417081"/>
    <w:bookmarkStart w:id="251" w:name="_MON_1136885808"/>
    <w:bookmarkStart w:id="252" w:name="_MON_1143357743"/>
    <w:bookmarkStart w:id="253" w:name="_MON_1144659924"/>
    <w:bookmarkStart w:id="254" w:name="_MON_1144660053"/>
    <w:bookmarkStart w:id="255" w:name="_MON_1144660239"/>
    <w:bookmarkStart w:id="256" w:name="_MON_1144660429"/>
    <w:bookmarkStart w:id="257" w:name="_MON_1144660757"/>
    <w:bookmarkStart w:id="258" w:name="_MON_1144660872"/>
    <w:bookmarkStart w:id="259" w:name="_MON_1151498267"/>
    <w:bookmarkStart w:id="260" w:name="_MON_1151575438"/>
    <w:bookmarkStart w:id="261" w:name="_MON_1151820775"/>
    <w:bookmarkStart w:id="262" w:name="_MON_1159169519"/>
    <w:bookmarkStart w:id="263" w:name="_MON_1213711937"/>
    <w:bookmarkStart w:id="264" w:name="_MON_1232439640"/>
    <w:bookmarkStart w:id="265" w:name="_MON_1276931671"/>
    <w:bookmarkStart w:id="266" w:name="_MON_1283929676"/>
    <w:bookmarkStart w:id="267" w:name="_MON_1284790397"/>
    <w:bookmarkStart w:id="268" w:name="_MON_1299501101"/>
    <w:bookmarkStart w:id="269" w:name="_MON_1300525821"/>
    <w:bookmarkStart w:id="270" w:name="_MON_1301203226"/>
    <w:bookmarkStart w:id="271" w:name="_MON_1308472196"/>
    <w:bookmarkStart w:id="272" w:name="_MON_1363680437"/>
    <w:bookmarkStart w:id="273" w:name="_MON_1316440653"/>
    <w:bookmarkStart w:id="274" w:name="_MON_1316524692"/>
    <w:bookmarkStart w:id="275" w:name="_MON_1317305447"/>
    <w:bookmarkStart w:id="276" w:name="_MON_1324714296"/>
    <w:bookmarkStart w:id="277" w:name="_MON_1329545240"/>
    <w:bookmarkStart w:id="278" w:name="_MON_1329545400"/>
    <w:bookmarkStart w:id="279" w:name="_MON_1332159961"/>
    <w:bookmarkStart w:id="280" w:name="_MON_1338010567"/>
    <w:bookmarkStart w:id="281" w:name="_MON_1339827565"/>
    <w:bookmarkStart w:id="282" w:name="_MON_1340550894"/>
    <w:bookmarkStart w:id="283" w:name="_MON_1340550957"/>
    <w:bookmarkStart w:id="284" w:name="_MON_1345899146"/>
    <w:bookmarkStart w:id="285" w:name="_MON_1347878885"/>
    <w:bookmarkStart w:id="286" w:name="_MON_1356163310"/>
    <w:bookmarkStart w:id="287" w:name="_MON_135650923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MON_1361007482"/>
    <w:bookmarkEnd w:id="288"/>
    <w:p w:rsidR="00E773CA" w:rsidRPr="00D00BAF" w:rsidRDefault="00D15197" w:rsidP="00E773CA">
      <w:pPr>
        <w:tabs>
          <w:tab w:val="left" w:pos="-2160"/>
          <w:tab w:val="left" w:pos="-1980"/>
          <w:tab w:val="left" w:pos="708"/>
        </w:tabs>
        <w:jc w:val="both"/>
      </w:pPr>
      <w:r w:rsidRPr="008B4E41">
        <w:object w:dxaOrig="7291" w:dyaOrig="1503">
          <v:shape id="_x0000_i1027" type="#_x0000_t75" style="width:436.3pt;height:92.65pt" o:ole="" fillcolor="window">
            <v:imagedata r:id="rId13" o:title=""/>
          </v:shape>
          <o:OLEObject Type="Embed" ProgID="Excel.Sheet.8" ShapeID="_x0000_i1027" DrawAspect="Content" ObjectID="_1518274667" r:id="rId14"/>
        </w:object>
      </w:r>
    </w:p>
    <w:p w:rsidR="00E773CA" w:rsidRPr="00D00BAF" w:rsidRDefault="00E773CA" w:rsidP="00E773CA">
      <w:pPr>
        <w:tabs>
          <w:tab w:val="left" w:pos="-2160"/>
          <w:tab w:val="left" w:pos="-1980"/>
          <w:tab w:val="left" w:pos="708"/>
        </w:tabs>
        <w:jc w:val="both"/>
      </w:pPr>
    </w:p>
    <w:p w:rsidR="00E773CA" w:rsidRPr="00D00BAF" w:rsidRDefault="00E773CA" w:rsidP="00E773CA">
      <w:pPr>
        <w:tabs>
          <w:tab w:val="left" w:pos="-2160"/>
          <w:tab w:val="left" w:pos="-1980"/>
          <w:tab w:val="left" w:pos="708"/>
        </w:tabs>
        <w:jc w:val="both"/>
      </w:pPr>
    </w:p>
    <w:bookmarkStart w:id="289" w:name="_MON_1475061042"/>
    <w:bookmarkStart w:id="290" w:name="_MON_1309967019"/>
    <w:bookmarkStart w:id="291" w:name="_MON_1317305391"/>
    <w:bookmarkStart w:id="292" w:name="_MON_1329545276"/>
    <w:bookmarkStart w:id="293" w:name="_MON_1329545367"/>
    <w:bookmarkStart w:id="294" w:name="_MON_1338010641"/>
    <w:bookmarkStart w:id="295" w:name="_MON_1340550947"/>
    <w:bookmarkStart w:id="296" w:name="_MON_1345899175"/>
    <w:bookmarkStart w:id="297" w:name="_MON_1347878926"/>
    <w:bookmarkStart w:id="298" w:name="_MON_1356163352"/>
    <w:bookmarkStart w:id="299" w:name="_MON_1356509302"/>
    <w:bookmarkStart w:id="300" w:name="_MON_1363682670"/>
    <w:bookmarkStart w:id="301" w:name="_MON_1371386478"/>
    <w:bookmarkStart w:id="302" w:name="_MON_1371387194"/>
    <w:bookmarkStart w:id="303" w:name="_MON_1371466101"/>
    <w:bookmarkStart w:id="304" w:name="_MON_1376902631"/>
    <w:bookmarkStart w:id="305" w:name="_MON_1381048201"/>
    <w:bookmarkStart w:id="306" w:name="_MON_1382859473"/>
    <w:bookmarkStart w:id="307" w:name="_MON_1387356091"/>
    <w:bookmarkStart w:id="308" w:name="_MON_1387362958"/>
    <w:bookmarkStart w:id="309" w:name="_MON_1393143737"/>
    <w:bookmarkStart w:id="310" w:name="_MON_1393308952"/>
    <w:bookmarkStart w:id="311" w:name="_MON_1395473453"/>
    <w:bookmarkStart w:id="312" w:name="_MON_1395818137"/>
    <w:bookmarkStart w:id="313" w:name="_MON_1396441328"/>
    <w:bookmarkStart w:id="314" w:name="_MON_1401520846"/>
    <w:bookmarkStart w:id="315" w:name="_MON_1403005037"/>
    <w:bookmarkStart w:id="316" w:name="_MON_1408785948"/>
    <w:bookmarkStart w:id="317" w:name="_MON_1410865673"/>
    <w:bookmarkStart w:id="318" w:name="_MON_1410951936"/>
    <w:bookmarkStart w:id="319" w:name="_MON_1419250079"/>
    <w:bookmarkStart w:id="320" w:name="_MON_1419677464"/>
    <w:bookmarkStart w:id="321" w:name="_MON_1424523248"/>
    <w:bookmarkStart w:id="322" w:name="_MON_1424583877"/>
    <w:bookmarkStart w:id="323" w:name="_MON_1426676370"/>
    <w:bookmarkStart w:id="324" w:name="_MON_1432385458"/>
    <w:bookmarkStart w:id="325" w:name="_MON_1440829162"/>
    <w:bookmarkStart w:id="326" w:name="_MON_1440830393"/>
    <w:bookmarkStart w:id="327" w:name="_MON_1441104503"/>
    <w:bookmarkStart w:id="328" w:name="_MON_1442649534"/>
    <w:bookmarkStart w:id="329" w:name="_MON_1443356268"/>
    <w:bookmarkStart w:id="330" w:name="_MON_1450525627"/>
    <w:bookmarkStart w:id="331" w:name="_MON_1450526086"/>
    <w:bookmarkStart w:id="332" w:name="_MON_1451285714"/>
    <w:bookmarkStart w:id="333" w:name="_MON_1454763269"/>
    <w:bookmarkStart w:id="334" w:name="_MON_1454844795"/>
    <w:bookmarkStart w:id="335" w:name="_MON_1458390435"/>
    <w:bookmarkStart w:id="336" w:name="_MON_1458465942"/>
    <w:bookmarkStart w:id="337" w:name="_MON_1464604858"/>
    <w:bookmarkStart w:id="338" w:name="_MON_1466319733"/>
    <w:bookmarkStart w:id="339" w:name="_MON_1471675977"/>
    <w:bookmarkStart w:id="340" w:name="_MON_1299501187"/>
    <w:bookmarkStart w:id="341" w:name="_MON_1300525873"/>
    <w:bookmarkStart w:id="342" w:name="_MON_1308472257"/>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3" w:name="_MON_1308473221"/>
    <w:bookmarkEnd w:id="343"/>
    <w:p w:rsidR="00E773CA" w:rsidRPr="00D00BAF" w:rsidRDefault="00E773CA" w:rsidP="00E773CA">
      <w:pPr>
        <w:tabs>
          <w:tab w:val="left" w:pos="-2160"/>
          <w:tab w:val="left" w:pos="-1980"/>
          <w:tab w:val="left" w:pos="708"/>
        </w:tabs>
        <w:jc w:val="both"/>
      </w:pPr>
      <w:r w:rsidRPr="00D00BAF">
        <w:rPr>
          <w:sz w:val="24"/>
        </w:rPr>
        <w:object w:dxaOrig="8640" w:dyaOrig="1905">
          <v:shape id="_x0000_i1028" type="#_x0000_t75" style="width:6in;height:95.5pt" o:ole="" fillcolor="window">
            <v:imagedata r:id="rId15" o:title=""/>
          </v:shape>
          <o:OLEObject Type="Embed" ProgID="Excel.Sheet.8" ShapeID="_x0000_i1028" DrawAspect="Content" ObjectID="_1518274668" r:id="rId16"/>
        </w:object>
      </w:r>
    </w:p>
    <w:p w:rsidR="00E773CA" w:rsidRPr="00D00BAF" w:rsidRDefault="00E773CA" w:rsidP="00E773CA">
      <w:pPr>
        <w:tabs>
          <w:tab w:val="left" w:pos="-2160"/>
          <w:tab w:val="left" w:pos="-1980"/>
          <w:tab w:val="left" w:pos="708"/>
        </w:tabs>
        <w:jc w:val="both"/>
        <w:rPr>
          <w:sz w:val="24"/>
        </w:rPr>
      </w:pPr>
    </w:p>
    <w:p w:rsidR="00E773CA" w:rsidRPr="00D00BAF" w:rsidRDefault="00E773CA" w:rsidP="00E773CA">
      <w:pPr>
        <w:tabs>
          <w:tab w:val="left" w:pos="-2160"/>
          <w:tab w:val="left" w:pos="-1980"/>
          <w:tab w:val="left" w:pos="708"/>
        </w:tabs>
        <w:jc w:val="both"/>
        <w:rPr>
          <w:sz w:val="24"/>
        </w:rPr>
      </w:pPr>
      <w:r w:rsidRPr="00D00BAF">
        <w:rPr>
          <w:sz w:val="24"/>
        </w:rPr>
        <w:t>Al 31/12/15, la</w:t>
      </w:r>
      <w:r w:rsidR="00BF0980">
        <w:rPr>
          <w:sz w:val="24"/>
        </w:rPr>
        <w:t>s Reservas Voluntarias son de $</w:t>
      </w:r>
      <w:r w:rsidRPr="00D00BAF">
        <w:rPr>
          <w:sz w:val="24"/>
        </w:rPr>
        <w:t>1,013.5</w:t>
      </w:r>
      <w:r w:rsidR="008D79CC">
        <w:rPr>
          <w:sz w:val="24"/>
        </w:rPr>
        <w:t xml:space="preserve"> </w:t>
      </w:r>
      <w:r w:rsidRPr="00D00BAF">
        <w:rPr>
          <w:sz w:val="24"/>
        </w:rPr>
        <w:t xml:space="preserve">y al 31/12/14, </w:t>
      </w:r>
      <w:r w:rsidR="00BF0980">
        <w:rPr>
          <w:sz w:val="24"/>
        </w:rPr>
        <w:t>eran de $</w:t>
      </w:r>
      <w:r w:rsidRPr="00D00BAF">
        <w:rPr>
          <w:sz w:val="24"/>
        </w:rPr>
        <w:t>1,719.0</w:t>
      </w:r>
    </w:p>
    <w:p w:rsidR="00E773CA" w:rsidRPr="00D00BAF" w:rsidRDefault="00E773CA" w:rsidP="00E773CA">
      <w:pPr>
        <w:tabs>
          <w:tab w:val="left" w:pos="-2160"/>
          <w:tab w:val="left" w:pos="-1980"/>
          <w:tab w:val="left" w:pos="708"/>
        </w:tabs>
        <w:jc w:val="both"/>
        <w:rPr>
          <w:sz w:val="24"/>
        </w:rPr>
      </w:pPr>
    </w:p>
    <w:p w:rsidR="00E773CA" w:rsidRPr="00D00BAF" w:rsidRDefault="00E773CA" w:rsidP="00E773CA">
      <w:pPr>
        <w:tabs>
          <w:tab w:val="left" w:pos="-2160"/>
          <w:tab w:val="left" w:pos="-1980"/>
          <w:tab w:val="left" w:pos="708"/>
        </w:tabs>
        <w:jc w:val="both"/>
      </w:pPr>
      <w:r w:rsidRPr="00D00BAF">
        <w:rPr>
          <w:sz w:val="24"/>
        </w:rPr>
        <w:t>Las  reservas de saneamiento por "Contingencias" se presentan en el rubro de Otros Pasivos "Diversos</w:t>
      </w:r>
      <w:r w:rsidRPr="00D00BAF">
        <w:t>".</w:t>
      </w:r>
    </w:p>
    <w:p w:rsidR="00E773CA" w:rsidRPr="00D00BAF" w:rsidRDefault="00E773CA" w:rsidP="00E773CA">
      <w:pPr>
        <w:jc w:val="both"/>
        <w:rPr>
          <w:b/>
        </w:rPr>
      </w:pPr>
    </w:p>
    <w:p w:rsidR="00E773CA" w:rsidRPr="00D00BAF" w:rsidRDefault="008D79CC" w:rsidP="00E773CA">
      <w:pPr>
        <w:jc w:val="both"/>
        <w:rPr>
          <w:sz w:val="24"/>
        </w:rPr>
      </w:pPr>
      <w:r>
        <w:rPr>
          <w:sz w:val="24"/>
        </w:rPr>
        <w:t xml:space="preserve">La tasa de cobertura fue de </w:t>
      </w:r>
      <w:r w:rsidR="006D59B1" w:rsidRPr="00D00BAF">
        <w:rPr>
          <w:sz w:val="24"/>
        </w:rPr>
        <w:t xml:space="preserve">5.2%, para 2015 y </w:t>
      </w:r>
      <w:r w:rsidR="00E773CA" w:rsidRPr="00D00BAF">
        <w:rPr>
          <w:sz w:val="24"/>
        </w:rPr>
        <w:t>2014</w:t>
      </w:r>
      <w:r>
        <w:rPr>
          <w:sz w:val="24"/>
        </w:rPr>
        <w:t>.</w:t>
      </w:r>
    </w:p>
    <w:p w:rsidR="00E773CA" w:rsidRPr="00D00BAF" w:rsidRDefault="00E773CA" w:rsidP="00E773CA">
      <w:pPr>
        <w:tabs>
          <w:tab w:val="left" w:pos="-2160"/>
          <w:tab w:val="left" w:pos="-1980"/>
          <w:tab w:val="left" w:pos="708"/>
        </w:tabs>
        <w:jc w:val="both"/>
        <w:rPr>
          <w:sz w:val="24"/>
        </w:rPr>
      </w:pPr>
    </w:p>
    <w:p w:rsidR="00E773CA" w:rsidRPr="00D00BAF" w:rsidRDefault="00E773CA" w:rsidP="00E773CA">
      <w:pPr>
        <w:tabs>
          <w:tab w:val="left" w:pos="-2160"/>
          <w:tab w:val="left" w:pos="-1980"/>
          <w:tab w:val="left" w:pos="708"/>
        </w:tabs>
        <w:jc w:val="both"/>
        <w:rPr>
          <w:sz w:val="24"/>
        </w:rPr>
      </w:pPr>
      <w:r w:rsidRPr="00D00BAF">
        <w:rPr>
          <w:sz w:val="24"/>
        </w:rPr>
        <w:t>La tasa de cobertura es el cociente expresado en porcentaje, que resulta de dividir el monto de las provisiones entre el monto del activo.</w:t>
      </w:r>
    </w:p>
    <w:p w:rsidR="00E773CA" w:rsidRPr="00D00BAF" w:rsidRDefault="00E773CA" w:rsidP="00E773CA">
      <w:pPr>
        <w:keepNext/>
        <w:jc w:val="both"/>
        <w:outlineLvl w:val="6"/>
        <w:rPr>
          <w:bCs/>
          <w:sz w:val="24"/>
        </w:rPr>
      </w:pPr>
    </w:p>
    <w:p w:rsidR="00E773CA" w:rsidRPr="00D00BAF" w:rsidRDefault="00E773CA" w:rsidP="00E773CA">
      <w:pPr>
        <w:tabs>
          <w:tab w:val="left" w:pos="-2160"/>
          <w:tab w:val="left" w:pos="-1980"/>
          <w:tab w:val="left" w:pos="708"/>
        </w:tabs>
        <w:jc w:val="both"/>
        <w:rPr>
          <w:sz w:val="24"/>
        </w:rPr>
      </w:pPr>
      <w:r w:rsidRPr="00D00BAF">
        <w:rPr>
          <w:sz w:val="24"/>
        </w:rPr>
        <w:t>La tasa de rendimiento promedio al 31/12/15 y al 31/12/14 fue del 13.2 % y 12.9 %, anual respectivamente.</w:t>
      </w:r>
    </w:p>
    <w:p w:rsidR="00E773CA" w:rsidRPr="00D00BAF" w:rsidRDefault="00E773CA" w:rsidP="00E773CA">
      <w:pPr>
        <w:tabs>
          <w:tab w:val="left" w:pos="-2160"/>
          <w:tab w:val="left" w:pos="-1980"/>
          <w:tab w:val="left" w:pos="708"/>
        </w:tabs>
        <w:jc w:val="both"/>
        <w:rPr>
          <w:sz w:val="24"/>
        </w:rPr>
      </w:pPr>
    </w:p>
    <w:p w:rsidR="00E773CA" w:rsidRPr="00D00BAF" w:rsidRDefault="00E773CA" w:rsidP="00E773CA">
      <w:pPr>
        <w:tabs>
          <w:tab w:val="left" w:pos="-2160"/>
          <w:tab w:val="left" w:pos="-1980"/>
          <w:tab w:val="left" w:pos="708"/>
        </w:tabs>
        <w:jc w:val="both"/>
        <w:rPr>
          <w:sz w:val="24"/>
        </w:rPr>
      </w:pPr>
      <w:r w:rsidRPr="00D00BAF">
        <w:rPr>
          <w:sz w:val="24"/>
        </w:rPr>
        <w:t>La tasa de rendimiento promedio es el porcentaje que resulta de dividir los ingresos de la cartera de préstamos (incluidos los intereses y comisiones), entre el saldo promedio de la cartera bruta de préstamos por el período reportado.</w:t>
      </w:r>
    </w:p>
    <w:p w:rsidR="00E773CA" w:rsidRPr="00D00BAF" w:rsidRDefault="00E773CA" w:rsidP="00E773CA">
      <w:pPr>
        <w:jc w:val="both"/>
        <w:rPr>
          <w:sz w:val="24"/>
        </w:rPr>
      </w:pPr>
    </w:p>
    <w:p w:rsidR="00A84BB3" w:rsidRPr="00D00BAF" w:rsidRDefault="00A84BB3" w:rsidP="00E773CA">
      <w:pPr>
        <w:jc w:val="both"/>
        <w:rPr>
          <w:sz w:val="24"/>
        </w:rPr>
      </w:pPr>
      <w:r w:rsidRPr="00D00BAF">
        <w:rPr>
          <w:sz w:val="24"/>
        </w:rPr>
        <w:t>Los préstamos con tasa de interés ajustable al 31 de diciembre de 2015 y 2014, representan el 100.0 % de la cartera de préstamos.</w:t>
      </w:r>
    </w:p>
    <w:p w:rsidR="00A84BB3" w:rsidRPr="00D00BAF" w:rsidRDefault="00A84BB3" w:rsidP="00E773CA">
      <w:pPr>
        <w:jc w:val="both"/>
        <w:rPr>
          <w:sz w:val="24"/>
        </w:rPr>
      </w:pPr>
    </w:p>
    <w:p w:rsidR="00E773CA" w:rsidRPr="00D00BAF" w:rsidRDefault="00E773CA" w:rsidP="00E773CA">
      <w:pPr>
        <w:rPr>
          <w:bCs/>
        </w:rPr>
      </w:pPr>
      <w:r w:rsidRPr="00D00BAF">
        <w:rPr>
          <w:bCs/>
          <w:sz w:val="24"/>
        </w:rPr>
        <w:t xml:space="preserve">Los intereses devengados por la cartera de préstamos y no reconocidos como resultados en el </w:t>
      </w:r>
      <w:r w:rsidR="00BF0980">
        <w:rPr>
          <w:bCs/>
          <w:sz w:val="24"/>
        </w:rPr>
        <w:t>período reportado ascienden a $</w:t>
      </w:r>
      <w:r w:rsidRPr="00D00BAF">
        <w:rPr>
          <w:bCs/>
          <w:sz w:val="24"/>
        </w:rPr>
        <w:t>2,703.</w:t>
      </w:r>
      <w:r w:rsidR="00E41FA8">
        <w:rPr>
          <w:bCs/>
          <w:sz w:val="24"/>
        </w:rPr>
        <w:t>2</w:t>
      </w:r>
      <w:r w:rsidR="00BF0980">
        <w:rPr>
          <w:bCs/>
          <w:sz w:val="24"/>
        </w:rPr>
        <w:t xml:space="preserve">  y  $</w:t>
      </w:r>
      <w:r w:rsidRPr="00D00BAF">
        <w:rPr>
          <w:bCs/>
          <w:sz w:val="24"/>
        </w:rPr>
        <w:t>2,284.0 para 2015 y 2014, respectivamente</w:t>
      </w:r>
      <w:r w:rsidRPr="00D00BAF">
        <w:rPr>
          <w:bCs/>
        </w:rPr>
        <w:t>.</w:t>
      </w:r>
    </w:p>
    <w:p w:rsidR="00E773CA" w:rsidRPr="00D00BAF" w:rsidRDefault="00E773CA" w:rsidP="00E773CA">
      <w:pPr>
        <w:rPr>
          <w:bCs/>
        </w:rPr>
      </w:pPr>
    </w:p>
    <w:p w:rsidR="00E773CA" w:rsidRPr="00D00BAF" w:rsidRDefault="00E773CA" w:rsidP="00E773CA"/>
    <w:p w:rsidR="000E0885" w:rsidRPr="00D00BAF" w:rsidRDefault="000E0885" w:rsidP="00105A9E">
      <w:pPr>
        <w:pStyle w:val="Textoindependiente"/>
        <w:numPr>
          <w:ilvl w:val="0"/>
          <w:numId w:val="6"/>
        </w:numPr>
        <w:tabs>
          <w:tab w:val="clear" w:pos="720"/>
          <w:tab w:val="clear" w:pos="1296"/>
          <w:tab w:val="clear" w:pos="2016"/>
          <w:tab w:val="left" w:pos="-2160"/>
          <w:tab w:val="left" w:pos="-1980"/>
        </w:tabs>
        <w:jc w:val="both"/>
        <w:rPr>
          <w:rFonts w:ascii="Times New Roman" w:hAnsi="Times New Roman"/>
          <w:szCs w:val="23"/>
        </w:rPr>
      </w:pPr>
      <w:r w:rsidRPr="00574CE0">
        <w:rPr>
          <w:rFonts w:ascii="Times New Roman" w:hAnsi="Times New Roman"/>
          <w:szCs w:val="23"/>
        </w:rPr>
        <w:t xml:space="preserve">CARTERA PIGNORADA </w:t>
      </w:r>
      <w:r w:rsidRPr="00D00BAF">
        <w:rPr>
          <w:rFonts w:ascii="Times New Roman" w:hAnsi="Times New Roman"/>
          <w:szCs w:val="23"/>
        </w:rPr>
        <w:t xml:space="preserve"> </w:t>
      </w:r>
    </w:p>
    <w:p w:rsidR="00162D04" w:rsidRPr="00D00BAF" w:rsidRDefault="00162D04" w:rsidP="00162D04">
      <w:pPr>
        <w:pStyle w:val="Textoindependiente"/>
        <w:tabs>
          <w:tab w:val="clear" w:pos="720"/>
          <w:tab w:val="clear" w:pos="1296"/>
          <w:tab w:val="clear" w:pos="2016"/>
          <w:tab w:val="left" w:pos="-2160"/>
          <w:tab w:val="left" w:pos="-1980"/>
        </w:tabs>
        <w:ind w:left="511"/>
        <w:jc w:val="both"/>
        <w:rPr>
          <w:rFonts w:ascii="Times New Roman" w:hAnsi="Times New Roman"/>
          <w:szCs w:val="23"/>
        </w:rPr>
      </w:pPr>
    </w:p>
    <w:p w:rsidR="00C86B78" w:rsidRPr="00D00BAF" w:rsidRDefault="00C86B78" w:rsidP="00C86B78">
      <w:pPr>
        <w:jc w:val="both"/>
        <w:rPr>
          <w:sz w:val="24"/>
        </w:rPr>
      </w:pPr>
      <w:r w:rsidRPr="00D00BAF">
        <w:rPr>
          <w:sz w:val="24"/>
        </w:rPr>
        <w:t>Se han obtenido recursos con garantía de la cartera de préstamos para el 31/12/15 y 31/12/14, como a continuación se describe:</w:t>
      </w:r>
    </w:p>
    <w:p w:rsidR="00C86B78" w:rsidRPr="00D00BAF" w:rsidRDefault="00C86B78" w:rsidP="00C86B78">
      <w:pPr>
        <w:jc w:val="both"/>
        <w:rPr>
          <w:sz w:val="24"/>
        </w:rPr>
      </w:pPr>
      <w:bookmarkStart w:id="344" w:name="OLE_LINK46"/>
    </w:p>
    <w:p w:rsidR="00C86B78" w:rsidRPr="00BF0980" w:rsidRDefault="00C86B78" w:rsidP="00BF0980">
      <w:pPr>
        <w:numPr>
          <w:ilvl w:val="0"/>
          <w:numId w:val="3"/>
        </w:numPr>
        <w:jc w:val="both"/>
        <w:rPr>
          <w:sz w:val="24"/>
        </w:rPr>
      </w:pPr>
      <w:r w:rsidRPr="00D00BAF">
        <w:rPr>
          <w:sz w:val="24"/>
        </w:rPr>
        <w:t xml:space="preserve">Préstamos recibidos al 31 de diciembre de 2015 del Banco de Desarrollo de El Salvador por $26,410.1, garantizados con créditos categoría “A” hasta la “C” por un monto de $50,166.0, el saldo de préstamos más intereses es de $26,688.3 y al 31 de diciembre de 2014, tenían un saldo de $32,710.1, garantizados con créditos categoría “A” hasta la “C” por un monto de $56,079.8, más bonos ISTA por $411.4, el total de la garantía otorgada </w:t>
      </w:r>
      <w:r w:rsidR="00BF0980">
        <w:rPr>
          <w:sz w:val="24"/>
        </w:rPr>
        <w:t xml:space="preserve">era </w:t>
      </w:r>
      <w:r w:rsidRPr="00BF0980">
        <w:rPr>
          <w:sz w:val="24"/>
        </w:rPr>
        <w:t>de $</w:t>
      </w:r>
      <w:bookmarkEnd w:id="344"/>
      <w:r w:rsidRPr="00BF0980">
        <w:rPr>
          <w:sz w:val="24"/>
        </w:rPr>
        <w:t>56,491.2</w:t>
      </w:r>
    </w:p>
    <w:p w:rsidR="00C86B78" w:rsidRPr="00D00BAF" w:rsidRDefault="00C86B78" w:rsidP="00C86B78">
      <w:pPr>
        <w:jc w:val="both"/>
        <w:rPr>
          <w:sz w:val="24"/>
        </w:rPr>
      </w:pPr>
    </w:p>
    <w:p w:rsidR="00C86B78" w:rsidRPr="00D00BAF" w:rsidRDefault="00C86B78" w:rsidP="00C86B78">
      <w:pPr>
        <w:numPr>
          <w:ilvl w:val="0"/>
          <w:numId w:val="3"/>
        </w:numPr>
        <w:jc w:val="both"/>
        <w:rPr>
          <w:sz w:val="24"/>
        </w:rPr>
      </w:pPr>
      <w:r w:rsidRPr="00D00BAF">
        <w:rPr>
          <w:sz w:val="24"/>
        </w:rPr>
        <w:t>Préstamos recibidos al 31 de diciembre de 2015 del Banco Centroamericano de Integración Económica (BCIE), por $327.6, garantizados con créditos categoría “A” hasta “B” por un monto de $336.2 y efectivo por $457.1, siendo el total de la garantía $793.3, el saldo de los préstamos más intereses es de $330.5 y al 31 de diciembre de 2014, tenían un saldo de $462.9, garantizados con créditos categoría “A” hasta la “B” por un monto de $597.8, más bonos ISTA  por $1,600.0, siendo el total de la garantía $2,197.8,</w:t>
      </w:r>
      <w:r w:rsidRPr="00D00BAF">
        <w:t xml:space="preserve"> </w:t>
      </w:r>
      <w:r w:rsidRPr="00D00BAF">
        <w:rPr>
          <w:sz w:val="24"/>
        </w:rPr>
        <w:t>el saldo de los préstamos más intereses es de $467.0.</w:t>
      </w:r>
    </w:p>
    <w:p w:rsidR="00C86B78" w:rsidRPr="00D00BAF" w:rsidRDefault="00C86B78" w:rsidP="00C86B78">
      <w:pPr>
        <w:jc w:val="both"/>
        <w:rPr>
          <w:sz w:val="24"/>
        </w:rPr>
      </w:pPr>
    </w:p>
    <w:p w:rsidR="00C86B78" w:rsidRPr="00D00BAF" w:rsidRDefault="00C86B78" w:rsidP="00C86B78">
      <w:pPr>
        <w:jc w:val="both"/>
        <w:rPr>
          <w:sz w:val="24"/>
        </w:rPr>
      </w:pPr>
      <w:r w:rsidRPr="00D00BAF">
        <w:rPr>
          <w:sz w:val="24"/>
        </w:rPr>
        <w:t>Los créditos referidos constan en registros que permiten su identificación plena, a efecto de responder ante nuestros acreedores por las responsabilidades legales derivadas de los contratos respectivos.</w:t>
      </w:r>
    </w:p>
    <w:p w:rsidR="00162D04" w:rsidRPr="00D00BAF" w:rsidRDefault="00162D04" w:rsidP="0094692E">
      <w:pPr>
        <w:pStyle w:val="Textoindependiente2"/>
        <w:tabs>
          <w:tab w:val="clear" w:pos="-2160"/>
          <w:tab w:val="clear" w:pos="-1980"/>
        </w:tabs>
      </w:pPr>
    </w:p>
    <w:p w:rsidR="006351B9" w:rsidRPr="00D00BAF" w:rsidRDefault="006351B9" w:rsidP="0094692E">
      <w:pPr>
        <w:pStyle w:val="Textoindependiente2"/>
        <w:tabs>
          <w:tab w:val="clear" w:pos="-2160"/>
          <w:tab w:val="clear" w:pos="-1980"/>
        </w:tabs>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574CE0">
        <w:rPr>
          <w:rFonts w:ascii="Times New Roman" w:hAnsi="Times New Roman"/>
        </w:rPr>
        <w:t>BIENES RECIBIDOS EN PAGO (ACTIVOS EXTRAORDINARIOS)</w:t>
      </w:r>
    </w:p>
    <w:p w:rsidR="000E0885" w:rsidRPr="00D00BAF" w:rsidRDefault="000E0885">
      <w:pPr>
        <w:ind w:left="-85"/>
        <w:rPr>
          <w:b/>
          <w:bCs/>
          <w:sz w:val="24"/>
          <w:lang w:val="es-ES_tradnl"/>
        </w:rPr>
      </w:pPr>
    </w:p>
    <w:bookmarkEnd w:id="27"/>
    <w:bookmarkEnd w:id="28"/>
    <w:p w:rsidR="00C86B78" w:rsidRPr="00D00BAF" w:rsidRDefault="00C86B78" w:rsidP="00C86B78">
      <w:pPr>
        <w:tabs>
          <w:tab w:val="left" w:pos="-2160"/>
          <w:tab w:val="left" w:pos="-1980"/>
          <w:tab w:val="left" w:pos="709"/>
        </w:tabs>
        <w:jc w:val="both"/>
        <w:rPr>
          <w:sz w:val="24"/>
          <w:szCs w:val="24"/>
        </w:rPr>
      </w:pPr>
      <w:r w:rsidRPr="00D00BAF">
        <w:rPr>
          <w:sz w:val="24"/>
          <w:szCs w:val="24"/>
        </w:rPr>
        <w:t>Al 31/12/15 y 31/12/14, la institución mantiene saldos netos de activos extraordinarios por valor de $275.7 y $56.8, respectivamente.</w:t>
      </w:r>
    </w:p>
    <w:p w:rsidR="00C86B78" w:rsidRPr="00D00BAF" w:rsidRDefault="00C86B78" w:rsidP="00C86B78">
      <w:pPr>
        <w:tabs>
          <w:tab w:val="left" w:pos="-2160"/>
          <w:tab w:val="left" w:pos="-1980"/>
          <w:tab w:val="left" w:pos="709"/>
        </w:tabs>
        <w:jc w:val="both"/>
        <w:rPr>
          <w:sz w:val="24"/>
          <w:szCs w:val="24"/>
        </w:rPr>
      </w:pPr>
    </w:p>
    <w:p w:rsidR="00C86B78" w:rsidRPr="00D00BAF" w:rsidRDefault="00C86B78" w:rsidP="00C86B78">
      <w:pPr>
        <w:tabs>
          <w:tab w:val="left" w:pos="-2160"/>
          <w:tab w:val="left" w:pos="-1980"/>
          <w:tab w:val="left" w:pos="709"/>
        </w:tabs>
        <w:jc w:val="both"/>
        <w:rPr>
          <w:sz w:val="24"/>
          <w:szCs w:val="24"/>
        </w:rPr>
      </w:pPr>
      <w:r w:rsidRPr="00D00BAF">
        <w:rPr>
          <w:sz w:val="24"/>
          <w:szCs w:val="24"/>
        </w:rPr>
        <w:t>El movimiento de activos extraordinarios, registrados durante los períodos reportados, se resume a continuación:</w:t>
      </w:r>
    </w:p>
    <w:p w:rsidR="00C86B78" w:rsidRPr="00D00BAF" w:rsidRDefault="00C86B78" w:rsidP="00C86B78">
      <w:pPr>
        <w:tabs>
          <w:tab w:val="left" w:pos="-2160"/>
          <w:tab w:val="left" w:pos="-1980"/>
          <w:tab w:val="left" w:pos="709"/>
        </w:tabs>
        <w:jc w:val="both"/>
        <w:rPr>
          <w:sz w:val="24"/>
          <w:szCs w:val="24"/>
        </w:rPr>
      </w:pPr>
    </w:p>
    <w:p w:rsidR="00C86B78" w:rsidRPr="00D00BAF" w:rsidRDefault="00C86B78" w:rsidP="00C86B78">
      <w:pPr>
        <w:tabs>
          <w:tab w:val="left" w:pos="-2160"/>
          <w:tab w:val="left" w:pos="-1980"/>
          <w:tab w:val="left" w:pos="709"/>
        </w:tabs>
        <w:jc w:val="both"/>
        <w:rPr>
          <w:sz w:val="24"/>
          <w:szCs w:val="24"/>
        </w:rPr>
      </w:pPr>
    </w:p>
    <w:bookmarkStart w:id="345" w:name="_MON_1376981012"/>
    <w:bookmarkStart w:id="346" w:name="_MON_1376981034"/>
    <w:bookmarkStart w:id="347" w:name="_MON_1378811367"/>
    <w:bookmarkStart w:id="348" w:name="_MON_1379486188"/>
    <w:bookmarkStart w:id="349" w:name="_MON_1379507978"/>
    <w:bookmarkStart w:id="350" w:name="_MON_1379508068"/>
    <w:bookmarkStart w:id="351" w:name="_MON_1379753623"/>
    <w:bookmarkStart w:id="352" w:name="_MON_1379753633"/>
    <w:bookmarkStart w:id="353" w:name="_MON_1395759721"/>
    <w:bookmarkStart w:id="354" w:name="_MON_1396108861"/>
    <w:bookmarkStart w:id="355" w:name="_MON_1442752774"/>
    <w:bookmarkStart w:id="356" w:name="_MON_1442823656"/>
    <w:bookmarkStart w:id="357" w:name="_MON_1442827331"/>
    <w:bookmarkStart w:id="358" w:name="_MON_1442828832"/>
    <w:bookmarkStart w:id="359" w:name="_MON_1442832583"/>
    <w:bookmarkStart w:id="360" w:name="_MON_1442924102"/>
    <w:bookmarkStart w:id="361" w:name="_MON_1452609972"/>
    <w:bookmarkStart w:id="362" w:name="_MON_1452610920"/>
    <w:bookmarkStart w:id="363" w:name="_MON_1452664630"/>
    <w:bookmarkStart w:id="364" w:name="_MON_1452948439"/>
    <w:bookmarkStart w:id="365" w:name="_MON_1452950104"/>
    <w:bookmarkStart w:id="366" w:name="_MON_1452951941"/>
    <w:bookmarkStart w:id="367" w:name="_MON_1458630587"/>
    <w:bookmarkStart w:id="368" w:name="_MON_1458631050"/>
    <w:bookmarkStart w:id="369" w:name="_MON_1458631708"/>
    <w:bookmarkStart w:id="370" w:name="_MON_1458631766"/>
    <w:bookmarkStart w:id="371" w:name="_MON_1458631901"/>
    <w:bookmarkStart w:id="372" w:name="_MON_1458632162"/>
    <w:bookmarkStart w:id="373" w:name="_MON_1458632303"/>
    <w:bookmarkStart w:id="374" w:name="_MON_1332231004"/>
    <w:bookmarkStart w:id="375" w:name="_MON_1332307766"/>
    <w:bookmarkStart w:id="376" w:name="_MON_1332312435"/>
    <w:bookmarkStart w:id="377" w:name="_MON_1339832801"/>
    <w:bookmarkStart w:id="378" w:name="_MON_1339834197"/>
    <w:bookmarkStart w:id="379" w:name="_MON_1339932176"/>
    <w:bookmarkStart w:id="380" w:name="_MON_1341304001"/>
    <w:bookmarkStart w:id="381" w:name="_MON_1347955596"/>
    <w:bookmarkStart w:id="382" w:name="_MON_1347960439"/>
    <w:bookmarkStart w:id="383" w:name="_MON_1347965615"/>
    <w:bookmarkStart w:id="384" w:name="_MON_1347965640"/>
    <w:bookmarkStart w:id="385" w:name="_MON_1347967515"/>
    <w:bookmarkStart w:id="386" w:name="_MON_1348040686"/>
    <w:bookmarkStart w:id="387" w:name="_MON_1348043881"/>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Start w:id="388" w:name="_MON_1363763663"/>
    <w:bookmarkEnd w:id="388"/>
    <w:p w:rsidR="00C86B78" w:rsidRPr="00D00BAF" w:rsidRDefault="00C86B78" w:rsidP="00C86B78">
      <w:r w:rsidRPr="00D00BAF">
        <w:rPr>
          <w:sz w:val="24"/>
          <w:szCs w:val="24"/>
        </w:rPr>
        <w:object w:dxaOrig="8124" w:dyaOrig="2303">
          <v:shape id="_x0000_i1029" type="#_x0000_t75" style="width:437.7pt;height:128.3pt" o:ole="" fillcolor="window">
            <v:imagedata r:id="rId17" o:title=""/>
          </v:shape>
          <o:OLEObject Type="Embed" ProgID="Excel.Sheet.8" ShapeID="_x0000_i1029" DrawAspect="Content" ObjectID="_1518274669" r:id="rId18"/>
        </w:object>
      </w:r>
    </w:p>
    <w:p w:rsidR="00C86B78" w:rsidRPr="00D00BAF" w:rsidRDefault="00C86B78" w:rsidP="00C86B78"/>
    <w:p w:rsidR="00C86B78" w:rsidRPr="00D00BAF" w:rsidRDefault="00C86B78" w:rsidP="00C86B78"/>
    <w:p w:rsidR="00C86B78" w:rsidRPr="00D00BAF" w:rsidRDefault="00C86B78" w:rsidP="00C86B78">
      <w:pPr>
        <w:tabs>
          <w:tab w:val="left" w:pos="-2160"/>
          <w:tab w:val="left" w:pos="-1980"/>
          <w:tab w:val="left" w:pos="709"/>
        </w:tabs>
        <w:jc w:val="both"/>
        <w:rPr>
          <w:sz w:val="24"/>
          <w:szCs w:val="24"/>
        </w:rPr>
      </w:pPr>
      <w:r w:rsidRPr="00D00BAF">
        <w:rPr>
          <w:sz w:val="24"/>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162D04" w:rsidRPr="00D00BAF" w:rsidRDefault="00162D04" w:rsidP="0002658F">
      <w:pPr>
        <w:pStyle w:val="Textoindependiente2"/>
        <w:tabs>
          <w:tab w:val="left" w:pos="709"/>
        </w:tabs>
        <w:rPr>
          <w:szCs w:val="24"/>
        </w:rPr>
      </w:pPr>
    </w:p>
    <w:p w:rsidR="00C86B78" w:rsidRPr="00D00BAF" w:rsidRDefault="00C86B78" w:rsidP="0002658F">
      <w:pPr>
        <w:pStyle w:val="Textoindependiente2"/>
        <w:tabs>
          <w:tab w:val="left" w:pos="709"/>
        </w:tabs>
        <w:rPr>
          <w:szCs w:val="24"/>
        </w:rPr>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574CE0">
        <w:rPr>
          <w:rFonts w:ascii="Times New Roman" w:hAnsi="Times New Roman"/>
          <w:bCs/>
        </w:rPr>
        <w:t>DEPÓSITOS DE CLIENTES</w:t>
      </w:r>
    </w:p>
    <w:p w:rsidR="000E0885" w:rsidRPr="00D00BAF" w:rsidRDefault="000E0885">
      <w:pPr>
        <w:rPr>
          <w:b/>
          <w:sz w:val="24"/>
        </w:rPr>
      </w:pPr>
    </w:p>
    <w:p w:rsidR="00322BA8" w:rsidRPr="00D00BAF" w:rsidRDefault="00322BA8" w:rsidP="00322BA8">
      <w:pPr>
        <w:tabs>
          <w:tab w:val="left" w:pos="-2160"/>
          <w:tab w:val="left" w:pos="-1980"/>
          <w:tab w:val="left" w:pos="709"/>
        </w:tabs>
        <w:jc w:val="both"/>
        <w:rPr>
          <w:sz w:val="24"/>
        </w:rPr>
      </w:pPr>
      <w:r w:rsidRPr="00D00BAF">
        <w:rPr>
          <w:sz w:val="24"/>
        </w:rPr>
        <w:t>La cartera de depósitos del Banco se encuentra distribuida así:</w:t>
      </w:r>
    </w:p>
    <w:p w:rsidR="00322BA8" w:rsidRPr="00D00BAF" w:rsidRDefault="00322BA8" w:rsidP="00322BA8">
      <w:pPr>
        <w:ind w:left="4248"/>
        <w:rPr>
          <w:b/>
        </w:rPr>
      </w:pPr>
    </w:p>
    <w:bookmarkStart w:id="389" w:name="_MON_1440925410"/>
    <w:bookmarkStart w:id="390" w:name="_MON_1442737795"/>
    <w:bookmarkEnd w:id="389"/>
    <w:bookmarkEnd w:id="390"/>
    <w:bookmarkStart w:id="391" w:name="_MON_1395668485"/>
    <w:bookmarkEnd w:id="391"/>
    <w:p w:rsidR="00322BA8" w:rsidRPr="00D00BAF" w:rsidRDefault="00322BA8" w:rsidP="00322BA8">
      <w:pPr>
        <w:rPr>
          <w:b/>
        </w:rPr>
      </w:pPr>
      <w:r w:rsidRPr="00D00BAF">
        <w:rPr>
          <w:b/>
        </w:rPr>
        <w:object w:dxaOrig="7794" w:dyaOrig="1835">
          <v:shape id="_x0000_i1030" type="#_x0000_t75" style="width:369.25pt;height:86.25pt" o:ole="" fillcolor="window">
            <v:imagedata r:id="rId19" o:title=""/>
          </v:shape>
          <o:OLEObject Type="Embed" ProgID="Excel.Sheet.8" ShapeID="_x0000_i1030" DrawAspect="Content" ObjectID="_1518274670" r:id="rId20"/>
        </w:object>
      </w:r>
    </w:p>
    <w:p w:rsidR="00322BA8" w:rsidRPr="00D00BAF" w:rsidRDefault="00322BA8" w:rsidP="00322BA8"/>
    <w:p w:rsidR="00322BA8" w:rsidRPr="00D00BAF" w:rsidRDefault="00322BA8" w:rsidP="00322BA8"/>
    <w:p w:rsidR="00322BA8" w:rsidRPr="00D00BAF" w:rsidRDefault="00322BA8" w:rsidP="00322BA8">
      <w:pPr>
        <w:tabs>
          <w:tab w:val="left" w:pos="-2160"/>
          <w:tab w:val="left" w:pos="-1980"/>
          <w:tab w:val="left" w:pos="709"/>
        </w:tabs>
        <w:jc w:val="both"/>
        <w:rPr>
          <w:sz w:val="24"/>
        </w:rPr>
      </w:pPr>
      <w:r w:rsidRPr="00D00BAF">
        <w:rPr>
          <w:sz w:val="24"/>
        </w:rPr>
        <w:t>Las diferentes clases de depósitos del Banco son las siguientes:</w:t>
      </w:r>
    </w:p>
    <w:p w:rsidR="00322BA8" w:rsidRPr="00D00BAF" w:rsidRDefault="00322BA8" w:rsidP="00322BA8">
      <w:pPr>
        <w:tabs>
          <w:tab w:val="left" w:pos="142"/>
          <w:tab w:val="left" w:pos="284"/>
          <w:tab w:val="left" w:pos="7371"/>
        </w:tabs>
        <w:ind w:left="4248"/>
        <w:rPr>
          <w:b/>
        </w:rPr>
      </w:pPr>
    </w:p>
    <w:bookmarkStart w:id="392" w:name="_MON_1440925429"/>
    <w:bookmarkStart w:id="393" w:name="_MON_1440925435"/>
    <w:bookmarkEnd w:id="392"/>
    <w:bookmarkEnd w:id="393"/>
    <w:bookmarkStart w:id="394" w:name="_MON_1442737849"/>
    <w:bookmarkEnd w:id="394"/>
    <w:p w:rsidR="00322BA8" w:rsidRPr="00D00BAF" w:rsidRDefault="00322BA8" w:rsidP="00322BA8">
      <w:pPr>
        <w:rPr>
          <w:b/>
        </w:rPr>
      </w:pPr>
      <w:r w:rsidRPr="00D00BAF">
        <w:rPr>
          <w:b/>
        </w:rPr>
        <w:object w:dxaOrig="7839" w:dyaOrig="1544">
          <v:shape id="_x0000_i1031" type="#_x0000_t75" style="width:368.55pt;height:1in" o:ole="" fillcolor="window">
            <v:imagedata r:id="rId21" o:title=""/>
          </v:shape>
          <o:OLEObject Type="Embed" ProgID="Excel.Sheet.8" ShapeID="_x0000_i1031" DrawAspect="Content" ObjectID="_1518274671" r:id="rId22"/>
        </w:object>
      </w:r>
    </w:p>
    <w:p w:rsidR="00322BA8" w:rsidRPr="00D00BAF" w:rsidRDefault="00322BA8" w:rsidP="00322BA8">
      <w:pPr>
        <w:rPr>
          <w:b/>
        </w:rPr>
      </w:pPr>
    </w:p>
    <w:p w:rsidR="00322BA8" w:rsidRPr="00D00BAF" w:rsidRDefault="00322BA8" w:rsidP="00322BA8">
      <w:pPr>
        <w:ind w:left="284" w:hanging="284"/>
        <w:jc w:val="both"/>
        <w:rPr>
          <w:sz w:val="24"/>
          <w:szCs w:val="24"/>
        </w:rPr>
      </w:pPr>
      <w:r w:rsidRPr="00D00BAF">
        <w:rPr>
          <w:sz w:val="24"/>
          <w:szCs w:val="24"/>
        </w:rPr>
        <w:t>Todos los Depósitos están constituidos en dólares de los Estados Unidos de América.</w:t>
      </w:r>
    </w:p>
    <w:p w:rsidR="00322BA8" w:rsidRPr="00D00BAF" w:rsidRDefault="00322BA8" w:rsidP="00322BA8">
      <w:pPr>
        <w:jc w:val="both"/>
        <w:rPr>
          <w:sz w:val="24"/>
          <w:szCs w:val="24"/>
        </w:rPr>
      </w:pPr>
    </w:p>
    <w:p w:rsidR="00322BA8" w:rsidRPr="00D00BAF" w:rsidRDefault="00322BA8" w:rsidP="00322BA8">
      <w:pPr>
        <w:tabs>
          <w:tab w:val="left" w:pos="-2160"/>
          <w:tab w:val="left" w:pos="-1980"/>
          <w:tab w:val="left" w:pos="709"/>
        </w:tabs>
        <w:jc w:val="both"/>
        <w:rPr>
          <w:sz w:val="24"/>
          <w:szCs w:val="24"/>
        </w:rPr>
      </w:pPr>
      <w:r w:rsidRPr="00D00BAF">
        <w:rPr>
          <w:sz w:val="24"/>
          <w:szCs w:val="24"/>
        </w:rPr>
        <w:t>La tasa de costo promedio de la cartera de depósitos, para los períodos reportados de 2015 y 2014 es de 2.3% y 2.0%, respectivamente.</w:t>
      </w:r>
    </w:p>
    <w:p w:rsidR="00322BA8" w:rsidRPr="00D00BAF" w:rsidRDefault="00322BA8" w:rsidP="00322BA8">
      <w:pPr>
        <w:tabs>
          <w:tab w:val="left" w:pos="-2160"/>
          <w:tab w:val="left" w:pos="-1980"/>
          <w:tab w:val="left" w:pos="709"/>
        </w:tabs>
        <w:jc w:val="both"/>
        <w:rPr>
          <w:sz w:val="24"/>
          <w:szCs w:val="24"/>
        </w:rPr>
      </w:pPr>
    </w:p>
    <w:p w:rsidR="00322BA8" w:rsidRPr="00D00BAF" w:rsidRDefault="00322BA8" w:rsidP="00322BA8">
      <w:pPr>
        <w:tabs>
          <w:tab w:val="left" w:pos="-2160"/>
          <w:tab w:val="left" w:pos="-1980"/>
          <w:tab w:val="left" w:pos="709"/>
        </w:tabs>
        <w:snapToGrid w:val="0"/>
        <w:jc w:val="both"/>
        <w:rPr>
          <w:sz w:val="24"/>
          <w:szCs w:val="24"/>
          <w:lang w:val="es-ES_tradnl"/>
        </w:rPr>
      </w:pPr>
      <w:r w:rsidRPr="00D00BAF">
        <w:rPr>
          <w:sz w:val="24"/>
          <w:szCs w:val="24"/>
          <w:lang w:val="es-ES_tradnl"/>
        </w:rPr>
        <w:t>La tasa de costo promedio de la cartera de depósitos es el porcentaje que resulta de dividir el rubro “Costos de captación de depósitos”, entre el saldo promedio de la cartera de depósitos.</w:t>
      </w:r>
    </w:p>
    <w:p w:rsidR="00322BA8" w:rsidRPr="00D00BAF" w:rsidRDefault="00322BA8" w:rsidP="00322BA8">
      <w:pPr>
        <w:tabs>
          <w:tab w:val="left" w:pos="-2160"/>
          <w:tab w:val="left" w:pos="-1980"/>
          <w:tab w:val="left" w:pos="709"/>
        </w:tabs>
        <w:snapToGrid w:val="0"/>
        <w:jc w:val="both"/>
        <w:rPr>
          <w:sz w:val="24"/>
          <w:szCs w:val="24"/>
          <w:lang w:val="es-ES_tradnl"/>
        </w:rPr>
      </w:pPr>
    </w:p>
    <w:p w:rsidR="002C2CCD" w:rsidRPr="00D00BAF" w:rsidRDefault="002C2CCD" w:rsidP="002C2CCD">
      <w:pPr>
        <w:tabs>
          <w:tab w:val="left" w:pos="-2160"/>
          <w:tab w:val="left" w:pos="-1980"/>
          <w:tab w:val="left" w:pos="709"/>
        </w:tabs>
        <w:snapToGrid w:val="0"/>
        <w:jc w:val="both"/>
        <w:rPr>
          <w:sz w:val="24"/>
          <w:szCs w:val="24"/>
          <w:lang w:val="es-ES_tradnl"/>
        </w:rPr>
      </w:pPr>
    </w:p>
    <w:p w:rsidR="00EC7AA4" w:rsidRPr="00D00BAF" w:rsidRDefault="00EC7AA4" w:rsidP="002C2CCD">
      <w:pPr>
        <w:tabs>
          <w:tab w:val="left" w:pos="-2160"/>
          <w:tab w:val="left" w:pos="-1980"/>
          <w:tab w:val="left" w:pos="709"/>
        </w:tabs>
        <w:snapToGrid w:val="0"/>
        <w:jc w:val="both"/>
        <w:rPr>
          <w:sz w:val="24"/>
          <w:szCs w:val="24"/>
          <w:lang w:val="es-ES_tradnl"/>
        </w:rPr>
      </w:pPr>
    </w:p>
    <w:p w:rsidR="000E0885" w:rsidRPr="00D00BAF"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rPr>
      </w:pPr>
      <w:r w:rsidRPr="00574CE0">
        <w:rPr>
          <w:rFonts w:ascii="Times New Roman" w:hAnsi="Times New Roman"/>
        </w:rPr>
        <w:t>PRÉSTAMOS DEL BANCO DE DESARROLLO DE EL SALVADOR (BANDESAL)</w:t>
      </w:r>
      <w:r w:rsidRPr="00D00BAF">
        <w:rPr>
          <w:rFonts w:ascii="Times New Roman" w:hAnsi="Times New Roman"/>
        </w:rPr>
        <w:t xml:space="preserve"> </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2"/>
        <w:tabs>
          <w:tab w:val="clear" w:pos="-2160"/>
          <w:tab w:val="clear" w:pos="-1980"/>
        </w:tabs>
        <w:rPr>
          <w:bCs/>
        </w:rPr>
      </w:pPr>
      <w:r w:rsidRPr="00D00BAF">
        <w:rPr>
          <w:bCs/>
        </w:rPr>
        <w:t>A la fecha de referencia de los Estados Financieros el Banco mantiene obligaciones con el Banco de Desarrollo de El Salvador, (BANDESAL) por</w:t>
      </w:r>
      <w:r w:rsidR="00543C82" w:rsidRPr="00D00BAF">
        <w:rPr>
          <w:bCs/>
        </w:rPr>
        <w:t xml:space="preserve"> $</w:t>
      </w:r>
      <w:r w:rsidR="0055420F" w:rsidRPr="00D00BAF">
        <w:rPr>
          <w:bCs/>
        </w:rPr>
        <w:t>26,688.3</w:t>
      </w:r>
      <w:r w:rsidRPr="00D00BAF">
        <w:rPr>
          <w:bCs/>
        </w:rPr>
        <w:t xml:space="preserve"> y </w:t>
      </w:r>
      <w:r w:rsidR="00543C82" w:rsidRPr="00D00BAF">
        <w:rPr>
          <w:bCs/>
        </w:rPr>
        <w:t>$</w:t>
      </w:r>
      <w:r w:rsidR="0055420F" w:rsidRPr="00D00BAF">
        <w:rPr>
          <w:bCs/>
        </w:rPr>
        <w:t>32,71</w:t>
      </w:r>
      <w:r w:rsidR="006E29D3" w:rsidRPr="00D00BAF">
        <w:rPr>
          <w:bCs/>
        </w:rPr>
        <w:t>0</w:t>
      </w:r>
      <w:r w:rsidR="0055420F" w:rsidRPr="00D00BAF">
        <w:rPr>
          <w:bCs/>
        </w:rPr>
        <w:t>.1</w:t>
      </w:r>
      <w:r w:rsidR="00EE4892" w:rsidRPr="00D00BAF">
        <w:rPr>
          <w:bCs/>
        </w:rPr>
        <w:t xml:space="preserve">, </w:t>
      </w:r>
      <w:r w:rsidR="00543C82" w:rsidRPr="00D00BAF">
        <w:rPr>
          <w:bCs/>
        </w:rPr>
        <w:t xml:space="preserve">para el </w:t>
      </w:r>
      <w:r w:rsidR="0055420F" w:rsidRPr="00D00BAF">
        <w:rPr>
          <w:bCs/>
        </w:rPr>
        <w:t>31/12/15</w:t>
      </w:r>
      <w:r w:rsidR="00543C82" w:rsidRPr="00D00BAF">
        <w:rPr>
          <w:bCs/>
        </w:rPr>
        <w:t xml:space="preserve"> y </w:t>
      </w:r>
      <w:r w:rsidR="0055420F" w:rsidRPr="00D00BAF">
        <w:rPr>
          <w:bCs/>
        </w:rPr>
        <w:t>31/12</w:t>
      </w:r>
      <w:r w:rsidR="005C653B" w:rsidRPr="00D00BAF">
        <w:rPr>
          <w:bCs/>
        </w:rPr>
        <w:t>/14</w:t>
      </w:r>
      <w:r w:rsidRPr="00D00BAF">
        <w:rPr>
          <w:bCs/>
        </w:rPr>
        <w:t xml:space="preserve"> respectivamente, montos que incluyen capital más intereses.</w:t>
      </w:r>
    </w:p>
    <w:p w:rsidR="000E0885" w:rsidRPr="00D00BAF" w:rsidRDefault="000E0885">
      <w:pPr>
        <w:pStyle w:val="Textoindependiente2"/>
        <w:tabs>
          <w:tab w:val="clear" w:pos="-2160"/>
          <w:tab w:val="clear" w:pos="-1980"/>
        </w:tabs>
        <w:rPr>
          <w:bCs/>
        </w:rPr>
      </w:pPr>
    </w:p>
    <w:p w:rsidR="000E0885" w:rsidRPr="00D00BAF" w:rsidRDefault="000E0885">
      <w:pPr>
        <w:pStyle w:val="Textoindependiente2"/>
        <w:tabs>
          <w:tab w:val="clear" w:pos="-2160"/>
          <w:tab w:val="clear" w:pos="-1980"/>
        </w:tabs>
        <w:rPr>
          <w:bCs/>
        </w:rPr>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 w:val="0"/>
        </w:rPr>
      </w:pPr>
      <w:r w:rsidRPr="00574CE0">
        <w:rPr>
          <w:rFonts w:ascii="Times New Roman" w:hAnsi="Times New Roman"/>
        </w:rPr>
        <w:t>PRÉSTAMOS DE OTROS BANCOS</w:t>
      </w:r>
      <w:r w:rsidRPr="00D00BAF">
        <w:rPr>
          <w:rFonts w:ascii="Times New Roman" w:hAnsi="Times New Roman"/>
        </w:rPr>
        <w:t xml:space="preserve"> </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2"/>
        <w:tabs>
          <w:tab w:val="clear" w:pos="-2160"/>
          <w:tab w:val="clear" w:pos="-1980"/>
        </w:tabs>
        <w:rPr>
          <w:bCs/>
        </w:rPr>
      </w:pPr>
      <w:r w:rsidRPr="00D00BAF">
        <w:rPr>
          <w:bCs/>
        </w:rPr>
        <w:t>Las obligaciones por préstamos con el Banco Centroamericano de Integración Económica (B</w:t>
      </w:r>
      <w:r w:rsidR="006D07ED" w:rsidRPr="00D00BAF">
        <w:rPr>
          <w:bCs/>
        </w:rPr>
        <w:t xml:space="preserve">CIE), al </w:t>
      </w:r>
      <w:r w:rsidR="0055420F" w:rsidRPr="00D00BAF">
        <w:rPr>
          <w:bCs/>
        </w:rPr>
        <w:t xml:space="preserve">31 de diciembre </w:t>
      </w:r>
      <w:r w:rsidR="00175FAA" w:rsidRPr="00D00BAF">
        <w:rPr>
          <w:bCs/>
        </w:rPr>
        <w:t>de 2015 y</w:t>
      </w:r>
      <w:r w:rsidR="00DE6050" w:rsidRPr="00D00BAF">
        <w:rPr>
          <w:bCs/>
        </w:rPr>
        <w:t xml:space="preserve"> 2014</w:t>
      </w:r>
      <w:r w:rsidRPr="00D00BAF">
        <w:rPr>
          <w:bCs/>
        </w:rPr>
        <w:t>, ascienden a</w:t>
      </w:r>
      <w:r w:rsidR="006D07ED" w:rsidRPr="00D00BAF">
        <w:rPr>
          <w:bCs/>
        </w:rPr>
        <w:t xml:space="preserve"> $</w:t>
      </w:r>
      <w:r w:rsidR="0055420F" w:rsidRPr="00D00BAF">
        <w:rPr>
          <w:bCs/>
        </w:rPr>
        <w:t>330.5</w:t>
      </w:r>
      <w:r w:rsidRPr="00D00BAF">
        <w:rPr>
          <w:bCs/>
        </w:rPr>
        <w:t xml:space="preserve"> y </w:t>
      </w:r>
      <w:r w:rsidR="006D07ED" w:rsidRPr="00D00BAF">
        <w:rPr>
          <w:bCs/>
        </w:rPr>
        <w:t>$</w:t>
      </w:r>
      <w:r w:rsidR="0055420F" w:rsidRPr="00D00BAF">
        <w:rPr>
          <w:bCs/>
        </w:rPr>
        <w:t>467.0</w:t>
      </w:r>
      <w:r w:rsidR="006D07ED" w:rsidRPr="00D00BAF">
        <w:rPr>
          <w:bCs/>
        </w:rPr>
        <w:t xml:space="preserve"> </w:t>
      </w:r>
      <w:r w:rsidRPr="00D00BAF">
        <w:rPr>
          <w:bCs/>
        </w:rPr>
        <w:t>respectivamente, montos que incluye capital más intereses.</w:t>
      </w:r>
    </w:p>
    <w:p w:rsidR="0055420F" w:rsidRPr="00D00BAF" w:rsidRDefault="0055420F" w:rsidP="004D1BE6">
      <w:pPr>
        <w:pStyle w:val="Textoindependiente"/>
        <w:tabs>
          <w:tab w:val="clear" w:pos="720"/>
          <w:tab w:val="clear" w:pos="1296"/>
          <w:tab w:val="clear" w:pos="2016"/>
          <w:tab w:val="left" w:pos="-2160"/>
          <w:tab w:val="left" w:pos="-1980"/>
        </w:tabs>
        <w:ind w:left="511"/>
        <w:jc w:val="both"/>
        <w:rPr>
          <w:rFonts w:ascii="Times New Roman" w:hAnsi="Times New Roman"/>
        </w:rPr>
      </w:pPr>
    </w:p>
    <w:p w:rsidR="004D1BE6" w:rsidRPr="00D00BAF" w:rsidRDefault="004D1BE6" w:rsidP="004D1BE6">
      <w:pPr>
        <w:pStyle w:val="Textoindependiente"/>
        <w:tabs>
          <w:tab w:val="clear" w:pos="720"/>
          <w:tab w:val="clear" w:pos="1296"/>
          <w:tab w:val="clear" w:pos="2016"/>
          <w:tab w:val="left" w:pos="-2160"/>
          <w:tab w:val="left" w:pos="-1980"/>
        </w:tabs>
        <w:ind w:left="511"/>
        <w:jc w:val="both"/>
        <w:rPr>
          <w:rFonts w:ascii="Times New Roman" w:hAnsi="Times New Roman"/>
        </w:rPr>
      </w:pPr>
    </w:p>
    <w:p w:rsidR="0055420F" w:rsidRPr="00D00BAF" w:rsidRDefault="00DB74EA" w:rsidP="004D1BE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Pr>
          <w:rFonts w:ascii="Times New Roman" w:hAnsi="Times New Roman"/>
        </w:rPr>
        <w:t xml:space="preserve"> </w:t>
      </w:r>
      <w:r w:rsidR="0055420F" w:rsidRPr="00D00BAF">
        <w:rPr>
          <w:rFonts w:ascii="Times New Roman" w:hAnsi="Times New Roman"/>
        </w:rPr>
        <w:t>RESERVA LEGAL</w:t>
      </w:r>
    </w:p>
    <w:p w:rsidR="0055420F" w:rsidRPr="00D00BAF" w:rsidRDefault="0055420F" w:rsidP="0055420F"/>
    <w:p w:rsidR="0055420F" w:rsidRPr="00D00BAF" w:rsidRDefault="0055420F" w:rsidP="0055420F">
      <w:pPr>
        <w:jc w:val="both"/>
        <w:rPr>
          <w:sz w:val="24"/>
          <w:szCs w:val="24"/>
          <w:lang w:val="es-SV"/>
        </w:rPr>
      </w:pPr>
      <w:r w:rsidRPr="00D00BAF">
        <w:rPr>
          <w:sz w:val="24"/>
          <w:szCs w:val="24"/>
          <w:lang w:val="es-SV"/>
        </w:rPr>
        <w:t>Con base al artículo 39 de la Ley de Bancos, el Banco debe separar de sus utilidades anuales el diez por ciento (10%) hasta alcanzar una suma igual al veinticinco por ciento (25%) del capital social pagado; el capital social es de y $19,057.5 para el</w:t>
      </w:r>
      <w:r w:rsidRPr="00D00BAF">
        <w:t xml:space="preserve"> </w:t>
      </w:r>
      <w:r w:rsidRPr="00D00BAF">
        <w:rPr>
          <w:sz w:val="24"/>
          <w:szCs w:val="24"/>
          <w:lang w:val="es-SV"/>
        </w:rPr>
        <w:t>31/12/15 y  31/12/14 y la reserva legal es $1,945.0 y $1,908.8, que representa el 10.0%, para ambos años.</w:t>
      </w:r>
    </w:p>
    <w:p w:rsidR="004D1BE6" w:rsidRPr="00D00BAF" w:rsidRDefault="004D1BE6" w:rsidP="0055420F">
      <w:pPr>
        <w:jc w:val="both"/>
        <w:rPr>
          <w:sz w:val="24"/>
          <w:szCs w:val="24"/>
          <w:lang w:val="es-SV"/>
        </w:rPr>
      </w:pPr>
    </w:p>
    <w:p w:rsidR="004D1BE6" w:rsidRPr="00D00BAF" w:rsidRDefault="004D1BE6" w:rsidP="004D1BE6">
      <w:pPr>
        <w:pStyle w:val="Textoindependiente"/>
        <w:tabs>
          <w:tab w:val="clear" w:pos="720"/>
          <w:tab w:val="clear" w:pos="1296"/>
          <w:tab w:val="clear" w:pos="2016"/>
          <w:tab w:val="left" w:pos="-2160"/>
          <w:tab w:val="left" w:pos="-1980"/>
        </w:tabs>
        <w:ind w:left="511"/>
        <w:jc w:val="both"/>
        <w:rPr>
          <w:rFonts w:ascii="Times New Roman" w:hAnsi="Times New Roman"/>
        </w:rPr>
      </w:pPr>
    </w:p>
    <w:p w:rsidR="004D1BE6" w:rsidRPr="00D00BAF" w:rsidRDefault="00DB74EA" w:rsidP="004D1BE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Pr>
          <w:rFonts w:ascii="Times New Roman" w:hAnsi="Times New Roman"/>
        </w:rPr>
        <w:t xml:space="preserve"> </w:t>
      </w:r>
      <w:bookmarkStart w:id="395" w:name="_GoBack"/>
      <w:bookmarkEnd w:id="395"/>
      <w:r w:rsidR="004D1BE6" w:rsidRPr="00574CE0">
        <w:rPr>
          <w:rFonts w:ascii="Times New Roman" w:hAnsi="Times New Roman"/>
        </w:rPr>
        <w:t>IMPUESTO SOBRE LA RENTA</w:t>
      </w:r>
    </w:p>
    <w:p w:rsidR="004D1BE6" w:rsidRPr="00D00BAF" w:rsidRDefault="004D1BE6" w:rsidP="0055420F">
      <w:pPr>
        <w:jc w:val="both"/>
        <w:rPr>
          <w:sz w:val="24"/>
          <w:szCs w:val="24"/>
          <w:lang w:val="es-SV"/>
        </w:rPr>
      </w:pPr>
    </w:p>
    <w:p w:rsidR="004D1BE6" w:rsidRPr="00D00BAF" w:rsidRDefault="004D1BE6" w:rsidP="004D1BE6">
      <w:pPr>
        <w:jc w:val="both"/>
        <w:rPr>
          <w:rFonts w:ascii="Calibri" w:eastAsia="Arial Unicode MS" w:hAnsi="Calibri" w:cs="Arial Unicode MS"/>
          <w:sz w:val="24"/>
          <w:szCs w:val="22"/>
          <w:lang w:val="es-SV" w:eastAsia="en-US"/>
        </w:rPr>
      </w:pPr>
      <w:r w:rsidRPr="00D00BAF">
        <w:rPr>
          <w:sz w:val="24"/>
          <w:lang w:val="es-SV"/>
        </w:rPr>
        <w:t>Las entidades constituidas en El Salvador pagan impuesto sobre la renta por los ingresos obtenidos en el país, conforme a la Ley del Impuesto Sobre la Renta, contenida en el Decreto Legislativo No. 134 de fecha 18 de diciembre de 1991, en vigencia desde el día 1 de enero de 1992.</w:t>
      </w:r>
    </w:p>
    <w:p w:rsidR="004D1BE6" w:rsidRPr="00D00BAF" w:rsidRDefault="004D1BE6" w:rsidP="004D1BE6">
      <w:pPr>
        <w:rPr>
          <w:sz w:val="24"/>
          <w:lang w:val="es-SV"/>
        </w:rPr>
      </w:pPr>
    </w:p>
    <w:p w:rsidR="004D1BE6" w:rsidRPr="00D00BAF" w:rsidRDefault="004D1BE6" w:rsidP="004D1BE6">
      <w:pPr>
        <w:tabs>
          <w:tab w:val="left" w:pos="-2160"/>
          <w:tab w:val="left" w:pos="-1980"/>
          <w:tab w:val="left" w:pos="709"/>
        </w:tabs>
        <w:snapToGrid w:val="0"/>
        <w:jc w:val="both"/>
        <w:rPr>
          <w:sz w:val="24"/>
          <w:lang w:val="es-SV"/>
        </w:rPr>
      </w:pPr>
      <w:r w:rsidRPr="00D00BAF">
        <w:rPr>
          <w:sz w:val="24"/>
          <w:lang w:val="es-SV"/>
        </w:rPr>
        <w:t>Al 31 de diciembre de 2015, se provisionó para el pago del Impuesto sobre la Renta $2.4 y $643.4, para el 31 de diciembre de 2014.</w:t>
      </w:r>
    </w:p>
    <w:p w:rsidR="004D1BE6" w:rsidRPr="00D00BAF" w:rsidRDefault="004D1BE6" w:rsidP="004D1BE6">
      <w:pPr>
        <w:tabs>
          <w:tab w:val="left" w:pos="-2160"/>
          <w:tab w:val="left" w:pos="-1980"/>
          <w:tab w:val="left" w:pos="709"/>
        </w:tabs>
        <w:snapToGrid w:val="0"/>
        <w:jc w:val="both"/>
        <w:rPr>
          <w:sz w:val="24"/>
          <w:lang w:val="es-SV"/>
        </w:rPr>
      </w:pPr>
    </w:p>
    <w:p w:rsidR="004D1BE6" w:rsidRPr="00D00BAF" w:rsidRDefault="004D1BE6" w:rsidP="004D1BE6">
      <w:pPr>
        <w:tabs>
          <w:tab w:val="left" w:pos="-2160"/>
          <w:tab w:val="left" w:pos="-1980"/>
          <w:tab w:val="left" w:pos="709"/>
        </w:tabs>
        <w:snapToGrid w:val="0"/>
        <w:jc w:val="both"/>
        <w:rPr>
          <w:sz w:val="24"/>
          <w:szCs w:val="24"/>
          <w:lang w:val="es-ES_tradnl"/>
        </w:rPr>
      </w:pPr>
      <w:r w:rsidRPr="00D00BAF">
        <w:rPr>
          <w:sz w:val="24"/>
          <w:szCs w:val="24"/>
          <w:lang w:val="es-ES_tradnl"/>
        </w:rPr>
        <w:t>El Banco no calcula Impuesto sobre la Renta diferido.</w:t>
      </w:r>
    </w:p>
    <w:p w:rsidR="0055420F" w:rsidRPr="00D00BAF" w:rsidRDefault="0055420F">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4D1BE6" w:rsidRPr="00D00BAF" w:rsidRDefault="004D1BE6">
      <w:pPr>
        <w:pStyle w:val="Textoindependiente2"/>
        <w:tabs>
          <w:tab w:val="clear" w:pos="-2160"/>
          <w:tab w:val="clear" w:pos="-1980"/>
        </w:tabs>
        <w:rPr>
          <w:bCs/>
          <w:lang w:val="es-ES_tradnl"/>
        </w:rPr>
      </w:pPr>
    </w:p>
    <w:p w:rsidR="000E0885" w:rsidRPr="00D00BAF"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lastRenderedPageBreak/>
        <w:t xml:space="preserve">  </w:t>
      </w:r>
      <w:r w:rsidR="000E0885" w:rsidRPr="00574CE0">
        <w:rPr>
          <w:rFonts w:ascii="Times New Roman" w:hAnsi="Times New Roman"/>
        </w:rPr>
        <w:t>GASTOS DE OPERACIÓN</w:t>
      </w:r>
    </w:p>
    <w:p w:rsidR="000E0885" w:rsidRPr="00D00BAF" w:rsidRDefault="000E0885" w:rsidP="00226AB1"/>
    <w:p w:rsidR="004D1BE6" w:rsidRPr="00D00BAF" w:rsidRDefault="004D1BE6" w:rsidP="004D1BE6">
      <w:bookmarkStart w:id="396" w:name="_MON_1387784843"/>
      <w:bookmarkStart w:id="397" w:name="_MON_1387784858"/>
      <w:bookmarkStart w:id="398" w:name="_MON_1395472976"/>
      <w:bookmarkStart w:id="399" w:name="_MON_1402828359"/>
      <w:bookmarkStart w:id="400" w:name="_MON_1402828429"/>
      <w:bookmarkStart w:id="401" w:name="_MON_1402828463"/>
      <w:bookmarkStart w:id="402" w:name="_MON_1402983265"/>
      <w:bookmarkStart w:id="403" w:name="_MON_1434529683"/>
      <w:bookmarkStart w:id="404" w:name="_MON_1442391623"/>
      <w:bookmarkStart w:id="405" w:name="_MON_1442392848"/>
      <w:bookmarkStart w:id="406" w:name="_MON_1442392892"/>
      <w:bookmarkStart w:id="407" w:name="_MON_1451293090"/>
      <w:bookmarkStart w:id="408" w:name="_MON_1451474805"/>
      <w:bookmarkStart w:id="409" w:name="_MON_1459768714"/>
      <w:bookmarkStart w:id="410" w:name="_MON_1387784573"/>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bookmarkStart w:id="411" w:name="_MON_1458373079"/>
    <w:bookmarkStart w:id="412" w:name="_MON_1387784824"/>
    <w:bookmarkStart w:id="413" w:name="_MON_1395493886"/>
    <w:bookmarkStart w:id="414" w:name="_MON_1434782624"/>
    <w:bookmarkStart w:id="415" w:name="_MON_1442738123"/>
    <w:bookmarkEnd w:id="411"/>
    <w:bookmarkEnd w:id="412"/>
    <w:bookmarkEnd w:id="413"/>
    <w:bookmarkEnd w:id="414"/>
    <w:bookmarkEnd w:id="415"/>
    <w:bookmarkStart w:id="416" w:name="_MON_1458368219"/>
    <w:bookmarkEnd w:id="416"/>
    <w:p w:rsidR="004D1BE6" w:rsidRPr="00D00BAF" w:rsidRDefault="004D1BE6" w:rsidP="004D1BE6">
      <w:pPr>
        <w:rPr>
          <w:b/>
          <w:bCs/>
          <w:sz w:val="24"/>
          <w:shd w:val="clear" w:color="auto" w:fill="99CC00"/>
        </w:rPr>
      </w:pPr>
      <w:r w:rsidRPr="00D00BAF">
        <w:object w:dxaOrig="7889" w:dyaOrig="3073">
          <v:shape id="_x0000_i1032" type="#_x0000_t75" style="width:439.15pt;height:179.65pt" o:ole="" fillcolor="window">
            <v:imagedata r:id="rId23" o:title=""/>
          </v:shape>
          <o:OLEObject Type="Embed" ProgID="Excel.Sheet.8" ShapeID="_x0000_i1032" DrawAspect="Content" ObjectID="_1518274672" r:id="rId24"/>
        </w:object>
      </w:r>
    </w:p>
    <w:p w:rsidR="005F1846" w:rsidRPr="00D00BAF" w:rsidRDefault="005F1846" w:rsidP="005972EB"/>
    <w:p w:rsidR="00BA1854" w:rsidRPr="00D00BAF" w:rsidRDefault="00BA1854" w:rsidP="005F1846"/>
    <w:p w:rsidR="000E0885" w:rsidRPr="00D00BAF"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 xml:space="preserve">  </w:t>
      </w:r>
      <w:r w:rsidR="000E0885" w:rsidRPr="00574CE0">
        <w:rPr>
          <w:rFonts w:ascii="Times New Roman" w:hAnsi="Times New Roman"/>
        </w:rPr>
        <w:t>FIDEICOMISOS</w:t>
      </w:r>
    </w:p>
    <w:p w:rsidR="00870A76" w:rsidRPr="00D00BAF" w:rsidRDefault="00870A76" w:rsidP="00870A76">
      <w:pPr>
        <w:tabs>
          <w:tab w:val="left" w:pos="-2160"/>
          <w:tab w:val="left" w:pos="-1980"/>
          <w:tab w:val="left" w:pos="709"/>
        </w:tabs>
        <w:snapToGrid w:val="0"/>
        <w:jc w:val="both"/>
        <w:rPr>
          <w:b/>
          <w:sz w:val="24"/>
        </w:rPr>
      </w:pPr>
    </w:p>
    <w:p w:rsidR="00870A76" w:rsidRPr="00D00BAF" w:rsidRDefault="00870A76" w:rsidP="00870A76">
      <w:pPr>
        <w:tabs>
          <w:tab w:val="left" w:pos="4678"/>
          <w:tab w:val="left" w:pos="6663"/>
        </w:tabs>
        <w:snapToGrid w:val="0"/>
        <w:jc w:val="both"/>
        <w:rPr>
          <w:sz w:val="24"/>
        </w:rPr>
      </w:pPr>
      <w:bookmarkStart w:id="417" w:name="_MON_1435393127"/>
      <w:bookmarkStart w:id="418" w:name="_MON_1327407214"/>
      <w:bookmarkStart w:id="419" w:name="_MON_1332914381"/>
      <w:bookmarkEnd w:id="417"/>
      <w:bookmarkEnd w:id="418"/>
      <w:bookmarkEnd w:id="419"/>
      <w:r w:rsidRPr="00D00BAF">
        <w:rPr>
          <w:sz w:val="24"/>
        </w:rPr>
        <w:t xml:space="preserve">Al 31 de diciembre de 2015 y 2014, el Banco no tenía Fideicomisos puros y el detalle que se presenta corresponde a fondos en administración. </w:t>
      </w:r>
    </w:p>
    <w:p w:rsidR="00870A76" w:rsidRPr="00D00BAF" w:rsidRDefault="00870A76" w:rsidP="00870A76">
      <w:pPr>
        <w:tabs>
          <w:tab w:val="left" w:pos="-2160"/>
          <w:tab w:val="left" w:pos="-1980"/>
          <w:tab w:val="left" w:pos="709"/>
        </w:tabs>
        <w:snapToGrid w:val="0"/>
        <w:jc w:val="both"/>
        <w:rPr>
          <w:sz w:val="24"/>
        </w:rPr>
      </w:pPr>
    </w:p>
    <w:bookmarkStart w:id="420" w:name="_MON_1427287048"/>
    <w:bookmarkEnd w:id="420"/>
    <w:bookmarkStart w:id="421" w:name="_MON_1442921240"/>
    <w:bookmarkEnd w:id="421"/>
    <w:p w:rsidR="00870A76" w:rsidRPr="00D00BAF" w:rsidRDefault="00D15197" w:rsidP="00870A76">
      <w:pPr>
        <w:tabs>
          <w:tab w:val="left" w:pos="-2160"/>
          <w:tab w:val="left" w:pos="-1980"/>
          <w:tab w:val="left" w:pos="709"/>
        </w:tabs>
        <w:snapToGrid w:val="0"/>
        <w:jc w:val="both"/>
      </w:pPr>
      <w:r w:rsidRPr="00D00BAF">
        <w:object w:dxaOrig="8438" w:dyaOrig="3306">
          <v:shape id="_x0000_i1033" type="#_x0000_t75" style="width:439.85pt;height:158.25pt" o:ole="" fillcolor="window">
            <v:imagedata r:id="rId25" o:title=""/>
          </v:shape>
          <o:OLEObject Type="Embed" ProgID="Excel.Sheet.8" ShapeID="_x0000_i1033" DrawAspect="Content" ObjectID="_1518274673" r:id="rId26"/>
        </w:object>
      </w:r>
    </w:p>
    <w:p w:rsidR="00870A76" w:rsidRPr="00D00BAF" w:rsidRDefault="00870A76" w:rsidP="00870A76">
      <w:pPr>
        <w:tabs>
          <w:tab w:val="left" w:pos="-2160"/>
          <w:tab w:val="left" w:pos="-1980"/>
          <w:tab w:val="left" w:pos="709"/>
        </w:tabs>
        <w:jc w:val="both"/>
        <w:rPr>
          <w:snapToGrid w:val="0"/>
          <w:sz w:val="24"/>
        </w:rPr>
      </w:pPr>
    </w:p>
    <w:p w:rsidR="00870A76" w:rsidRPr="00D00BAF" w:rsidRDefault="00870A76" w:rsidP="00870A76">
      <w:pPr>
        <w:tabs>
          <w:tab w:val="left" w:pos="-2160"/>
          <w:tab w:val="left" w:pos="-1980"/>
          <w:tab w:val="left" w:pos="709"/>
        </w:tabs>
        <w:jc w:val="both"/>
        <w:rPr>
          <w:snapToGrid w:val="0"/>
          <w:sz w:val="24"/>
        </w:rPr>
      </w:pPr>
      <w:r w:rsidRPr="00D00BAF">
        <w:rPr>
          <w:snapToGrid w:val="0"/>
          <w:sz w:val="24"/>
        </w:rPr>
        <w:t xml:space="preserve">Los resultados de los programas anteriores, responden a las políticas de gestión, emanadas por sus propietarios. </w:t>
      </w:r>
    </w:p>
    <w:p w:rsidR="00870A76" w:rsidRPr="00D00BAF" w:rsidRDefault="00870A76" w:rsidP="00870A76">
      <w:pPr>
        <w:tabs>
          <w:tab w:val="left" w:pos="-2160"/>
          <w:tab w:val="left" w:pos="-1980"/>
          <w:tab w:val="left" w:pos="709"/>
        </w:tabs>
        <w:jc w:val="both"/>
        <w:rPr>
          <w:snapToGrid w:val="0"/>
          <w:sz w:val="24"/>
        </w:rPr>
      </w:pPr>
    </w:p>
    <w:p w:rsidR="00870A76" w:rsidRPr="00D00BAF" w:rsidRDefault="00870A76" w:rsidP="00870A76">
      <w:pPr>
        <w:jc w:val="both"/>
      </w:pPr>
      <w:r w:rsidRPr="00D00BAF">
        <w:rPr>
          <w:snapToGrid w:val="0"/>
          <w:sz w:val="24"/>
        </w:rPr>
        <w:t>De común acuerdo, el Contrato de Administración de Cartera de Créditos suscrito entre el Banco de Desarrollo de El Salvador y Banco de Fomento Agropecuario se finalizó el 9 de junio de 2015.</w:t>
      </w:r>
    </w:p>
    <w:p w:rsidR="00870A76" w:rsidRPr="00D00BAF" w:rsidRDefault="00870A76" w:rsidP="00870A76">
      <w:pPr>
        <w:jc w:val="both"/>
      </w:pPr>
    </w:p>
    <w:p w:rsidR="00636A32" w:rsidRPr="00D00BAF" w:rsidRDefault="00636A32" w:rsidP="002109AF">
      <w:pPr>
        <w:pStyle w:val="Sangra2detindependiente"/>
        <w:tabs>
          <w:tab w:val="left" w:pos="709"/>
        </w:tabs>
        <w:ind w:left="0"/>
        <w:rPr>
          <w:lang w:val="es-ES"/>
        </w:rPr>
      </w:pPr>
    </w:p>
    <w:p w:rsidR="008E23A0" w:rsidRDefault="008E23A0" w:rsidP="002109AF">
      <w:pPr>
        <w:pStyle w:val="Sangra2detindependiente"/>
        <w:tabs>
          <w:tab w:val="left" w:pos="709"/>
        </w:tabs>
        <w:ind w:left="0"/>
        <w:rPr>
          <w:lang w:val="es-ES"/>
        </w:rPr>
      </w:pPr>
    </w:p>
    <w:p w:rsidR="00A70648" w:rsidRDefault="00A70648" w:rsidP="002109AF">
      <w:pPr>
        <w:pStyle w:val="Sangra2detindependiente"/>
        <w:tabs>
          <w:tab w:val="left" w:pos="709"/>
        </w:tabs>
        <w:ind w:left="0"/>
        <w:rPr>
          <w:lang w:val="es-ES"/>
        </w:rPr>
      </w:pPr>
    </w:p>
    <w:p w:rsidR="00A70648" w:rsidRDefault="00A70648" w:rsidP="002109AF">
      <w:pPr>
        <w:pStyle w:val="Sangra2detindependiente"/>
        <w:tabs>
          <w:tab w:val="left" w:pos="709"/>
        </w:tabs>
        <w:ind w:left="0"/>
        <w:rPr>
          <w:lang w:val="es-ES"/>
        </w:rPr>
      </w:pPr>
    </w:p>
    <w:p w:rsidR="00A70648" w:rsidRPr="00D00BAF" w:rsidRDefault="00A70648" w:rsidP="002109AF">
      <w:pPr>
        <w:pStyle w:val="Sangra2detindependiente"/>
        <w:tabs>
          <w:tab w:val="left" w:pos="709"/>
        </w:tabs>
        <w:ind w:left="0"/>
        <w:rPr>
          <w:lang w:val="es-ES"/>
        </w:rPr>
      </w:pPr>
    </w:p>
    <w:p w:rsidR="000E0885" w:rsidRPr="00574CE0" w:rsidRDefault="001366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D00BAF">
        <w:rPr>
          <w:rFonts w:ascii="Times New Roman" w:hAnsi="Times New Roman"/>
          <w:bCs/>
        </w:rPr>
        <w:lastRenderedPageBreak/>
        <w:t xml:space="preserve"> </w:t>
      </w:r>
      <w:r w:rsidR="007E6530" w:rsidRPr="00D00BAF">
        <w:rPr>
          <w:rFonts w:ascii="Times New Roman" w:hAnsi="Times New Roman"/>
          <w:bCs/>
        </w:rPr>
        <w:t xml:space="preserve"> </w:t>
      </w:r>
      <w:r w:rsidR="000E0885" w:rsidRPr="00574CE0">
        <w:rPr>
          <w:rFonts w:ascii="Times New Roman" w:hAnsi="Times New Roman"/>
          <w:bCs/>
        </w:rPr>
        <w:t>INDICADORES RELATIVOS A LA CARGA DE RECURSO HUMANO</w:t>
      </w:r>
    </w:p>
    <w:p w:rsidR="00E927E6" w:rsidRPr="00D00BAF" w:rsidRDefault="00E927E6" w:rsidP="00E927E6">
      <w:pPr>
        <w:pStyle w:val="Sangra2detindependiente"/>
        <w:tabs>
          <w:tab w:val="clear" w:pos="-2160"/>
          <w:tab w:val="clear" w:pos="-1980"/>
        </w:tabs>
        <w:ind w:left="0"/>
        <w:rPr>
          <w:lang w:val="es-ES"/>
        </w:rPr>
      </w:pPr>
    </w:p>
    <w:p w:rsidR="00870A76" w:rsidRPr="00D00BAF" w:rsidRDefault="00870A76" w:rsidP="00870A76">
      <w:pPr>
        <w:snapToGrid w:val="0"/>
        <w:jc w:val="both"/>
        <w:rPr>
          <w:sz w:val="24"/>
        </w:rPr>
      </w:pPr>
      <w:r w:rsidRPr="00D00BAF">
        <w:rPr>
          <w:sz w:val="24"/>
        </w:rPr>
        <w:t>Durante los períodos reportados el Banco ha mantenido un promedio de 992 y 913 empleados, respectivamente.</w:t>
      </w:r>
    </w:p>
    <w:p w:rsidR="00870A76" w:rsidRPr="00D00BAF" w:rsidRDefault="00870A76" w:rsidP="00870A76">
      <w:pPr>
        <w:snapToGrid w:val="0"/>
        <w:jc w:val="both"/>
        <w:rPr>
          <w:sz w:val="24"/>
        </w:rPr>
      </w:pPr>
    </w:p>
    <w:p w:rsidR="00870A76" w:rsidRPr="00D00BAF" w:rsidRDefault="00870A76" w:rsidP="00870A76">
      <w:pPr>
        <w:snapToGrid w:val="0"/>
        <w:jc w:val="both"/>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870A76" w:rsidRPr="00D00BAF" w:rsidTr="004F64BF">
        <w:trPr>
          <w:trHeight w:val="387"/>
        </w:trPr>
        <w:tc>
          <w:tcPr>
            <w:tcW w:w="931" w:type="dxa"/>
          </w:tcPr>
          <w:p w:rsidR="00870A76" w:rsidRPr="00D00BAF" w:rsidRDefault="00870A76" w:rsidP="00870A76">
            <w:pPr>
              <w:jc w:val="center"/>
              <w:rPr>
                <w:b/>
              </w:rPr>
            </w:pPr>
          </w:p>
          <w:p w:rsidR="00870A76" w:rsidRPr="00D00BAF" w:rsidRDefault="00870A76" w:rsidP="00870A76">
            <w:pPr>
              <w:keepNext/>
              <w:jc w:val="center"/>
              <w:outlineLvl w:val="7"/>
              <w:rPr>
                <w:b/>
              </w:rPr>
            </w:pPr>
            <w:r w:rsidRPr="00D00BAF">
              <w:rPr>
                <w:b/>
              </w:rPr>
              <w:t>AÑO</w:t>
            </w:r>
          </w:p>
        </w:tc>
        <w:tc>
          <w:tcPr>
            <w:tcW w:w="1863" w:type="dxa"/>
          </w:tcPr>
          <w:p w:rsidR="00870A76" w:rsidRPr="00D00BAF" w:rsidRDefault="00870A76" w:rsidP="00870A76">
            <w:pPr>
              <w:snapToGrid w:val="0"/>
              <w:jc w:val="center"/>
              <w:rPr>
                <w:b/>
              </w:rPr>
            </w:pPr>
            <w:r w:rsidRPr="00D00BAF">
              <w:rPr>
                <w:b/>
              </w:rPr>
              <w:t>PROMEDIO</w:t>
            </w:r>
          </w:p>
          <w:p w:rsidR="00870A76" w:rsidRPr="00D00BAF" w:rsidRDefault="00870A76" w:rsidP="00870A76">
            <w:pPr>
              <w:snapToGrid w:val="0"/>
              <w:jc w:val="center"/>
              <w:rPr>
                <w:b/>
              </w:rPr>
            </w:pPr>
            <w:r w:rsidRPr="00D00BAF">
              <w:rPr>
                <w:b/>
              </w:rPr>
              <w:t>EMPLEADOS</w:t>
            </w:r>
          </w:p>
        </w:tc>
        <w:tc>
          <w:tcPr>
            <w:tcW w:w="2328" w:type="dxa"/>
          </w:tcPr>
          <w:p w:rsidR="00870A76" w:rsidRPr="00D00BAF" w:rsidRDefault="00870A76" w:rsidP="00870A76">
            <w:pPr>
              <w:snapToGrid w:val="0"/>
              <w:jc w:val="center"/>
              <w:rPr>
                <w:b/>
              </w:rPr>
            </w:pPr>
            <w:r w:rsidRPr="00D00BAF">
              <w:rPr>
                <w:b/>
              </w:rPr>
              <w:t>% EMPLEADOS</w:t>
            </w:r>
          </w:p>
          <w:p w:rsidR="00870A76" w:rsidRPr="00D00BAF" w:rsidRDefault="00870A76" w:rsidP="00870A76">
            <w:pPr>
              <w:snapToGrid w:val="0"/>
              <w:jc w:val="center"/>
              <w:rPr>
                <w:b/>
              </w:rPr>
            </w:pPr>
            <w:r w:rsidRPr="00D00BAF">
              <w:rPr>
                <w:b/>
              </w:rPr>
              <w:t>NEGOCIOS FINANC.</w:t>
            </w:r>
          </w:p>
        </w:tc>
        <w:tc>
          <w:tcPr>
            <w:tcW w:w="2329" w:type="dxa"/>
          </w:tcPr>
          <w:p w:rsidR="00870A76" w:rsidRPr="00D00BAF" w:rsidRDefault="00870A76" w:rsidP="00870A76">
            <w:pPr>
              <w:snapToGrid w:val="0"/>
              <w:jc w:val="center"/>
              <w:rPr>
                <w:b/>
              </w:rPr>
            </w:pPr>
            <w:r w:rsidRPr="00D00BAF">
              <w:rPr>
                <w:b/>
              </w:rPr>
              <w:t>% EMPLEADOS</w:t>
            </w:r>
          </w:p>
          <w:p w:rsidR="00870A76" w:rsidRPr="00D00BAF" w:rsidRDefault="00870A76" w:rsidP="00870A76">
            <w:pPr>
              <w:snapToGrid w:val="0"/>
              <w:jc w:val="center"/>
              <w:rPr>
                <w:b/>
              </w:rPr>
            </w:pPr>
            <w:r w:rsidRPr="00D00BAF">
              <w:rPr>
                <w:b/>
              </w:rPr>
              <w:t>DE APOYO</w:t>
            </w:r>
          </w:p>
        </w:tc>
      </w:tr>
      <w:tr w:rsidR="00870A76" w:rsidRPr="00D00BAF" w:rsidTr="004F64BF">
        <w:trPr>
          <w:trHeight w:val="217"/>
        </w:trPr>
        <w:tc>
          <w:tcPr>
            <w:tcW w:w="931" w:type="dxa"/>
          </w:tcPr>
          <w:p w:rsidR="00870A76" w:rsidRPr="00D00BAF" w:rsidRDefault="00870A76" w:rsidP="00870A76">
            <w:pPr>
              <w:snapToGrid w:val="0"/>
              <w:jc w:val="center"/>
              <w:rPr>
                <w:b/>
                <w:bCs/>
              </w:rPr>
            </w:pPr>
            <w:r w:rsidRPr="00D00BAF">
              <w:rPr>
                <w:b/>
                <w:bCs/>
              </w:rPr>
              <w:t>2015</w:t>
            </w:r>
          </w:p>
        </w:tc>
        <w:tc>
          <w:tcPr>
            <w:tcW w:w="1863" w:type="dxa"/>
          </w:tcPr>
          <w:p w:rsidR="00870A76" w:rsidRPr="00D00BAF" w:rsidRDefault="00870A76" w:rsidP="00870A76">
            <w:pPr>
              <w:tabs>
                <w:tab w:val="left" w:pos="420"/>
                <w:tab w:val="center" w:pos="639"/>
              </w:tabs>
              <w:snapToGrid w:val="0"/>
              <w:jc w:val="center"/>
            </w:pPr>
            <w:r w:rsidRPr="00D00BAF">
              <w:t>992</w:t>
            </w:r>
          </w:p>
        </w:tc>
        <w:tc>
          <w:tcPr>
            <w:tcW w:w="2328" w:type="dxa"/>
          </w:tcPr>
          <w:p w:rsidR="00870A76" w:rsidRPr="00D00BAF" w:rsidRDefault="00870A76" w:rsidP="00870A76">
            <w:pPr>
              <w:snapToGrid w:val="0"/>
              <w:jc w:val="center"/>
            </w:pPr>
            <w:r w:rsidRPr="00D00BAF">
              <w:t>78.2</w:t>
            </w:r>
          </w:p>
        </w:tc>
        <w:tc>
          <w:tcPr>
            <w:tcW w:w="2329" w:type="dxa"/>
          </w:tcPr>
          <w:p w:rsidR="00870A76" w:rsidRPr="00D00BAF" w:rsidRDefault="00870A76" w:rsidP="00870A76">
            <w:pPr>
              <w:snapToGrid w:val="0"/>
              <w:jc w:val="center"/>
            </w:pPr>
            <w:r w:rsidRPr="00D00BAF">
              <w:t>21.8</w:t>
            </w:r>
          </w:p>
        </w:tc>
      </w:tr>
      <w:tr w:rsidR="00870A76" w:rsidRPr="00D00BAF" w:rsidTr="004F64BF">
        <w:trPr>
          <w:trHeight w:val="230"/>
        </w:trPr>
        <w:tc>
          <w:tcPr>
            <w:tcW w:w="931" w:type="dxa"/>
          </w:tcPr>
          <w:p w:rsidR="00870A76" w:rsidRPr="00D00BAF" w:rsidRDefault="00870A76" w:rsidP="00870A76">
            <w:pPr>
              <w:snapToGrid w:val="0"/>
              <w:jc w:val="center"/>
              <w:rPr>
                <w:b/>
                <w:bCs/>
              </w:rPr>
            </w:pPr>
            <w:r w:rsidRPr="00D00BAF">
              <w:rPr>
                <w:b/>
                <w:bCs/>
              </w:rPr>
              <w:t>2014</w:t>
            </w:r>
          </w:p>
        </w:tc>
        <w:tc>
          <w:tcPr>
            <w:tcW w:w="1863" w:type="dxa"/>
          </w:tcPr>
          <w:p w:rsidR="00870A76" w:rsidRPr="00D00BAF" w:rsidRDefault="00870A76" w:rsidP="00870A76">
            <w:pPr>
              <w:snapToGrid w:val="0"/>
              <w:jc w:val="center"/>
            </w:pPr>
            <w:r w:rsidRPr="00D00BAF">
              <w:t>913</w:t>
            </w:r>
          </w:p>
        </w:tc>
        <w:tc>
          <w:tcPr>
            <w:tcW w:w="2328" w:type="dxa"/>
          </w:tcPr>
          <w:p w:rsidR="00870A76" w:rsidRPr="00D00BAF" w:rsidRDefault="00870A76" w:rsidP="00870A76">
            <w:pPr>
              <w:snapToGrid w:val="0"/>
              <w:jc w:val="center"/>
            </w:pPr>
            <w:r w:rsidRPr="00D00BAF">
              <w:t>75.8</w:t>
            </w:r>
          </w:p>
        </w:tc>
        <w:tc>
          <w:tcPr>
            <w:tcW w:w="2329" w:type="dxa"/>
          </w:tcPr>
          <w:p w:rsidR="00870A76" w:rsidRPr="00D00BAF" w:rsidRDefault="00870A76" w:rsidP="00870A76">
            <w:pPr>
              <w:snapToGrid w:val="0"/>
              <w:jc w:val="center"/>
            </w:pPr>
            <w:r w:rsidRPr="00D00BAF">
              <w:t>24.2</w:t>
            </w:r>
          </w:p>
        </w:tc>
      </w:tr>
    </w:tbl>
    <w:p w:rsidR="00870A76" w:rsidRPr="00D00BAF" w:rsidRDefault="00870A76" w:rsidP="00870A76">
      <w:pPr>
        <w:rPr>
          <w:b/>
          <w:bCs/>
          <w:snapToGrid w:val="0"/>
          <w:sz w:val="24"/>
          <w:lang w:val="es-ES_tradnl"/>
        </w:rPr>
      </w:pPr>
    </w:p>
    <w:p w:rsidR="00870A76" w:rsidRPr="00D00BAF" w:rsidRDefault="00870A76" w:rsidP="00870A76">
      <w:pPr>
        <w:rPr>
          <w:snapToGrid w:val="0"/>
          <w:sz w:val="24"/>
          <w:lang w:val="es-ES_tradnl"/>
        </w:rPr>
      </w:pPr>
      <w:r w:rsidRPr="00D00BAF">
        <w:rPr>
          <w:snapToGrid w:val="0"/>
          <w:sz w:val="24"/>
          <w:lang w:val="es-ES_tradnl"/>
        </w:rPr>
        <w:t>El incremento de personal  se debe a la prestación de nuevos  productos y servicios que ofrece el Banco a partir de la fecha.</w:t>
      </w:r>
    </w:p>
    <w:p w:rsidR="00870A76" w:rsidRPr="00D00BAF" w:rsidRDefault="00870A76" w:rsidP="00870A76">
      <w:pPr>
        <w:rPr>
          <w:snapToGrid w:val="0"/>
          <w:sz w:val="24"/>
          <w:lang w:val="es-ES_tradnl"/>
        </w:rPr>
      </w:pPr>
    </w:p>
    <w:p w:rsidR="00870A76" w:rsidRPr="00D00BAF" w:rsidRDefault="00870A76" w:rsidP="00870A76">
      <w:pPr>
        <w:rPr>
          <w:snapToGrid w:val="0"/>
          <w:sz w:val="24"/>
          <w:lang w:val="es-ES_tradnl"/>
        </w:rPr>
      </w:pPr>
    </w:p>
    <w:p w:rsidR="000E0885" w:rsidRPr="00D00BAF" w:rsidRDefault="007E6530">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 xml:space="preserve"> </w:t>
      </w:r>
      <w:r w:rsidR="000E0885" w:rsidRPr="00574CE0">
        <w:rPr>
          <w:rFonts w:ascii="Times New Roman" w:hAnsi="Times New Roman"/>
        </w:rPr>
        <w:t>LITIGIOS PENDIENTES</w:t>
      </w:r>
    </w:p>
    <w:p w:rsidR="000E0885" w:rsidRPr="00D00BAF" w:rsidRDefault="000E0885">
      <w:pPr>
        <w:rPr>
          <w:b/>
          <w:bCs/>
          <w:sz w:val="24"/>
        </w:rPr>
      </w:pPr>
    </w:p>
    <w:p w:rsidR="00870A76" w:rsidRPr="00D00BAF" w:rsidRDefault="00870A76" w:rsidP="00870A76">
      <w:pPr>
        <w:keepNext/>
        <w:jc w:val="both"/>
        <w:rPr>
          <w:sz w:val="24"/>
        </w:rPr>
      </w:pPr>
      <w:r w:rsidRPr="00D00BAF">
        <w:rPr>
          <w:sz w:val="24"/>
        </w:rPr>
        <w:t>El detalle de los litigios pendientes a la fecha de los Estados Financieros es el siguiente:</w:t>
      </w:r>
    </w:p>
    <w:p w:rsidR="00870A76" w:rsidRPr="00D00BAF" w:rsidRDefault="00870A76" w:rsidP="00870A76">
      <w:pPr>
        <w:keepNext/>
        <w:jc w:val="both"/>
        <w:rPr>
          <w:sz w:val="24"/>
        </w:rPr>
      </w:pPr>
    </w:p>
    <w:p w:rsidR="00870A76" w:rsidRPr="00D00BAF" w:rsidRDefault="00870A76" w:rsidP="00870A76">
      <w:pPr>
        <w:snapToGrid w:val="0"/>
        <w:jc w:val="both"/>
        <w:rPr>
          <w:sz w:val="24"/>
        </w:rPr>
      </w:pPr>
      <w:r w:rsidRPr="00574CE0">
        <w:rPr>
          <w:sz w:val="24"/>
        </w:rPr>
        <w:t>Al 31 de diciembre de 2015 y 2014, se tiene 249 y 242 casos, por montos de $4,522.4 y $2,430.9, respectivamente, en los Juzgados de lo Mercantil por reclamación de créditos.</w:t>
      </w:r>
    </w:p>
    <w:p w:rsidR="00870A76" w:rsidRPr="00D00BAF" w:rsidRDefault="00870A76" w:rsidP="00870A76">
      <w:pPr>
        <w:snapToGrid w:val="0"/>
        <w:jc w:val="both"/>
        <w:rPr>
          <w:sz w:val="24"/>
        </w:rPr>
      </w:pPr>
    </w:p>
    <w:p w:rsidR="00870A76" w:rsidRPr="00D00BAF" w:rsidRDefault="00870A76" w:rsidP="00870A76">
      <w:pPr>
        <w:snapToGrid w:val="0"/>
        <w:jc w:val="both"/>
        <w:rPr>
          <w:sz w:val="24"/>
        </w:rPr>
      </w:pPr>
      <w:r w:rsidRPr="00574CE0">
        <w:rPr>
          <w:sz w:val="24"/>
        </w:rPr>
        <w:t>Al 31 de diciembre de 2015, se tiene un juicio civil ejecutivo por $23.6, y al 31 de diciembre de 2014, se tenían 3 Juicios Civiles Ejecutivos por $24.1, respectivamente.</w:t>
      </w:r>
    </w:p>
    <w:p w:rsidR="00870A76" w:rsidRPr="00D00BAF" w:rsidRDefault="00870A76" w:rsidP="00870A76">
      <w:pPr>
        <w:snapToGrid w:val="0"/>
        <w:jc w:val="both"/>
        <w:rPr>
          <w:sz w:val="24"/>
        </w:rPr>
      </w:pPr>
    </w:p>
    <w:p w:rsidR="00870A76" w:rsidRPr="00D00BAF" w:rsidRDefault="00870A76" w:rsidP="00870A76">
      <w:pPr>
        <w:snapToGrid w:val="0"/>
        <w:jc w:val="both"/>
        <w:rPr>
          <w:sz w:val="24"/>
        </w:rPr>
      </w:pPr>
      <w:r w:rsidRPr="00574CE0">
        <w:rPr>
          <w:sz w:val="24"/>
        </w:rPr>
        <w:t xml:space="preserve">Al </w:t>
      </w:r>
      <w:r w:rsidR="00BE4F2C" w:rsidRPr="00574CE0">
        <w:rPr>
          <w:sz w:val="24"/>
        </w:rPr>
        <w:t>31</w:t>
      </w:r>
      <w:r w:rsidRPr="00574CE0">
        <w:rPr>
          <w:sz w:val="24"/>
        </w:rPr>
        <w:t xml:space="preserve">de diciembre de 2015, </w:t>
      </w:r>
      <w:r w:rsidR="00C1370A">
        <w:rPr>
          <w:sz w:val="24"/>
        </w:rPr>
        <w:t>e</w:t>
      </w:r>
      <w:r w:rsidRPr="00574CE0">
        <w:rPr>
          <w:sz w:val="24"/>
        </w:rPr>
        <w:t>n los Juzgados de Instrucción se tienen 2 procesos penales promovidos por el Banco por $2.8, y al 31/12/14 se tenían  5 casos por $134.3.</w:t>
      </w:r>
    </w:p>
    <w:p w:rsidR="00870A76" w:rsidRPr="00D00BAF" w:rsidRDefault="00870A76" w:rsidP="00870A76">
      <w:pPr>
        <w:snapToGrid w:val="0"/>
        <w:jc w:val="both"/>
        <w:rPr>
          <w:sz w:val="24"/>
        </w:rPr>
      </w:pPr>
    </w:p>
    <w:p w:rsidR="00870A76" w:rsidRPr="00D00BAF" w:rsidRDefault="00870A76" w:rsidP="00870A76">
      <w:pPr>
        <w:snapToGrid w:val="0"/>
        <w:jc w:val="both"/>
        <w:rPr>
          <w:sz w:val="24"/>
        </w:rPr>
      </w:pPr>
      <w:r w:rsidRPr="00574CE0">
        <w:rPr>
          <w:sz w:val="24"/>
        </w:rPr>
        <w:t>Asimismo, a las fechas mencionadas se tiene un Juicio Sumario Mercantil por $3,843.7</w:t>
      </w:r>
      <w:r w:rsidRPr="00D00BAF">
        <w:rPr>
          <w:sz w:val="24"/>
        </w:rPr>
        <w:t>.</w:t>
      </w:r>
    </w:p>
    <w:p w:rsidR="00870A76" w:rsidRPr="00D00BAF" w:rsidRDefault="00870A76" w:rsidP="00870A76">
      <w:pPr>
        <w:keepNext/>
        <w:jc w:val="both"/>
        <w:rPr>
          <w:sz w:val="24"/>
        </w:rPr>
      </w:pPr>
    </w:p>
    <w:p w:rsidR="00870A76" w:rsidRPr="00D00BAF" w:rsidRDefault="00870A76" w:rsidP="00870A76">
      <w:pPr>
        <w:keepNext/>
        <w:jc w:val="both"/>
        <w:rPr>
          <w:sz w:val="24"/>
        </w:rPr>
      </w:pPr>
      <w:r w:rsidRPr="00574CE0">
        <w:rPr>
          <w:sz w:val="24"/>
        </w:rPr>
        <w:t>Al 31 de diciembre de 2015, se tiene una demanda de amparo promovida por el Banco por $13.7, y al  31/12/14, se tenían dos por $19.7.</w:t>
      </w:r>
    </w:p>
    <w:p w:rsidR="00870A76" w:rsidRPr="00D00BAF" w:rsidRDefault="00870A76" w:rsidP="00870A76">
      <w:pPr>
        <w:keepNext/>
        <w:jc w:val="both"/>
        <w:rPr>
          <w:sz w:val="24"/>
        </w:rPr>
      </w:pPr>
    </w:p>
    <w:p w:rsidR="00870A76" w:rsidRPr="00D00BAF" w:rsidRDefault="00870A76" w:rsidP="00870A76">
      <w:pPr>
        <w:rPr>
          <w:sz w:val="24"/>
        </w:rPr>
      </w:pPr>
      <w:r w:rsidRPr="00574CE0">
        <w:rPr>
          <w:sz w:val="24"/>
        </w:rPr>
        <w:t>Al 31 de diciembre de 2015, se tiene un proceso penal en contra del Banco y al 31/12/14, se tenía uno por $5.0.</w:t>
      </w:r>
      <w:r w:rsidRPr="00D00BAF">
        <w:rPr>
          <w:sz w:val="24"/>
        </w:rPr>
        <w:t xml:space="preserve"> </w:t>
      </w:r>
    </w:p>
    <w:p w:rsidR="00870A76" w:rsidRPr="00D00BAF" w:rsidRDefault="00870A76" w:rsidP="00870A76">
      <w:pPr>
        <w:keepNext/>
        <w:jc w:val="both"/>
        <w:rPr>
          <w:sz w:val="24"/>
        </w:rPr>
      </w:pPr>
    </w:p>
    <w:p w:rsidR="00870A76" w:rsidRPr="00D00BAF" w:rsidRDefault="00870A76" w:rsidP="00870A76">
      <w:pPr>
        <w:keepNext/>
        <w:jc w:val="both"/>
        <w:rPr>
          <w:sz w:val="24"/>
        </w:rPr>
      </w:pPr>
      <w:r w:rsidRPr="00574CE0">
        <w:rPr>
          <w:sz w:val="24"/>
        </w:rPr>
        <w:t>Al 31/12/2015, se tienen 3 juicios civiles promovidos contra el Banco por $ 123.1 y al 31/12/2014, eran 2 por $ 123.1.</w:t>
      </w:r>
    </w:p>
    <w:p w:rsidR="00870A76" w:rsidRPr="00D00BAF" w:rsidRDefault="00870A76" w:rsidP="00870A76">
      <w:pPr>
        <w:keepNext/>
        <w:jc w:val="both"/>
        <w:rPr>
          <w:sz w:val="24"/>
        </w:rPr>
      </w:pPr>
      <w:r w:rsidRPr="00D00BAF">
        <w:rPr>
          <w:sz w:val="24"/>
        </w:rPr>
        <w:t xml:space="preserve"> </w:t>
      </w:r>
    </w:p>
    <w:p w:rsidR="00870A76" w:rsidRPr="00D00BAF" w:rsidRDefault="00870A76" w:rsidP="00870A76">
      <w:pPr>
        <w:keepNext/>
        <w:jc w:val="both"/>
        <w:rPr>
          <w:sz w:val="24"/>
        </w:rPr>
      </w:pPr>
      <w:r w:rsidRPr="00574CE0">
        <w:rPr>
          <w:sz w:val="24"/>
        </w:rPr>
        <w:t>Al 31 de diciembre de 2015 se tienen dos procesos laborales contra el Banco por $22.4.</w:t>
      </w:r>
    </w:p>
    <w:p w:rsidR="00870A76" w:rsidRPr="00D00BAF" w:rsidRDefault="00870A76" w:rsidP="00870A76">
      <w:pPr>
        <w:rPr>
          <w:sz w:val="24"/>
        </w:rPr>
      </w:pPr>
    </w:p>
    <w:p w:rsidR="00870A76" w:rsidRPr="00D00BAF" w:rsidRDefault="00870A76" w:rsidP="00870A76">
      <w:pPr>
        <w:keepNext/>
        <w:jc w:val="both"/>
        <w:rPr>
          <w:sz w:val="24"/>
        </w:rPr>
      </w:pPr>
      <w:r w:rsidRPr="00D00BAF">
        <w:rPr>
          <w:sz w:val="24"/>
        </w:rPr>
        <w:t>Al 31/12/15 no se tienen juicios mercantiles, y al 31/12/14, se tenía un proceso mercantil declarativo de prescripción de la acción ejecutiva contra el Banco por $0.6.</w:t>
      </w:r>
    </w:p>
    <w:p w:rsidR="00C7539E" w:rsidRPr="00D00BAF" w:rsidRDefault="00C7539E" w:rsidP="00180C82">
      <w:pPr>
        <w:pStyle w:val="Sangra2detindependiente"/>
        <w:tabs>
          <w:tab w:val="left" w:pos="709"/>
        </w:tabs>
        <w:ind w:left="0"/>
        <w:rPr>
          <w:lang w:val="es-ES"/>
        </w:rPr>
      </w:pPr>
    </w:p>
    <w:p w:rsidR="00870A76" w:rsidRPr="00D00BAF" w:rsidRDefault="00870A76" w:rsidP="00180C82">
      <w:pPr>
        <w:pStyle w:val="Sangra2detindependiente"/>
        <w:tabs>
          <w:tab w:val="left" w:pos="709"/>
        </w:tabs>
        <w:ind w:left="0"/>
        <w:rPr>
          <w:lang w:val="es-ES"/>
        </w:rPr>
      </w:pPr>
    </w:p>
    <w:p w:rsidR="00870A76" w:rsidRPr="00D00BAF" w:rsidRDefault="00870A76" w:rsidP="00180C82">
      <w:pPr>
        <w:pStyle w:val="Sangra2detindependiente"/>
        <w:tabs>
          <w:tab w:val="left" w:pos="709"/>
        </w:tabs>
        <w:ind w:left="0"/>
        <w:rPr>
          <w:lang w:val="es-ES"/>
        </w:rPr>
      </w:pPr>
    </w:p>
    <w:p w:rsidR="00870A76" w:rsidRPr="00D00BAF" w:rsidRDefault="00870A76" w:rsidP="00180C82">
      <w:pPr>
        <w:pStyle w:val="Sangra2detindependiente"/>
        <w:tabs>
          <w:tab w:val="left" w:pos="709"/>
        </w:tabs>
        <w:ind w:left="0"/>
        <w:rPr>
          <w:lang w:val="es-ES"/>
        </w:rPr>
      </w:pPr>
    </w:p>
    <w:p w:rsidR="000E0885" w:rsidRPr="00D00BAF" w:rsidRDefault="000E0885" w:rsidP="000F3FB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D00BAF">
        <w:rPr>
          <w:rFonts w:ascii="Times New Roman" w:hAnsi="Times New Roman"/>
          <w:bCs/>
        </w:rPr>
        <w:lastRenderedPageBreak/>
        <w:t xml:space="preserve"> </w:t>
      </w:r>
      <w:r w:rsidRPr="00574CE0">
        <w:rPr>
          <w:rFonts w:ascii="Times New Roman" w:hAnsi="Times New Roman"/>
          <w:bCs/>
        </w:rPr>
        <w:t>CRÉDITOS RELACIONADOS</w:t>
      </w:r>
    </w:p>
    <w:p w:rsidR="000E0885" w:rsidRPr="00D00BAF" w:rsidRDefault="000E0885" w:rsidP="000F3FBA">
      <w:pPr>
        <w:rPr>
          <w:b/>
          <w:sz w:val="24"/>
        </w:rPr>
      </w:pPr>
    </w:p>
    <w:p w:rsidR="00144884" w:rsidRPr="008B4E41" w:rsidRDefault="00144884" w:rsidP="00144884">
      <w:pPr>
        <w:tabs>
          <w:tab w:val="left" w:pos="-2160"/>
          <w:tab w:val="left" w:pos="-1980"/>
          <w:tab w:val="left" w:pos="142"/>
        </w:tabs>
        <w:snapToGrid w:val="0"/>
        <w:jc w:val="both"/>
        <w:rPr>
          <w:sz w:val="24"/>
        </w:rPr>
      </w:pPr>
      <w:r w:rsidRPr="008B4E41">
        <w:rPr>
          <w:sz w:val="24"/>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144884" w:rsidRPr="008B4E41" w:rsidRDefault="00144884" w:rsidP="00144884">
      <w:pPr>
        <w:tabs>
          <w:tab w:val="left" w:pos="-2160"/>
          <w:tab w:val="left" w:pos="-1980"/>
          <w:tab w:val="left" w:pos="709"/>
        </w:tabs>
        <w:snapToGrid w:val="0"/>
        <w:jc w:val="both"/>
        <w:rPr>
          <w:sz w:val="24"/>
        </w:rPr>
      </w:pPr>
    </w:p>
    <w:p w:rsidR="00144884" w:rsidRDefault="00144884" w:rsidP="00144884">
      <w:pPr>
        <w:tabs>
          <w:tab w:val="left" w:pos="-2160"/>
          <w:tab w:val="left" w:pos="-1980"/>
          <w:tab w:val="left" w:pos="709"/>
        </w:tabs>
        <w:jc w:val="both"/>
        <w:rPr>
          <w:sz w:val="24"/>
        </w:rPr>
      </w:pPr>
      <w:r w:rsidRPr="008B4E41">
        <w:rPr>
          <w:sz w:val="24"/>
        </w:rPr>
        <w:t>El capital y reservas de capital al 31 de diciembre de 2015</w:t>
      </w:r>
      <w:r>
        <w:rPr>
          <w:sz w:val="24"/>
        </w:rPr>
        <w:t xml:space="preserve"> son $</w:t>
      </w:r>
      <w:r w:rsidRPr="00677D1C">
        <w:rPr>
          <w:sz w:val="24"/>
        </w:rPr>
        <w:t>21</w:t>
      </w:r>
      <w:r>
        <w:rPr>
          <w:sz w:val="24"/>
        </w:rPr>
        <w:t>,</w:t>
      </w:r>
      <w:r w:rsidRPr="00677D1C">
        <w:rPr>
          <w:sz w:val="24"/>
        </w:rPr>
        <w:t>002.5</w:t>
      </w:r>
      <w:r w:rsidRPr="008B4E41">
        <w:rPr>
          <w:sz w:val="24"/>
        </w:rPr>
        <w:t xml:space="preserve"> y </w:t>
      </w:r>
      <w:r>
        <w:rPr>
          <w:sz w:val="24"/>
        </w:rPr>
        <w:t xml:space="preserve">al 31 de diciembre de </w:t>
      </w:r>
      <w:r w:rsidRPr="008B4E41">
        <w:rPr>
          <w:sz w:val="24"/>
        </w:rPr>
        <w:t>2014 es de $20,966.3. El total de créditos relacionados es de $780.0 y $959.5 para el 2015 y 2014, que representa el 3.7% y 4.6% del capital y reservas de capital de la entidad; distribuidos entre 37 y 44 deudores, respectivamente.</w:t>
      </w:r>
    </w:p>
    <w:p w:rsidR="00144884" w:rsidRPr="008B4E41" w:rsidRDefault="00144884" w:rsidP="00144884">
      <w:pPr>
        <w:tabs>
          <w:tab w:val="left" w:pos="-2160"/>
          <w:tab w:val="left" w:pos="-1980"/>
          <w:tab w:val="left" w:pos="709"/>
        </w:tabs>
        <w:jc w:val="both"/>
        <w:rPr>
          <w:sz w:val="24"/>
        </w:rPr>
      </w:pPr>
    </w:p>
    <w:p w:rsidR="00144884" w:rsidRPr="008B4E41" w:rsidRDefault="00144884" w:rsidP="00144884">
      <w:pPr>
        <w:jc w:val="both"/>
        <w:rPr>
          <w:sz w:val="24"/>
        </w:rPr>
      </w:pPr>
      <w:r w:rsidRPr="008B4E41">
        <w:rPr>
          <w:sz w:val="24"/>
        </w:rPr>
        <w:t>Durante los períodos reportados el Banco le dio cumplimiento a las disposiciones sobre créditos relacionados antes referidas.</w:t>
      </w:r>
    </w:p>
    <w:p w:rsidR="00144884" w:rsidRPr="008B4E41" w:rsidRDefault="00144884" w:rsidP="00144884">
      <w:pPr>
        <w:jc w:val="both"/>
        <w:rPr>
          <w:sz w:val="24"/>
        </w:rPr>
      </w:pPr>
    </w:p>
    <w:p w:rsidR="008F577F" w:rsidRPr="00144884" w:rsidRDefault="008F577F" w:rsidP="008F577F">
      <w:pPr>
        <w:pStyle w:val="Textoindependiente"/>
        <w:tabs>
          <w:tab w:val="clear" w:pos="720"/>
          <w:tab w:val="clear" w:pos="1296"/>
          <w:tab w:val="clear" w:pos="2016"/>
          <w:tab w:val="left" w:pos="-2160"/>
          <w:tab w:val="left" w:pos="-1980"/>
        </w:tabs>
        <w:ind w:left="511"/>
        <w:jc w:val="both"/>
        <w:rPr>
          <w:rFonts w:ascii="Times New Roman" w:hAnsi="Times New Roman"/>
          <w:bCs/>
          <w:lang w:val="es-ES"/>
        </w:rPr>
      </w:pPr>
    </w:p>
    <w:p w:rsidR="008F577F" w:rsidRPr="00D00BAF" w:rsidRDefault="008F577F" w:rsidP="008F577F">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D00BAF">
        <w:rPr>
          <w:rFonts w:ascii="Times New Roman" w:hAnsi="Times New Roman"/>
          <w:bCs/>
        </w:rPr>
        <w:t xml:space="preserve"> LÍMITES EN LA CONCESIÓN DE CRÉDITOS</w:t>
      </w:r>
    </w:p>
    <w:p w:rsidR="008F577F" w:rsidRPr="00D00BAF" w:rsidRDefault="008F577F" w:rsidP="008F577F">
      <w:pPr>
        <w:pStyle w:val="Textoindependiente"/>
        <w:tabs>
          <w:tab w:val="clear" w:pos="720"/>
          <w:tab w:val="clear" w:pos="1296"/>
          <w:tab w:val="clear" w:pos="2016"/>
          <w:tab w:val="left" w:pos="-2160"/>
          <w:tab w:val="left" w:pos="-1980"/>
        </w:tabs>
        <w:ind w:left="511"/>
        <w:jc w:val="both"/>
        <w:rPr>
          <w:rFonts w:ascii="Times New Roman" w:hAnsi="Times New Roman"/>
          <w:bCs/>
        </w:rPr>
      </w:pPr>
    </w:p>
    <w:p w:rsidR="008F577F" w:rsidRPr="00D00BAF" w:rsidRDefault="008F577F" w:rsidP="008F577F">
      <w:pPr>
        <w:tabs>
          <w:tab w:val="left" w:pos="-2160"/>
          <w:tab w:val="left" w:pos="-1980"/>
          <w:tab w:val="left" w:pos="709"/>
        </w:tabs>
        <w:jc w:val="both"/>
        <w:rPr>
          <w:sz w:val="24"/>
          <w:szCs w:val="23"/>
        </w:rPr>
      </w:pPr>
      <w:r w:rsidRPr="00D00BAF">
        <w:rPr>
          <w:sz w:val="24"/>
          <w:szCs w:val="23"/>
        </w:rPr>
        <w:t xml:space="preserve">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w:t>
      </w:r>
    </w:p>
    <w:p w:rsidR="008F577F" w:rsidRPr="00D00BAF" w:rsidRDefault="008F577F" w:rsidP="008F577F">
      <w:pPr>
        <w:keepNext/>
        <w:ind w:firstLine="12"/>
        <w:jc w:val="both"/>
        <w:outlineLvl w:val="1"/>
        <w:rPr>
          <w:sz w:val="24"/>
          <w:szCs w:val="23"/>
        </w:rPr>
      </w:pPr>
      <w:r w:rsidRPr="00D00BAF">
        <w:rPr>
          <w:sz w:val="24"/>
          <w:szCs w:val="23"/>
        </w:rPr>
        <w:t xml:space="preserve"> </w:t>
      </w:r>
    </w:p>
    <w:p w:rsidR="008F577F" w:rsidRPr="00D00BAF" w:rsidRDefault="008F577F" w:rsidP="008F577F">
      <w:pPr>
        <w:tabs>
          <w:tab w:val="left" w:pos="-2160"/>
          <w:tab w:val="left" w:pos="-1980"/>
          <w:tab w:val="left" w:pos="709"/>
        </w:tabs>
        <w:snapToGrid w:val="0"/>
        <w:jc w:val="both"/>
        <w:rPr>
          <w:sz w:val="24"/>
          <w:lang w:val="es-ES_tradnl"/>
        </w:rPr>
      </w:pPr>
      <w:r w:rsidRPr="00D00BAF">
        <w:rPr>
          <w:sz w:val="24"/>
          <w:lang w:val="es-ES_tradnl"/>
        </w:rPr>
        <w:t>Durante los períodos reportados el Banco le dio cumplimiento a las disposiciones del artículo 197 de la Ley de Bancos.</w:t>
      </w:r>
    </w:p>
    <w:p w:rsidR="005C653B" w:rsidRPr="00D00BAF" w:rsidRDefault="005C653B" w:rsidP="002D6A6E">
      <w:pPr>
        <w:jc w:val="both"/>
        <w:rPr>
          <w:sz w:val="24"/>
          <w:lang w:val="es-ES_tradnl"/>
        </w:rPr>
      </w:pPr>
    </w:p>
    <w:p w:rsidR="008F577F" w:rsidRPr="00D00BAF" w:rsidRDefault="008F577F" w:rsidP="002D6A6E">
      <w:pPr>
        <w:jc w:val="both"/>
        <w:rPr>
          <w:sz w:val="24"/>
        </w:rPr>
      </w:pPr>
    </w:p>
    <w:p w:rsidR="000E0885" w:rsidRPr="00D00BAF"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bCs/>
        </w:rPr>
      </w:pPr>
      <w:r w:rsidRPr="00D00BAF">
        <w:rPr>
          <w:rFonts w:ascii="Times New Roman" w:hAnsi="Times New Roman"/>
          <w:bCs/>
        </w:rPr>
        <w:t xml:space="preserve"> </w:t>
      </w:r>
      <w:r w:rsidRPr="00574CE0">
        <w:rPr>
          <w:rFonts w:ascii="Times New Roman" w:hAnsi="Times New Roman"/>
          <w:bCs/>
        </w:rPr>
        <w:t>REQUERIMIENTO DE FONDO PATRIMONIAL O PATRIMONIO NETO</w:t>
      </w:r>
      <w:r w:rsidRPr="00574CE0">
        <w:rPr>
          <w:rFonts w:ascii="Times New Roman" w:hAnsi="Times New Roman"/>
          <w:b w:val="0"/>
        </w:rPr>
        <w:t>.</w:t>
      </w:r>
    </w:p>
    <w:p w:rsidR="000E0885" w:rsidRPr="00D00BAF" w:rsidRDefault="000E0885">
      <w:pPr>
        <w:rPr>
          <w:b/>
          <w:bCs/>
          <w:lang w:val="es-ES_tradnl"/>
        </w:rPr>
      </w:pPr>
    </w:p>
    <w:p w:rsidR="00870A76" w:rsidRPr="00D00BAF" w:rsidRDefault="00870A76" w:rsidP="00870A76">
      <w:pPr>
        <w:tabs>
          <w:tab w:val="left" w:pos="-2160"/>
          <w:tab w:val="left" w:pos="-1980"/>
          <w:tab w:val="left" w:pos="709"/>
        </w:tabs>
        <w:snapToGrid w:val="0"/>
        <w:jc w:val="both"/>
        <w:rPr>
          <w:sz w:val="24"/>
        </w:rPr>
      </w:pPr>
      <w:r w:rsidRPr="00D00BAF">
        <w:rPr>
          <w:sz w:val="24"/>
        </w:rPr>
        <w:t>Según el artículo 41 de la Ley de Bancos, con el objeto de mantener constantemente su solvencia, los Bancos deben presentar en todo momento las siguientes relaciones:</w:t>
      </w:r>
    </w:p>
    <w:p w:rsidR="00870A76" w:rsidRPr="00D00BAF" w:rsidRDefault="00870A76" w:rsidP="00870A76">
      <w:pPr>
        <w:tabs>
          <w:tab w:val="left" w:pos="-2160"/>
          <w:tab w:val="left" w:pos="-1980"/>
          <w:tab w:val="left" w:pos="709"/>
        </w:tabs>
        <w:snapToGrid w:val="0"/>
        <w:ind w:left="708"/>
        <w:jc w:val="both"/>
        <w:rPr>
          <w:sz w:val="24"/>
        </w:rPr>
      </w:pPr>
    </w:p>
    <w:p w:rsidR="00870A76" w:rsidRPr="00D00BAF" w:rsidRDefault="00870A76" w:rsidP="00870A76">
      <w:pPr>
        <w:numPr>
          <w:ilvl w:val="0"/>
          <w:numId w:val="7"/>
        </w:numPr>
        <w:tabs>
          <w:tab w:val="left" w:pos="-2160"/>
          <w:tab w:val="left" w:pos="-1980"/>
        </w:tabs>
        <w:snapToGrid w:val="0"/>
        <w:jc w:val="both"/>
        <w:rPr>
          <w:sz w:val="24"/>
        </w:rPr>
      </w:pPr>
      <w:r w:rsidRPr="00D00BAF">
        <w:rPr>
          <w:sz w:val="24"/>
        </w:rPr>
        <w:t>El 12.0% o más entre su fondo patrimonial y la suma de sus activos ponderados.</w:t>
      </w:r>
    </w:p>
    <w:p w:rsidR="00870A76" w:rsidRPr="00D00BAF" w:rsidRDefault="00870A76" w:rsidP="00870A76">
      <w:pPr>
        <w:tabs>
          <w:tab w:val="left" w:pos="-2160"/>
          <w:tab w:val="left" w:pos="-1980"/>
        </w:tabs>
        <w:snapToGrid w:val="0"/>
        <w:ind w:left="720"/>
        <w:jc w:val="both"/>
        <w:rPr>
          <w:sz w:val="24"/>
        </w:rPr>
      </w:pPr>
    </w:p>
    <w:p w:rsidR="00870A76" w:rsidRPr="00D00BAF" w:rsidRDefault="00870A76" w:rsidP="00870A76">
      <w:pPr>
        <w:numPr>
          <w:ilvl w:val="0"/>
          <w:numId w:val="7"/>
        </w:numPr>
        <w:tabs>
          <w:tab w:val="left" w:pos="-2160"/>
          <w:tab w:val="left" w:pos="-1980"/>
        </w:tabs>
        <w:snapToGrid w:val="0"/>
        <w:jc w:val="both"/>
        <w:rPr>
          <w:sz w:val="24"/>
        </w:rPr>
      </w:pPr>
      <w:r w:rsidRPr="00D00BAF">
        <w:rPr>
          <w:sz w:val="24"/>
        </w:rPr>
        <w:t>El 7.0% o más entre el fondo patrimonial y sus obligaciones o pasivos totales con terceros, incluyendo las contingentes.</w:t>
      </w:r>
    </w:p>
    <w:p w:rsidR="00870A76" w:rsidRPr="00D00BAF" w:rsidRDefault="00870A76" w:rsidP="00870A76">
      <w:pPr>
        <w:tabs>
          <w:tab w:val="left" w:pos="-2160"/>
          <w:tab w:val="left" w:pos="-1980"/>
          <w:tab w:val="left" w:pos="709"/>
        </w:tabs>
        <w:snapToGrid w:val="0"/>
        <w:ind w:left="708"/>
        <w:jc w:val="both"/>
        <w:rPr>
          <w:sz w:val="24"/>
        </w:rPr>
      </w:pPr>
    </w:p>
    <w:p w:rsidR="00870A76" w:rsidRPr="00D00BAF" w:rsidRDefault="00870A76" w:rsidP="00870A76">
      <w:pPr>
        <w:numPr>
          <w:ilvl w:val="0"/>
          <w:numId w:val="7"/>
        </w:numPr>
        <w:tabs>
          <w:tab w:val="left" w:pos="-2160"/>
          <w:tab w:val="left" w:pos="-1980"/>
        </w:tabs>
        <w:snapToGrid w:val="0"/>
        <w:jc w:val="both"/>
        <w:rPr>
          <w:sz w:val="24"/>
        </w:rPr>
      </w:pPr>
      <w:r w:rsidRPr="00D00BAF">
        <w:rPr>
          <w:sz w:val="24"/>
        </w:rPr>
        <w:t xml:space="preserve">El 100% o más entre el fondo patrimonial y el capital social pagado a que se refiere el artículo 36 de la Ley de Bancos. </w:t>
      </w:r>
    </w:p>
    <w:p w:rsidR="00870A76" w:rsidRPr="00D00BAF" w:rsidRDefault="00870A76" w:rsidP="00870A76">
      <w:pPr>
        <w:tabs>
          <w:tab w:val="left" w:pos="-2160"/>
          <w:tab w:val="left" w:pos="-1980"/>
          <w:tab w:val="left" w:pos="709"/>
        </w:tabs>
        <w:snapToGrid w:val="0"/>
        <w:ind w:left="708"/>
        <w:jc w:val="both"/>
        <w:rPr>
          <w:sz w:val="24"/>
        </w:rPr>
      </w:pPr>
    </w:p>
    <w:p w:rsidR="00870A76" w:rsidRPr="00D00BAF" w:rsidRDefault="00870A76" w:rsidP="00870A76">
      <w:pPr>
        <w:tabs>
          <w:tab w:val="left" w:pos="-2160"/>
          <w:tab w:val="left" w:pos="-1980"/>
          <w:tab w:val="left" w:pos="709"/>
        </w:tabs>
        <w:snapToGrid w:val="0"/>
        <w:jc w:val="both"/>
        <w:rPr>
          <w:sz w:val="24"/>
        </w:rPr>
      </w:pPr>
      <w:r w:rsidRPr="00D00BAF">
        <w:rPr>
          <w:sz w:val="24"/>
          <w:lang w:val="es-ES_tradnl"/>
        </w:rPr>
        <w:t>Al 31 de diciembre de 2015 y 2014, la situación del Banco es según lo muestran las siguientes relaciones:</w:t>
      </w:r>
    </w:p>
    <w:p w:rsidR="00870A76" w:rsidRPr="00D00BAF" w:rsidRDefault="00870A76" w:rsidP="00870A76"/>
    <w:bookmarkStart w:id="422" w:name="_MON_1458452442"/>
    <w:bookmarkStart w:id="423" w:name="_MON_1395658218"/>
    <w:bookmarkStart w:id="424" w:name="_MON_1411195574"/>
    <w:bookmarkStart w:id="425" w:name="_MON_1411195676"/>
    <w:bookmarkStart w:id="426" w:name="_MON_1442744336"/>
    <w:bookmarkStart w:id="427" w:name="_MON_1442744417"/>
    <w:bookmarkStart w:id="428" w:name="_MON_1442744459"/>
    <w:bookmarkStart w:id="429" w:name="_MON_1442744483"/>
    <w:bookmarkStart w:id="430" w:name="_MON_1442744559"/>
    <w:bookmarkStart w:id="431" w:name="_MON_1442744721"/>
    <w:bookmarkStart w:id="432" w:name="_MON_1442746175"/>
    <w:bookmarkStart w:id="433" w:name="_MON_1451894523"/>
    <w:bookmarkStart w:id="434" w:name="_MON_1451894620"/>
    <w:bookmarkEnd w:id="422"/>
    <w:bookmarkEnd w:id="423"/>
    <w:bookmarkEnd w:id="424"/>
    <w:bookmarkEnd w:id="425"/>
    <w:bookmarkEnd w:id="426"/>
    <w:bookmarkEnd w:id="427"/>
    <w:bookmarkEnd w:id="428"/>
    <w:bookmarkEnd w:id="429"/>
    <w:bookmarkEnd w:id="430"/>
    <w:bookmarkEnd w:id="431"/>
    <w:bookmarkEnd w:id="432"/>
    <w:bookmarkEnd w:id="433"/>
    <w:bookmarkEnd w:id="434"/>
    <w:bookmarkStart w:id="435" w:name="_MON_1458452249"/>
    <w:bookmarkEnd w:id="435"/>
    <w:p w:rsidR="00870A76" w:rsidRPr="00D00BAF" w:rsidRDefault="004B0DAF" w:rsidP="00870A76">
      <w:pPr>
        <w:rPr>
          <w:sz w:val="24"/>
        </w:rPr>
      </w:pPr>
      <w:r w:rsidRPr="00D00BAF">
        <w:object w:dxaOrig="5983" w:dyaOrig="1314">
          <v:shape id="_x0000_i1034" type="#_x0000_t75" style="width:368.55pt;height:82.7pt" o:ole="" fillcolor="window">
            <v:imagedata r:id="rId27" o:title=""/>
          </v:shape>
          <o:OLEObject Type="Embed" ProgID="Excel.Sheet.8" ShapeID="_x0000_i1034" DrawAspect="Content" ObjectID="_1518274674" r:id="rId28"/>
        </w:object>
      </w:r>
    </w:p>
    <w:p w:rsidR="004B70BD" w:rsidRPr="00D00BAF" w:rsidRDefault="004B70BD" w:rsidP="004B70BD">
      <w:pPr>
        <w:pStyle w:val="Textoindependiente"/>
        <w:tabs>
          <w:tab w:val="clear" w:pos="720"/>
          <w:tab w:val="clear" w:pos="1296"/>
          <w:tab w:val="clear" w:pos="2016"/>
          <w:tab w:val="left" w:pos="-2160"/>
          <w:tab w:val="left" w:pos="-1980"/>
        </w:tabs>
        <w:ind w:left="511"/>
        <w:jc w:val="both"/>
        <w:rPr>
          <w:rFonts w:ascii="Times New Roman" w:hAnsi="Times New Roman"/>
          <w:bCs/>
        </w:rPr>
      </w:pPr>
    </w:p>
    <w:p w:rsidR="00870A76" w:rsidRPr="00D00BAF" w:rsidRDefault="00870A76" w:rsidP="004B70BD">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D00BAF" w:rsidRDefault="00720365" w:rsidP="00F970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D00BAF">
        <w:rPr>
          <w:rFonts w:ascii="Times New Roman" w:hAnsi="Times New Roman"/>
          <w:bCs/>
        </w:rPr>
        <w:t xml:space="preserve"> </w:t>
      </w:r>
      <w:r w:rsidR="000E0885" w:rsidRPr="00574CE0">
        <w:rPr>
          <w:rFonts w:ascii="Times New Roman" w:hAnsi="Times New Roman"/>
          <w:bCs/>
        </w:rPr>
        <w:t>CALIFICACIÓN DE RIESGO</w:t>
      </w:r>
      <w:r w:rsidR="000E0885" w:rsidRPr="00D00BAF">
        <w:rPr>
          <w:rFonts w:ascii="Times New Roman" w:hAnsi="Times New Roman"/>
          <w:bCs/>
        </w:rPr>
        <w:t xml:space="preserve"> </w:t>
      </w:r>
    </w:p>
    <w:p w:rsidR="000E0885" w:rsidRPr="00D00BAF" w:rsidRDefault="000E0885">
      <w:pPr>
        <w:pStyle w:val="Sangra2detindependiente"/>
        <w:tabs>
          <w:tab w:val="clear" w:pos="-2160"/>
          <w:tab w:val="clear" w:pos="-1980"/>
        </w:tabs>
        <w:ind w:left="0"/>
        <w:rPr>
          <w:bCs/>
          <w:snapToGrid/>
          <w:lang w:val="es-ES"/>
        </w:rPr>
      </w:pPr>
    </w:p>
    <w:p w:rsidR="00870A76" w:rsidRPr="00D00BAF" w:rsidRDefault="00870A76" w:rsidP="00870A76">
      <w:pPr>
        <w:jc w:val="both"/>
        <w:rPr>
          <w:sz w:val="24"/>
          <w:szCs w:val="24"/>
        </w:rPr>
      </w:pPr>
      <w:r w:rsidRPr="00D00BAF">
        <w:rPr>
          <w:sz w:val="24"/>
          <w:szCs w:val="24"/>
        </w:rPr>
        <w:t>El artículo 235 de la Ley de Bancos requiere que publiquemos la calificación de riesgo realizada por una clasificadora de riesgo registrada en la Superintendencia de Valores, la cual es la siguiente:</w:t>
      </w:r>
    </w:p>
    <w:p w:rsidR="00870A76" w:rsidRPr="00D00BAF" w:rsidRDefault="00870A76" w:rsidP="00870A76">
      <w:pPr>
        <w:jc w:val="both"/>
        <w:rPr>
          <w:sz w:val="24"/>
          <w:szCs w:val="24"/>
        </w:rPr>
      </w:pPr>
    </w:p>
    <w:bookmarkStart w:id="436" w:name="_MON_1458546197"/>
    <w:bookmarkStart w:id="437" w:name="_MON_1458563393"/>
    <w:bookmarkEnd w:id="436"/>
    <w:bookmarkEnd w:id="437"/>
    <w:bookmarkStart w:id="438" w:name="_MON_1458465364"/>
    <w:bookmarkEnd w:id="438"/>
    <w:p w:rsidR="00870A76" w:rsidRPr="00D00BAF" w:rsidRDefault="00870A76" w:rsidP="00870A76">
      <w:pPr>
        <w:spacing w:after="120" w:line="480" w:lineRule="auto"/>
        <w:rPr>
          <w:sz w:val="24"/>
          <w:szCs w:val="24"/>
        </w:rPr>
      </w:pPr>
      <w:r w:rsidRPr="00D00BAF">
        <w:rPr>
          <w:sz w:val="24"/>
          <w:szCs w:val="24"/>
        </w:rPr>
        <w:object w:dxaOrig="7638" w:dyaOrig="805">
          <v:shape id="_x0000_i1035" type="#_x0000_t75" style="width:426.3pt;height:42.75pt" o:ole="" fillcolor="window">
            <v:imagedata r:id="rId29" o:title=""/>
          </v:shape>
          <o:OLEObject Type="Embed" ProgID="Excel.Sheet.8" ShapeID="_x0000_i1035" DrawAspect="Content" ObjectID="_1518274675" r:id="rId30"/>
        </w:object>
      </w:r>
    </w:p>
    <w:p w:rsidR="00512B1E" w:rsidRPr="00D00BAF" w:rsidRDefault="00512B1E" w:rsidP="00512B1E">
      <w:pPr>
        <w:spacing w:after="120" w:line="480" w:lineRule="auto"/>
        <w:rPr>
          <w:sz w:val="24"/>
          <w:szCs w:val="24"/>
        </w:rPr>
      </w:pPr>
      <w:r w:rsidRPr="00D00BAF">
        <w:rPr>
          <w:sz w:val="24"/>
          <w:szCs w:val="24"/>
        </w:rPr>
        <w:t>Descripción de la calificación:</w:t>
      </w:r>
    </w:p>
    <w:p w:rsidR="00512B1E" w:rsidRPr="00D00BAF" w:rsidRDefault="00512B1E" w:rsidP="00512B1E">
      <w:pPr>
        <w:tabs>
          <w:tab w:val="left" w:pos="-2160"/>
          <w:tab w:val="left" w:pos="-1980"/>
        </w:tabs>
        <w:jc w:val="both"/>
        <w:rPr>
          <w:snapToGrid w:val="0"/>
          <w:sz w:val="24"/>
          <w:szCs w:val="24"/>
          <w:lang w:val="es-ES_tradnl"/>
        </w:rPr>
      </w:pPr>
      <w:r w:rsidRPr="00D00BAF">
        <w:rPr>
          <w:b/>
          <w:bCs/>
          <w:snapToGrid w:val="0"/>
          <w:sz w:val="24"/>
          <w:szCs w:val="24"/>
          <w:lang w:val="es-ES_tradnl"/>
        </w:rPr>
        <w:t xml:space="preserve">BBB: </w:t>
      </w:r>
      <w:r w:rsidRPr="00D00BAF">
        <w:rPr>
          <w:bCs/>
          <w:snapToGrid w:val="0"/>
          <w:sz w:val="24"/>
          <w:szCs w:val="24"/>
          <w:lang w:val="es-ES_tradnl"/>
        </w:rPr>
        <w:t>Corresponde</w:t>
      </w:r>
      <w:r w:rsidRPr="00D00BAF">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512B1E" w:rsidRPr="00D00BAF" w:rsidRDefault="00512B1E" w:rsidP="00512B1E">
      <w:pPr>
        <w:tabs>
          <w:tab w:val="left" w:pos="-2160"/>
          <w:tab w:val="left" w:pos="-1980"/>
        </w:tabs>
        <w:jc w:val="both"/>
        <w:rPr>
          <w:snapToGrid w:val="0"/>
          <w:sz w:val="24"/>
          <w:szCs w:val="24"/>
          <w:lang w:val="es-ES_tradnl"/>
        </w:rPr>
      </w:pPr>
    </w:p>
    <w:p w:rsidR="00512B1E" w:rsidRPr="00D00BAF" w:rsidRDefault="00512B1E" w:rsidP="00512B1E">
      <w:pPr>
        <w:rPr>
          <w:sz w:val="24"/>
          <w:szCs w:val="24"/>
          <w:lang w:val="es-SV"/>
        </w:rPr>
      </w:pPr>
      <w:r w:rsidRPr="00D00BAF">
        <w:rPr>
          <w:sz w:val="24"/>
          <w:szCs w:val="24"/>
          <w:lang w:val="es-SV"/>
        </w:rPr>
        <w:t>El signo “+” indica una tendencia ascendente hacia la categoría de clasificación inmediata superior. </w:t>
      </w:r>
    </w:p>
    <w:p w:rsidR="00512B1E" w:rsidRPr="00D00BAF" w:rsidRDefault="00512B1E" w:rsidP="00512B1E">
      <w:pPr>
        <w:tabs>
          <w:tab w:val="left" w:pos="-2160"/>
          <w:tab w:val="left" w:pos="-1980"/>
        </w:tabs>
        <w:jc w:val="both"/>
        <w:rPr>
          <w:snapToGrid w:val="0"/>
          <w:sz w:val="24"/>
          <w:szCs w:val="24"/>
          <w:lang w:val="es-SV"/>
        </w:rPr>
      </w:pPr>
    </w:p>
    <w:p w:rsidR="00512B1E" w:rsidRPr="00D00BAF" w:rsidRDefault="00512B1E" w:rsidP="00512B1E">
      <w:pPr>
        <w:tabs>
          <w:tab w:val="left" w:pos="-2160"/>
          <w:tab w:val="left" w:pos="-1980"/>
        </w:tabs>
        <w:jc w:val="both"/>
        <w:rPr>
          <w:snapToGrid w:val="0"/>
          <w:sz w:val="24"/>
          <w:szCs w:val="24"/>
          <w:lang w:val="es-ES_tradnl"/>
        </w:rPr>
      </w:pPr>
    </w:p>
    <w:p w:rsidR="000E0885" w:rsidRPr="00D00BAF"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D00BAF">
        <w:rPr>
          <w:rFonts w:ascii="Times New Roman" w:hAnsi="Times New Roman"/>
          <w:bCs/>
        </w:rPr>
        <w:t xml:space="preserve">  INFORMACIÓN POR SEGMENTOS</w:t>
      </w:r>
    </w:p>
    <w:p w:rsidR="000E0885" w:rsidRPr="00D00BAF" w:rsidRDefault="000E0885">
      <w:pPr>
        <w:pStyle w:val="Piedepgina"/>
        <w:tabs>
          <w:tab w:val="clear" w:pos="4252"/>
          <w:tab w:val="clear" w:pos="8504"/>
        </w:tabs>
      </w:pPr>
    </w:p>
    <w:p w:rsidR="000E0885" w:rsidRPr="00D00BAF" w:rsidRDefault="000E0885">
      <w:pPr>
        <w:pStyle w:val="Sangra2detindependiente"/>
        <w:tabs>
          <w:tab w:val="left" w:pos="709"/>
        </w:tabs>
        <w:ind w:left="0"/>
        <w:rPr>
          <w:lang w:val="es-ES"/>
        </w:rPr>
      </w:pPr>
      <w:r w:rsidRPr="00D00BAF">
        <w:rPr>
          <w:lang w:val="es-ES"/>
        </w:rPr>
        <w:t>El Banco de Fomento Agropecuario, únicamente se dedica a la intermediación financiera en El Salvador.</w:t>
      </w:r>
    </w:p>
    <w:p w:rsidR="00E41477" w:rsidRPr="00D00BAF" w:rsidRDefault="00E41477">
      <w:pPr>
        <w:ind w:left="1276" w:hanging="1276"/>
      </w:pPr>
    </w:p>
    <w:p w:rsidR="007E62FE" w:rsidRPr="00D00BAF" w:rsidRDefault="007E62FE">
      <w:pPr>
        <w:ind w:left="1276" w:hanging="1276"/>
      </w:pPr>
    </w:p>
    <w:p w:rsidR="00397B31" w:rsidRPr="00D00BAF" w:rsidRDefault="00397B31" w:rsidP="00FD1E7F">
      <w:pPr>
        <w:pStyle w:val="Textoindependiente"/>
        <w:numPr>
          <w:ilvl w:val="0"/>
          <w:numId w:val="6"/>
        </w:numPr>
        <w:tabs>
          <w:tab w:val="clear" w:pos="720"/>
          <w:tab w:val="clear" w:pos="1080"/>
          <w:tab w:val="clear" w:pos="1296"/>
          <w:tab w:val="clear" w:pos="2016"/>
          <w:tab w:val="left" w:pos="-2160"/>
          <w:tab w:val="left" w:pos="-1980"/>
          <w:tab w:val="num" w:pos="1276"/>
        </w:tabs>
        <w:ind w:left="1134" w:hanging="1134"/>
        <w:jc w:val="both"/>
      </w:pPr>
      <w:bookmarkStart w:id="439" w:name="OLE_LINK22"/>
      <w:bookmarkStart w:id="440" w:name="OLE_LINK26"/>
      <w:bookmarkStart w:id="441" w:name="OLE_LINK43"/>
      <w:r w:rsidRPr="00574CE0">
        <w:rPr>
          <w:rFonts w:ascii="Times New Roman" w:hAnsi="Times New Roman"/>
          <w:bCs/>
        </w:rPr>
        <w:t>HECHOS RELEVANTES Y S</w:t>
      </w:r>
      <w:r w:rsidR="009940D4" w:rsidRPr="00574CE0">
        <w:rPr>
          <w:rFonts w:ascii="Times New Roman" w:hAnsi="Times New Roman"/>
          <w:bCs/>
        </w:rPr>
        <w:t xml:space="preserve">UBSECUENTES AL </w:t>
      </w:r>
      <w:r w:rsidR="00F52B50" w:rsidRPr="00574CE0">
        <w:rPr>
          <w:rFonts w:ascii="Times New Roman" w:hAnsi="Times New Roman"/>
          <w:bCs/>
        </w:rPr>
        <w:t>31 DE DICIEMBRE</w:t>
      </w:r>
      <w:r w:rsidR="00105A9E" w:rsidRPr="00574CE0">
        <w:rPr>
          <w:rFonts w:ascii="Times New Roman" w:hAnsi="Times New Roman"/>
          <w:bCs/>
        </w:rPr>
        <w:t xml:space="preserve"> DE 201</w:t>
      </w:r>
      <w:r w:rsidR="00F3545F" w:rsidRPr="00574CE0">
        <w:rPr>
          <w:rFonts w:ascii="Times New Roman" w:hAnsi="Times New Roman"/>
          <w:bCs/>
        </w:rPr>
        <w:t>5</w:t>
      </w:r>
      <w:r w:rsidRPr="00574CE0">
        <w:rPr>
          <w:rFonts w:ascii="Times New Roman" w:hAnsi="Times New Roman"/>
          <w:bCs/>
        </w:rPr>
        <w:t xml:space="preserve">, </w:t>
      </w:r>
      <w:r w:rsidR="003A2E24" w:rsidRPr="00574CE0">
        <w:rPr>
          <w:rFonts w:ascii="Times New Roman" w:hAnsi="Times New Roman"/>
          <w:bCs/>
        </w:rPr>
        <w:t xml:space="preserve"> </w:t>
      </w:r>
      <w:r w:rsidRPr="00574CE0">
        <w:rPr>
          <w:rFonts w:ascii="Times New Roman" w:hAnsi="Times New Roman"/>
          <w:bCs/>
        </w:rPr>
        <w:t>SON LOS SIGUIENTES:</w:t>
      </w:r>
      <w:r w:rsidR="00011E7B" w:rsidRPr="00D00BAF">
        <w:rPr>
          <w:rFonts w:ascii="Times New Roman" w:hAnsi="Times New Roman"/>
          <w:bCs/>
        </w:rPr>
        <w:t xml:space="preserve"> </w:t>
      </w:r>
    </w:p>
    <w:bookmarkEnd w:id="439"/>
    <w:bookmarkEnd w:id="440"/>
    <w:bookmarkEnd w:id="441"/>
    <w:p w:rsidR="00E41477" w:rsidRPr="00D00BAF" w:rsidRDefault="00E41477" w:rsidP="00E41477"/>
    <w:p w:rsidR="00E41477" w:rsidRPr="00D00BAF" w:rsidRDefault="00E41477" w:rsidP="00E41477">
      <w:pPr>
        <w:pStyle w:val="Prrafodelista"/>
        <w:numPr>
          <w:ilvl w:val="0"/>
          <w:numId w:val="37"/>
        </w:numPr>
        <w:ind w:left="426" w:hanging="426"/>
        <w:jc w:val="both"/>
        <w:rPr>
          <w:sz w:val="24"/>
          <w:lang w:val="es-ES_tradnl"/>
        </w:rPr>
      </w:pPr>
      <w:r w:rsidRPr="00D00BAF">
        <w:rPr>
          <w:sz w:val="24"/>
          <w:lang w:val="es-ES_tradnl"/>
        </w:rPr>
        <w:t>CAMBIO DE DIRECTORES Y FUNCIONARIOS</w:t>
      </w:r>
    </w:p>
    <w:p w:rsidR="00E41477" w:rsidRPr="00D00BAF" w:rsidRDefault="00E41477" w:rsidP="00E41477">
      <w:pPr>
        <w:tabs>
          <w:tab w:val="left" w:pos="-2160"/>
          <w:tab w:val="left" w:pos="-1980"/>
        </w:tabs>
        <w:snapToGrid w:val="0"/>
        <w:ind w:left="1506"/>
        <w:jc w:val="both"/>
        <w:rPr>
          <w:sz w:val="24"/>
          <w:lang w:val="es-ES_tradnl"/>
        </w:rPr>
      </w:pPr>
    </w:p>
    <w:p w:rsidR="00E41477" w:rsidRPr="00D00BAF" w:rsidRDefault="00E41477" w:rsidP="00E41477">
      <w:pPr>
        <w:pStyle w:val="Prrafodelista"/>
        <w:numPr>
          <w:ilvl w:val="0"/>
          <w:numId w:val="38"/>
        </w:numPr>
        <w:jc w:val="both"/>
        <w:rPr>
          <w:sz w:val="24"/>
          <w:szCs w:val="24"/>
          <w:lang w:val="es-ES_tradnl"/>
        </w:rPr>
      </w:pPr>
      <w:r w:rsidRPr="00D00BAF">
        <w:rPr>
          <w:sz w:val="24"/>
          <w:szCs w:val="24"/>
          <w:lang w:val="es-ES_tradnl"/>
        </w:rPr>
        <w:t xml:space="preserve">Licenciada Ivett Alejandrina </w:t>
      </w:r>
      <w:r w:rsidR="00D41422" w:rsidRPr="00D00BAF">
        <w:rPr>
          <w:sz w:val="24"/>
          <w:szCs w:val="24"/>
          <w:lang w:val="es-ES_tradnl"/>
        </w:rPr>
        <w:t>Rodríguez</w:t>
      </w:r>
      <w:r w:rsidRPr="00D00BAF">
        <w:rPr>
          <w:sz w:val="24"/>
          <w:szCs w:val="24"/>
          <w:lang w:val="es-ES_tradnl"/>
        </w:rPr>
        <w:t xml:space="preserve"> de Díaz, nombrada Gerente de Sistemas en sustitución del Licenciado Germán Antonio Rosales, a partir del 1 de junio de 2015.</w:t>
      </w:r>
    </w:p>
    <w:p w:rsidR="00D60269" w:rsidRPr="00D00BAF" w:rsidRDefault="00D60269" w:rsidP="00D60269">
      <w:pPr>
        <w:pStyle w:val="Prrafodelista"/>
        <w:ind w:left="720"/>
        <w:jc w:val="both"/>
        <w:rPr>
          <w:sz w:val="24"/>
          <w:szCs w:val="24"/>
          <w:lang w:val="es-ES_tradnl"/>
        </w:rPr>
      </w:pPr>
    </w:p>
    <w:p w:rsidR="00D60269" w:rsidRPr="00D00BAF" w:rsidRDefault="00D60269" w:rsidP="00D60269">
      <w:pPr>
        <w:pStyle w:val="Prrafodelista"/>
        <w:numPr>
          <w:ilvl w:val="0"/>
          <w:numId w:val="38"/>
        </w:numPr>
        <w:jc w:val="both"/>
        <w:rPr>
          <w:sz w:val="24"/>
          <w:szCs w:val="24"/>
          <w:lang w:val="es-ES_tradnl"/>
        </w:rPr>
      </w:pPr>
      <w:r w:rsidRPr="00D00BAF">
        <w:rPr>
          <w:sz w:val="24"/>
          <w:szCs w:val="24"/>
          <w:lang w:val="es-ES_tradnl"/>
        </w:rPr>
        <w:t xml:space="preserve">Licenciado José </w:t>
      </w:r>
      <w:proofErr w:type="spellStart"/>
      <w:r w:rsidRPr="00D00BAF">
        <w:rPr>
          <w:sz w:val="24"/>
          <w:szCs w:val="24"/>
          <w:lang w:val="es-ES_tradnl"/>
        </w:rPr>
        <w:t>Marles</w:t>
      </w:r>
      <w:proofErr w:type="spellEnd"/>
      <w:r w:rsidRPr="00D00BAF">
        <w:rPr>
          <w:sz w:val="24"/>
          <w:szCs w:val="24"/>
          <w:lang w:val="es-ES_tradnl"/>
        </w:rPr>
        <w:t xml:space="preserve"> Guevara Mejía, nombrado</w:t>
      </w:r>
      <w:r w:rsidR="00D15197">
        <w:rPr>
          <w:sz w:val="24"/>
          <w:szCs w:val="24"/>
          <w:lang w:val="es-ES_tradnl"/>
        </w:rPr>
        <w:t xml:space="preserve"> Director Suplente</w:t>
      </w:r>
      <w:r w:rsidRPr="00D00BAF">
        <w:rPr>
          <w:sz w:val="24"/>
          <w:szCs w:val="24"/>
          <w:lang w:val="es-ES_tradnl"/>
        </w:rPr>
        <w:t>, en representación del Ministerio de Agricultura y Ganadería, a par</w:t>
      </w:r>
      <w:r w:rsidR="00C303FA" w:rsidRPr="00D00BAF">
        <w:rPr>
          <w:sz w:val="24"/>
          <w:szCs w:val="24"/>
          <w:lang w:val="es-ES_tradnl"/>
        </w:rPr>
        <w:t>t</w:t>
      </w:r>
      <w:r w:rsidRPr="00D00BAF">
        <w:rPr>
          <w:sz w:val="24"/>
          <w:szCs w:val="24"/>
          <w:lang w:val="es-ES_tradnl"/>
        </w:rPr>
        <w:t>ir del 22 de julio de 2015 al 21 de julio de 2018.</w:t>
      </w:r>
    </w:p>
    <w:p w:rsidR="001D0842" w:rsidRPr="00D00BAF" w:rsidRDefault="001D0842" w:rsidP="001D0842">
      <w:pPr>
        <w:pStyle w:val="Prrafodelista"/>
        <w:rPr>
          <w:sz w:val="24"/>
          <w:szCs w:val="24"/>
          <w:lang w:val="es-ES_tradnl"/>
        </w:rPr>
      </w:pPr>
    </w:p>
    <w:p w:rsidR="001D0842" w:rsidRPr="00D00BAF" w:rsidRDefault="001D0842" w:rsidP="001D0842">
      <w:pPr>
        <w:pStyle w:val="Prrafodelista"/>
        <w:numPr>
          <w:ilvl w:val="0"/>
          <w:numId w:val="38"/>
        </w:numPr>
        <w:tabs>
          <w:tab w:val="left" w:pos="-2160"/>
          <w:tab w:val="left" w:pos="-1980"/>
        </w:tabs>
        <w:snapToGrid w:val="0"/>
        <w:jc w:val="both"/>
        <w:rPr>
          <w:sz w:val="24"/>
          <w:lang w:val="es-ES_tradnl"/>
        </w:rPr>
      </w:pPr>
      <w:r w:rsidRPr="00D00BAF">
        <w:rPr>
          <w:sz w:val="24"/>
          <w:lang w:val="es-ES_tradnl"/>
        </w:rPr>
        <w:t>Licenciada Regina Mar</w:t>
      </w:r>
      <w:r w:rsidR="009D40BB" w:rsidRPr="00D00BAF">
        <w:rPr>
          <w:sz w:val="24"/>
          <w:lang w:val="es-ES_tradnl"/>
        </w:rPr>
        <w:t>í</w:t>
      </w:r>
      <w:r w:rsidRPr="00D00BAF">
        <w:rPr>
          <w:sz w:val="24"/>
          <w:lang w:val="es-ES_tradnl"/>
        </w:rPr>
        <w:t>a Díaz Guardado, nombrada Directora Suplente en representación del Ministerio</w:t>
      </w:r>
      <w:r w:rsidR="00D15197">
        <w:rPr>
          <w:sz w:val="24"/>
          <w:lang w:val="es-ES_tradnl"/>
        </w:rPr>
        <w:t xml:space="preserve"> de</w:t>
      </w:r>
      <w:r w:rsidRPr="00D00BAF">
        <w:rPr>
          <w:sz w:val="24"/>
          <w:lang w:val="es-ES_tradnl"/>
        </w:rPr>
        <w:t xml:space="preserve"> Economía a partir del 12 de noviembre de 2015 al 11 de noviembre de 2018.</w:t>
      </w:r>
    </w:p>
    <w:p w:rsidR="00E41477" w:rsidRPr="00D00BAF" w:rsidRDefault="00E41477" w:rsidP="00E41477">
      <w:pPr>
        <w:jc w:val="both"/>
        <w:rPr>
          <w:sz w:val="24"/>
          <w:szCs w:val="24"/>
          <w:lang w:val="es-ES_tradnl"/>
        </w:rPr>
      </w:pPr>
    </w:p>
    <w:p w:rsidR="00D41422" w:rsidRPr="00D00BAF" w:rsidRDefault="00D41422" w:rsidP="00D41422">
      <w:pPr>
        <w:snapToGrid w:val="0"/>
        <w:ind w:left="426"/>
        <w:jc w:val="both"/>
        <w:rPr>
          <w:sz w:val="24"/>
          <w:szCs w:val="24"/>
        </w:rPr>
      </w:pPr>
      <w:r w:rsidRPr="00D00BAF">
        <w:rPr>
          <w:sz w:val="24"/>
          <w:szCs w:val="24"/>
          <w:lang w:val="es-ES_tradnl"/>
        </w:rPr>
        <w:t>Fueron reelect</w:t>
      </w:r>
      <w:r w:rsidR="00522F9D" w:rsidRPr="00D00BAF">
        <w:rPr>
          <w:sz w:val="24"/>
          <w:szCs w:val="24"/>
          <w:lang w:val="es-ES_tradnl"/>
        </w:rPr>
        <w:t>o</w:t>
      </w:r>
      <w:r w:rsidRPr="00D00BAF">
        <w:rPr>
          <w:sz w:val="24"/>
          <w:szCs w:val="24"/>
          <w:lang w:val="es-ES_tradnl"/>
        </w:rPr>
        <w:t>s</w:t>
      </w:r>
      <w:r w:rsidRPr="00D00BAF">
        <w:rPr>
          <w:sz w:val="24"/>
          <w:szCs w:val="24"/>
        </w:rPr>
        <w:t xml:space="preserve"> para un nuevo período los Directores</w:t>
      </w:r>
      <w:r w:rsidR="00522F9D" w:rsidRPr="00D00BAF">
        <w:rPr>
          <w:sz w:val="24"/>
          <w:szCs w:val="24"/>
        </w:rPr>
        <w:t>: Licenciado José Joaquín Salaverría González</w:t>
      </w:r>
      <w:r w:rsidRPr="00D00BAF">
        <w:rPr>
          <w:sz w:val="24"/>
          <w:szCs w:val="24"/>
        </w:rPr>
        <w:t xml:space="preserve"> </w:t>
      </w:r>
      <w:r w:rsidR="00522F9D" w:rsidRPr="00D00BAF">
        <w:rPr>
          <w:sz w:val="24"/>
          <w:szCs w:val="24"/>
        </w:rPr>
        <w:t xml:space="preserve">y Agrónomo Carlos Antonio Boza Dreyfus y las Directoras </w:t>
      </w:r>
      <w:r w:rsidRPr="00D00BAF">
        <w:rPr>
          <w:sz w:val="24"/>
          <w:szCs w:val="24"/>
        </w:rPr>
        <w:t>Licenciada R</w:t>
      </w:r>
      <w:r w:rsidR="00522F9D" w:rsidRPr="00D00BAF">
        <w:rPr>
          <w:sz w:val="24"/>
          <w:szCs w:val="24"/>
        </w:rPr>
        <w:t>oxana Patricia Abrego Granados y L</w:t>
      </w:r>
      <w:r w:rsidRPr="00D00BAF">
        <w:rPr>
          <w:sz w:val="24"/>
          <w:szCs w:val="24"/>
        </w:rPr>
        <w:t xml:space="preserve">icenciada Silvia Margarita Rivas de Solórzano. </w:t>
      </w:r>
    </w:p>
    <w:p w:rsidR="00D41422" w:rsidRPr="00D00BAF" w:rsidRDefault="00D41422" w:rsidP="00D41422">
      <w:pPr>
        <w:snapToGrid w:val="0"/>
        <w:ind w:left="426"/>
        <w:jc w:val="both"/>
        <w:rPr>
          <w:sz w:val="24"/>
          <w:szCs w:val="24"/>
        </w:rPr>
      </w:pPr>
    </w:p>
    <w:p w:rsidR="00E41477" w:rsidRPr="00D00BAF" w:rsidRDefault="00E41477" w:rsidP="00E41477">
      <w:pPr>
        <w:pStyle w:val="Prrafodelista"/>
        <w:numPr>
          <w:ilvl w:val="0"/>
          <w:numId w:val="37"/>
        </w:numPr>
        <w:ind w:left="426" w:hanging="426"/>
        <w:jc w:val="both"/>
        <w:rPr>
          <w:sz w:val="24"/>
          <w:szCs w:val="24"/>
          <w:lang w:val="es-ES_tradnl"/>
        </w:rPr>
      </w:pPr>
      <w:r w:rsidRPr="00D00BAF">
        <w:rPr>
          <w:sz w:val="24"/>
          <w:szCs w:val="24"/>
          <w:lang w:val="es-ES_tradnl"/>
        </w:rPr>
        <w:t>IMPACTO A LA PRODUCCION DE GRANOS BASICOS</w:t>
      </w:r>
    </w:p>
    <w:p w:rsidR="00E41477" w:rsidRPr="00D00BAF" w:rsidRDefault="00E41477" w:rsidP="00E41477">
      <w:pPr>
        <w:ind w:left="426"/>
        <w:jc w:val="both"/>
        <w:rPr>
          <w:sz w:val="24"/>
          <w:szCs w:val="24"/>
          <w:lang w:val="es-ES_tradnl"/>
        </w:rPr>
      </w:pPr>
    </w:p>
    <w:p w:rsidR="00E41477" w:rsidRPr="00D00BAF" w:rsidRDefault="00E41477" w:rsidP="00E41477">
      <w:pPr>
        <w:ind w:left="426"/>
        <w:jc w:val="both"/>
        <w:rPr>
          <w:sz w:val="24"/>
          <w:szCs w:val="24"/>
          <w:lang w:val="es-ES_tradnl"/>
        </w:rPr>
      </w:pPr>
      <w:r w:rsidRPr="00D00BAF">
        <w:rPr>
          <w:sz w:val="24"/>
          <w:szCs w:val="24"/>
          <w:lang w:val="es-ES_tradnl"/>
        </w:rPr>
        <w:t xml:space="preserve">El Ministerio de Agricultura </w:t>
      </w:r>
      <w:r w:rsidR="00D15197">
        <w:rPr>
          <w:sz w:val="24"/>
          <w:szCs w:val="24"/>
          <w:lang w:val="es-ES_tradnl"/>
        </w:rPr>
        <w:t xml:space="preserve">y Ganadería </w:t>
      </w:r>
      <w:r w:rsidRPr="00D00BAF">
        <w:rPr>
          <w:sz w:val="24"/>
          <w:szCs w:val="24"/>
          <w:lang w:val="es-ES_tradnl"/>
        </w:rPr>
        <w:t xml:space="preserve">está evaluando los posibles daños a la producción de granos básicos a raíz de los fenómenos climatológicos que está afectando en ciertas zonas del país; el Banco </w:t>
      </w:r>
      <w:r w:rsidR="00715099" w:rsidRPr="00D00BAF">
        <w:rPr>
          <w:sz w:val="24"/>
          <w:szCs w:val="24"/>
          <w:lang w:val="es-ES_tradnl"/>
        </w:rPr>
        <w:t xml:space="preserve">está realizando </w:t>
      </w:r>
      <w:r w:rsidRPr="00D00BAF">
        <w:rPr>
          <w:sz w:val="24"/>
          <w:szCs w:val="24"/>
          <w:lang w:val="es-ES_tradnl"/>
        </w:rPr>
        <w:t xml:space="preserve">un levantamiento de información, para determinar si existen clientes de créditos afectados y estimar </w:t>
      </w:r>
      <w:r w:rsidR="00AD4341" w:rsidRPr="00D00BAF">
        <w:rPr>
          <w:sz w:val="24"/>
          <w:szCs w:val="24"/>
          <w:lang w:val="es-ES_tradnl"/>
        </w:rPr>
        <w:t xml:space="preserve"> el </w:t>
      </w:r>
      <w:r w:rsidRPr="00D00BAF">
        <w:rPr>
          <w:sz w:val="24"/>
          <w:szCs w:val="24"/>
          <w:lang w:val="es-ES_tradnl"/>
        </w:rPr>
        <w:t>posible impacto en los resultados para el próximo año, no obstante, estos créditos están garantizados con el PROGARA.</w:t>
      </w:r>
    </w:p>
    <w:p w:rsidR="00E41477" w:rsidRPr="00D00BAF" w:rsidRDefault="00E41477" w:rsidP="00E41477">
      <w:pPr>
        <w:ind w:left="426"/>
        <w:jc w:val="both"/>
        <w:rPr>
          <w:sz w:val="24"/>
          <w:szCs w:val="24"/>
          <w:lang w:val="es-ES_tradnl"/>
        </w:rPr>
      </w:pPr>
    </w:p>
    <w:p w:rsidR="00E41477" w:rsidRPr="00D00BAF" w:rsidRDefault="00E41477" w:rsidP="00E41477">
      <w:pPr>
        <w:pStyle w:val="Prrafodelista"/>
        <w:numPr>
          <w:ilvl w:val="0"/>
          <w:numId w:val="37"/>
        </w:numPr>
        <w:ind w:left="426" w:hanging="426"/>
        <w:jc w:val="both"/>
        <w:rPr>
          <w:sz w:val="24"/>
          <w:lang w:val="es-ES_tradnl"/>
        </w:rPr>
      </w:pPr>
      <w:r w:rsidRPr="00D00BAF">
        <w:rPr>
          <w:sz w:val="24"/>
          <w:lang w:val="es-ES_tradnl"/>
        </w:rPr>
        <w:t>CERTIFICACIÓN ISO 9001: 2008.</w:t>
      </w:r>
    </w:p>
    <w:p w:rsidR="00E41477" w:rsidRPr="00D00BAF" w:rsidRDefault="00E41477" w:rsidP="00E41477">
      <w:pPr>
        <w:rPr>
          <w:lang w:val="es-ES_tradnl"/>
        </w:rPr>
      </w:pPr>
      <w:r w:rsidRPr="00D00BAF">
        <w:rPr>
          <w:lang w:val="es-ES_tradnl"/>
        </w:rPr>
        <w:t> </w:t>
      </w:r>
    </w:p>
    <w:p w:rsidR="00E41477" w:rsidRDefault="00E41477" w:rsidP="00E41477">
      <w:pPr>
        <w:tabs>
          <w:tab w:val="left" w:pos="-2160"/>
          <w:tab w:val="left" w:pos="-1980"/>
        </w:tabs>
        <w:snapToGrid w:val="0"/>
        <w:ind w:left="426"/>
        <w:jc w:val="both"/>
        <w:rPr>
          <w:sz w:val="24"/>
          <w:lang w:val="es-ES_tradnl"/>
        </w:rPr>
      </w:pPr>
      <w:r w:rsidRPr="00D00BAF">
        <w:rPr>
          <w:sz w:val="24"/>
          <w:lang w:val="es-ES_tradnl"/>
        </w:rPr>
        <w:t>En el mes de septiembre de 2015, el Banco fue certificado por quinto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655DC4" w:rsidRDefault="00655DC4" w:rsidP="00E41477">
      <w:pPr>
        <w:tabs>
          <w:tab w:val="left" w:pos="-2160"/>
          <w:tab w:val="left" w:pos="-1980"/>
        </w:tabs>
        <w:snapToGrid w:val="0"/>
        <w:ind w:left="426"/>
        <w:jc w:val="both"/>
        <w:rPr>
          <w:sz w:val="24"/>
          <w:lang w:val="es-ES_tradnl"/>
        </w:rPr>
      </w:pPr>
    </w:p>
    <w:p w:rsidR="00655DC4" w:rsidRPr="00D00BAF" w:rsidRDefault="00655DC4" w:rsidP="003B1CE7">
      <w:pPr>
        <w:pStyle w:val="Prrafodelista"/>
        <w:numPr>
          <w:ilvl w:val="0"/>
          <w:numId w:val="37"/>
        </w:numPr>
        <w:ind w:left="426" w:hanging="426"/>
        <w:jc w:val="both"/>
        <w:rPr>
          <w:sz w:val="24"/>
          <w:szCs w:val="24"/>
          <w:lang w:val="es-ES_tradnl"/>
        </w:rPr>
      </w:pPr>
      <w:r w:rsidRPr="00D00BAF">
        <w:rPr>
          <w:sz w:val="24"/>
          <w:szCs w:val="24"/>
          <w:lang w:val="es-ES_tradnl"/>
        </w:rPr>
        <w:t>VENTA Y CESION DE CARTERA AL FIDEAGRO.</w:t>
      </w:r>
    </w:p>
    <w:p w:rsidR="00655DC4" w:rsidRPr="00D00BAF" w:rsidRDefault="00655DC4" w:rsidP="00655DC4">
      <w:pPr>
        <w:pStyle w:val="Prrafodelista"/>
        <w:tabs>
          <w:tab w:val="left" w:pos="-2160"/>
          <w:tab w:val="left" w:pos="-1980"/>
        </w:tabs>
        <w:snapToGrid w:val="0"/>
        <w:ind w:left="426"/>
        <w:jc w:val="both"/>
        <w:rPr>
          <w:sz w:val="24"/>
          <w:szCs w:val="24"/>
          <w:lang w:val="es-ES_tradnl"/>
        </w:rPr>
      </w:pPr>
    </w:p>
    <w:p w:rsidR="00845617" w:rsidRPr="00DB16CD" w:rsidRDefault="00655DC4" w:rsidP="00845617">
      <w:pPr>
        <w:ind w:left="426"/>
        <w:jc w:val="both"/>
        <w:rPr>
          <w:sz w:val="24"/>
          <w:szCs w:val="24"/>
          <w:lang w:val="es-ES_tradnl"/>
        </w:rPr>
      </w:pPr>
      <w:r w:rsidRPr="00DB16CD">
        <w:rPr>
          <w:sz w:val="24"/>
          <w:szCs w:val="24"/>
          <w:lang w:val="es-ES_tradnl"/>
        </w:rPr>
        <w:t>Con base a lo establecido en el Decreto Legislativo No. 619, del 23/11/01, el Banco de Fomento Agropecuario, vendió</w:t>
      </w:r>
      <w:r w:rsidR="000C0D91" w:rsidRPr="00DB16CD">
        <w:rPr>
          <w:sz w:val="24"/>
          <w:szCs w:val="24"/>
          <w:lang w:val="es-ES_tradnl"/>
        </w:rPr>
        <w:t xml:space="preserve"> </w:t>
      </w:r>
      <w:r w:rsidR="00A51485" w:rsidRPr="00DB16CD">
        <w:rPr>
          <w:sz w:val="24"/>
          <w:szCs w:val="24"/>
          <w:lang w:val="es-ES_tradnl"/>
        </w:rPr>
        <w:t>al FIDEAGRO</w:t>
      </w:r>
      <w:r w:rsidRPr="00DB16CD">
        <w:rPr>
          <w:sz w:val="24"/>
          <w:szCs w:val="24"/>
          <w:lang w:val="es-ES_tradnl"/>
        </w:rPr>
        <w:t xml:space="preserve"> </w:t>
      </w:r>
      <w:r w:rsidR="000C0D91" w:rsidRPr="00DB16CD">
        <w:rPr>
          <w:sz w:val="24"/>
          <w:szCs w:val="24"/>
          <w:lang w:val="es-ES_tradnl"/>
        </w:rPr>
        <w:t>préstamos</w:t>
      </w:r>
      <w:r w:rsidR="00A51485" w:rsidRPr="00DB16CD">
        <w:rPr>
          <w:sz w:val="24"/>
          <w:szCs w:val="24"/>
          <w:lang w:val="es-ES_tradnl"/>
        </w:rPr>
        <w:t xml:space="preserve"> </w:t>
      </w:r>
      <w:r w:rsidR="003B1CE7" w:rsidRPr="00DB16CD">
        <w:rPr>
          <w:sz w:val="24"/>
          <w:szCs w:val="24"/>
          <w:lang w:val="es-ES_tradnl"/>
        </w:rPr>
        <w:t xml:space="preserve">otorgados principalmente para granos básicos y microcrédito, </w:t>
      </w:r>
      <w:r w:rsidR="00A51485" w:rsidRPr="00DB16CD">
        <w:rPr>
          <w:sz w:val="24"/>
          <w:szCs w:val="24"/>
          <w:lang w:val="es-ES_tradnl"/>
        </w:rPr>
        <w:t xml:space="preserve">categoría “D”, </w:t>
      </w:r>
      <w:r w:rsidR="000C0D91" w:rsidRPr="00DB16CD">
        <w:rPr>
          <w:sz w:val="24"/>
          <w:szCs w:val="24"/>
          <w:lang w:val="es-ES_tradnl"/>
        </w:rPr>
        <w:t xml:space="preserve"> </w:t>
      </w:r>
      <w:r w:rsidRPr="00DB16CD">
        <w:rPr>
          <w:sz w:val="24"/>
          <w:szCs w:val="24"/>
          <w:lang w:val="es-ES_tradnl"/>
        </w:rPr>
        <w:t>al 75%  de su valor  por $</w:t>
      </w:r>
      <w:r w:rsidR="00006E65" w:rsidRPr="00DB16CD">
        <w:rPr>
          <w:sz w:val="24"/>
          <w:szCs w:val="24"/>
          <w:lang w:val="es-ES_tradnl"/>
        </w:rPr>
        <w:t>667.1</w:t>
      </w:r>
      <w:r w:rsidRPr="00DB16CD">
        <w:rPr>
          <w:sz w:val="24"/>
          <w:szCs w:val="24"/>
          <w:lang w:val="es-ES_tradnl"/>
        </w:rPr>
        <w:t>; siendo el 100% $</w:t>
      </w:r>
      <w:r w:rsidR="00006E65" w:rsidRPr="00DB16CD">
        <w:rPr>
          <w:sz w:val="24"/>
          <w:szCs w:val="24"/>
          <w:lang w:val="es-ES_tradnl"/>
        </w:rPr>
        <w:t>889.5</w:t>
      </w:r>
      <w:r w:rsidRPr="00DB16CD">
        <w:rPr>
          <w:sz w:val="24"/>
          <w:szCs w:val="24"/>
          <w:lang w:val="es-ES_tradnl"/>
        </w:rPr>
        <w:t xml:space="preserve">, y cedió préstamos </w:t>
      </w:r>
      <w:r w:rsidR="00845617" w:rsidRPr="00DB16CD">
        <w:rPr>
          <w:sz w:val="24"/>
          <w:szCs w:val="24"/>
          <w:lang w:val="es-ES_tradnl"/>
        </w:rPr>
        <w:t xml:space="preserve">utilizados para los mismos destinos, </w:t>
      </w:r>
      <w:r w:rsidRPr="00DB16CD">
        <w:rPr>
          <w:sz w:val="24"/>
          <w:szCs w:val="24"/>
          <w:lang w:val="es-ES_tradnl"/>
        </w:rPr>
        <w:t>categoría “E” por $</w:t>
      </w:r>
      <w:r w:rsidR="00006E65" w:rsidRPr="00DB16CD">
        <w:rPr>
          <w:sz w:val="24"/>
          <w:szCs w:val="24"/>
          <w:lang w:val="es-ES_tradnl"/>
        </w:rPr>
        <w:t>1,311.9</w:t>
      </w:r>
      <w:r w:rsidR="00574CE0">
        <w:rPr>
          <w:sz w:val="24"/>
          <w:szCs w:val="24"/>
          <w:lang w:val="es-ES_tradnl"/>
        </w:rPr>
        <w:t>.</w:t>
      </w:r>
    </w:p>
    <w:p w:rsidR="00845617" w:rsidRDefault="00845617" w:rsidP="00845617">
      <w:pPr>
        <w:ind w:left="426"/>
        <w:jc w:val="both"/>
        <w:rPr>
          <w:sz w:val="24"/>
          <w:szCs w:val="24"/>
          <w:highlight w:val="yellow"/>
          <w:lang w:val="es-ES_tradnl"/>
        </w:rPr>
      </w:pPr>
    </w:p>
    <w:p w:rsidR="00655DC4" w:rsidRDefault="00655DC4" w:rsidP="00845617">
      <w:pPr>
        <w:pStyle w:val="Prrafodelista"/>
        <w:numPr>
          <w:ilvl w:val="0"/>
          <w:numId w:val="37"/>
        </w:numPr>
        <w:ind w:left="426" w:hanging="426"/>
        <w:jc w:val="both"/>
        <w:rPr>
          <w:sz w:val="24"/>
          <w:szCs w:val="24"/>
          <w:lang w:val="es-ES_tradnl"/>
        </w:rPr>
      </w:pPr>
      <w:r>
        <w:rPr>
          <w:sz w:val="24"/>
          <w:szCs w:val="24"/>
          <w:lang w:val="es-ES_tradnl"/>
        </w:rPr>
        <w:t>REVA</w:t>
      </w:r>
      <w:r w:rsidR="000C0D91">
        <w:rPr>
          <w:sz w:val="24"/>
          <w:szCs w:val="24"/>
          <w:lang w:val="es-ES_tradnl"/>
        </w:rPr>
        <w:t>LUOS AL 31 DE DICIEMBRE DE 2015</w:t>
      </w:r>
    </w:p>
    <w:p w:rsidR="00B01996" w:rsidRDefault="00B01996" w:rsidP="003B1CE7">
      <w:pPr>
        <w:ind w:left="426"/>
        <w:jc w:val="both"/>
        <w:rPr>
          <w:sz w:val="24"/>
          <w:szCs w:val="24"/>
          <w:lang w:val="es-ES_tradnl"/>
        </w:rPr>
      </w:pPr>
    </w:p>
    <w:p w:rsidR="000C0D91" w:rsidRDefault="000C0D91" w:rsidP="003B1CE7">
      <w:pPr>
        <w:ind w:left="426"/>
        <w:jc w:val="both"/>
        <w:rPr>
          <w:sz w:val="24"/>
          <w:szCs w:val="24"/>
          <w:lang w:val="es-ES_tradnl"/>
        </w:rPr>
      </w:pPr>
      <w:r>
        <w:rPr>
          <w:sz w:val="24"/>
          <w:szCs w:val="24"/>
          <w:lang w:val="es-ES_tradnl"/>
        </w:rPr>
        <w:t>El 31 de diciembre de 2015, con autorización de la Superintendencia del Sistema Financiero</w:t>
      </w:r>
      <w:r w:rsidR="00845617">
        <w:rPr>
          <w:sz w:val="24"/>
          <w:szCs w:val="24"/>
          <w:lang w:val="es-ES_tradnl"/>
        </w:rPr>
        <w:t>,</w:t>
      </w:r>
      <w:r>
        <w:rPr>
          <w:sz w:val="24"/>
          <w:szCs w:val="24"/>
          <w:lang w:val="es-ES_tradnl"/>
        </w:rPr>
        <w:t xml:space="preserve"> se revaluaron terrenos y edificios por </w:t>
      </w:r>
      <w:r w:rsidRPr="000C0D91">
        <w:rPr>
          <w:sz w:val="24"/>
          <w:szCs w:val="24"/>
          <w:lang w:val="es-ES_tradnl"/>
        </w:rPr>
        <w:t xml:space="preserve"> $1,711</w:t>
      </w:r>
      <w:r>
        <w:rPr>
          <w:sz w:val="24"/>
          <w:szCs w:val="24"/>
          <w:lang w:val="es-ES_tradnl"/>
        </w:rPr>
        <w:t>.</w:t>
      </w:r>
      <w:r w:rsidRPr="000C0D91">
        <w:rPr>
          <w:sz w:val="24"/>
          <w:szCs w:val="24"/>
          <w:lang w:val="es-ES_tradnl"/>
        </w:rPr>
        <w:t>9</w:t>
      </w:r>
      <w:r>
        <w:rPr>
          <w:sz w:val="24"/>
          <w:szCs w:val="24"/>
          <w:lang w:val="es-ES_tradnl"/>
        </w:rPr>
        <w:t>.</w:t>
      </w:r>
    </w:p>
    <w:p w:rsidR="0057155D" w:rsidRDefault="0057155D" w:rsidP="0057155D">
      <w:pPr>
        <w:ind w:left="426"/>
        <w:jc w:val="both"/>
        <w:rPr>
          <w:sz w:val="24"/>
          <w:szCs w:val="24"/>
          <w:lang w:val="es-ES_tradnl"/>
        </w:rPr>
      </w:pPr>
    </w:p>
    <w:p w:rsidR="0057155D" w:rsidRDefault="0057155D" w:rsidP="0057155D">
      <w:pPr>
        <w:pStyle w:val="Prrafodelista"/>
        <w:numPr>
          <w:ilvl w:val="0"/>
          <w:numId w:val="37"/>
        </w:numPr>
        <w:ind w:left="426" w:hanging="426"/>
        <w:jc w:val="both"/>
        <w:rPr>
          <w:sz w:val="24"/>
          <w:szCs w:val="24"/>
          <w:lang w:val="es-ES_tradnl"/>
        </w:rPr>
      </w:pPr>
      <w:r>
        <w:rPr>
          <w:sz w:val="24"/>
          <w:szCs w:val="24"/>
          <w:lang w:val="es-ES_tradnl"/>
        </w:rPr>
        <w:t>CONVERSION DE SERVIAGENCIA MERLIOT EN AGENCIA</w:t>
      </w:r>
    </w:p>
    <w:p w:rsidR="0057155D" w:rsidRDefault="0057155D" w:rsidP="0057155D">
      <w:pPr>
        <w:ind w:left="426"/>
        <w:jc w:val="both"/>
        <w:rPr>
          <w:sz w:val="24"/>
          <w:szCs w:val="24"/>
          <w:lang w:val="es-ES_tradnl"/>
        </w:rPr>
      </w:pPr>
    </w:p>
    <w:p w:rsidR="0057155D" w:rsidRPr="0018510F" w:rsidRDefault="0057155D" w:rsidP="00DB16CD">
      <w:pPr>
        <w:tabs>
          <w:tab w:val="left" w:pos="-2160"/>
          <w:tab w:val="left" w:pos="-1980"/>
        </w:tabs>
        <w:ind w:left="426"/>
        <w:jc w:val="both"/>
        <w:rPr>
          <w:snapToGrid w:val="0"/>
          <w:sz w:val="24"/>
          <w:lang w:val="es-ES_tradnl"/>
        </w:rPr>
      </w:pPr>
      <w:r>
        <w:rPr>
          <w:snapToGrid w:val="0"/>
          <w:sz w:val="24"/>
          <w:lang w:val="es-ES_tradnl"/>
        </w:rPr>
        <w:t>El 1 de febrero de 2016</w:t>
      </w:r>
      <w:r w:rsidRPr="0018510F">
        <w:rPr>
          <w:snapToGrid w:val="0"/>
          <w:sz w:val="24"/>
          <w:lang w:val="es-ES_tradnl"/>
        </w:rPr>
        <w:t xml:space="preserve">, </w:t>
      </w:r>
      <w:r w:rsidR="00CA43B2">
        <w:rPr>
          <w:snapToGrid w:val="0"/>
          <w:sz w:val="24"/>
          <w:lang w:val="es-ES_tradnl"/>
        </w:rPr>
        <w:t xml:space="preserve">la Serviagencia </w:t>
      </w:r>
      <w:proofErr w:type="spellStart"/>
      <w:r w:rsidR="00CA43B2">
        <w:rPr>
          <w:snapToGrid w:val="0"/>
          <w:sz w:val="24"/>
          <w:lang w:val="es-ES_tradnl"/>
        </w:rPr>
        <w:t>Merliot</w:t>
      </w:r>
      <w:proofErr w:type="spellEnd"/>
      <w:r w:rsidR="00CA43B2">
        <w:rPr>
          <w:snapToGrid w:val="0"/>
          <w:sz w:val="24"/>
          <w:lang w:val="es-ES_tradnl"/>
        </w:rPr>
        <w:t xml:space="preserve"> fue convertida a Agencia y </w:t>
      </w:r>
      <w:r w:rsidRPr="0018510F">
        <w:rPr>
          <w:snapToGrid w:val="0"/>
          <w:sz w:val="24"/>
          <w:lang w:val="es-ES_tradnl"/>
        </w:rPr>
        <w:t>se inauguró</w:t>
      </w:r>
      <w:r w:rsidR="00CA43B2">
        <w:rPr>
          <w:snapToGrid w:val="0"/>
          <w:sz w:val="24"/>
          <w:lang w:val="es-ES_tradnl"/>
        </w:rPr>
        <w:t xml:space="preserve"> el nuevo local,</w:t>
      </w:r>
      <w:r w:rsidRPr="0018510F">
        <w:rPr>
          <w:snapToGrid w:val="0"/>
          <w:sz w:val="24"/>
          <w:lang w:val="es-ES_tradnl"/>
        </w:rPr>
        <w:t xml:space="preserve"> ubicad</w:t>
      </w:r>
      <w:r w:rsidR="00CA43B2">
        <w:rPr>
          <w:snapToGrid w:val="0"/>
          <w:sz w:val="24"/>
          <w:lang w:val="es-ES_tradnl"/>
        </w:rPr>
        <w:t>o</w:t>
      </w:r>
      <w:r w:rsidR="00083056">
        <w:rPr>
          <w:snapToGrid w:val="0"/>
          <w:sz w:val="24"/>
          <w:lang w:val="es-ES_tradnl"/>
        </w:rPr>
        <w:t xml:space="preserve"> en Urbanización Jardines de </w:t>
      </w:r>
      <w:proofErr w:type="spellStart"/>
      <w:r w:rsidR="00083056">
        <w:rPr>
          <w:snapToGrid w:val="0"/>
          <w:sz w:val="24"/>
          <w:lang w:val="es-ES_tradnl"/>
        </w:rPr>
        <w:t>Merliot</w:t>
      </w:r>
      <w:proofErr w:type="spellEnd"/>
      <w:r w:rsidR="00083056">
        <w:rPr>
          <w:snapToGrid w:val="0"/>
          <w:sz w:val="24"/>
          <w:lang w:val="es-ES_tradnl"/>
        </w:rPr>
        <w:t xml:space="preserve">, Calle </w:t>
      </w:r>
      <w:proofErr w:type="spellStart"/>
      <w:r w:rsidR="00083056">
        <w:rPr>
          <w:snapToGrid w:val="0"/>
          <w:sz w:val="24"/>
          <w:lang w:val="es-ES_tradnl"/>
        </w:rPr>
        <w:t>Chiltiupán</w:t>
      </w:r>
      <w:proofErr w:type="spellEnd"/>
      <w:r w:rsidR="00083056">
        <w:rPr>
          <w:snapToGrid w:val="0"/>
          <w:sz w:val="24"/>
          <w:lang w:val="es-ES_tradnl"/>
        </w:rPr>
        <w:t>,  Pol. A, Lotes No.13, 14-14ª</w:t>
      </w:r>
      <w:proofErr w:type="gramStart"/>
      <w:r w:rsidR="00083056">
        <w:rPr>
          <w:snapToGrid w:val="0"/>
          <w:sz w:val="24"/>
          <w:lang w:val="es-ES_tradnl"/>
        </w:rPr>
        <w:t>.,</w:t>
      </w:r>
      <w:proofErr w:type="gramEnd"/>
      <w:r w:rsidRPr="0018510F">
        <w:rPr>
          <w:snapToGrid w:val="0"/>
          <w:sz w:val="24"/>
          <w:lang w:val="es-ES_tradnl"/>
        </w:rPr>
        <w:t xml:space="preserve"> </w:t>
      </w:r>
      <w:r w:rsidR="00FE4938">
        <w:rPr>
          <w:snapToGrid w:val="0"/>
          <w:sz w:val="24"/>
          <w:lang w:val="es-ES_tradnl"/>
        </w:rPr>
        <w:t>M</w:t>
      </w:r>
      <w:r w:rsidRPr="0018510F">
        <w:rPr>
          <w:snapToGrid w:val="0"/>
          <w:sz w:val="24"/>
          <w:lang w:val="es-ES_tradnl"/>
        </w:rPr>
        <w:t xml:space="preserve">unicipio de </w:t>
      </w:r>
      <w:r>
        <w:rPr>
          <w:snapToGrid w:val="0"/>
          <w:sz w:val="24"/>
          <w:lang w:val="es-ES_tradnl"/>
        </w:rPr>
        <w:t>Santa Tecla,</w:t>
      </w:r>
      <w:r w:rsidRPr="0018510F">
        <w:rPr>
          <w:snapToGrid w:val="0"/>
          <w:sz w:val="24"/>
          <w:lang w:val="es-ES_tradnl"/>
        </w:rPr>
        <w:t xml:space="preserve"> </w:t>
      </w:r>
      <w:r w:rsidR="00FE4938">
        <w:rPr>
          <w:snapToGrid w:val="0"/>
          <w:sz w:val="24"/>
          <w:lang w:val="es-ES_tradnl"/>
        </w:rPr>
        <w:t>D</w:t>
      </w:r>
      <w:r w:rsidRPr="0018510F">
        <w:rPr>
          <w:snapToGrid w:val="0"/>
          <w:sz w:val="24"/>
          <w:lang w:val="es-ES_tradnl"/>
        </w:rPr>
        <w:t xml:space="preserve">epartamento de </w:t>
      </w:r>
      <w:r>
        <w:rPr>
          <w:snapToGrid w:val="0"/>
          <w:sz w:val="24"/>
          <w:lang w:val="es-ES_tradnl"/>
        </w:rPr>
        <w:t>La Libertad</w:t>
      </w:r>
      <w:r w:rsidRPr="0018510F">
        <w:rPr>
          <w:snapToGrid w:val="0"/>
          <w:sz w:val="24"/>
          <w:lang w:val="es-ES_tradnl"/>
        </w:rPr>
        <w:t>.</w:t>
      </w:r>
    </w:p>
    <w:p w:rsidR="0056625B" w:rsidRPr="000C0D91" w:rsidRDefault="0056625B" w:rsidP="003B1CE7">
      <w:pPr>
        <w:ind w:left="426"/>
        <w:jc w:val="both"/>
        <w:rPr>
          <w:sz w:val="24"/>
          <w:szCs w:val="24"/>
          <w:lang w:val="es-ES_tradnl"/>
        </w:rPr>
      </w:pPr>
    </w:p>
    <w:p w:rsidR="00655DC4" w:rsidRDefault="00655DC4" w:rsidP="00E41477">
      <w:pPr>
        <w:ind w:left="426"/>
        <w:jc w:val="both"/>
        <w:rPr>
          <w:sz w:val="24"/>
          <w:szCs w:val="24"/>
          <w:lang w:val="es-ES_tradnl"/>
        </w:rPr>
      </w:pPr>
    </w:p>
    <w:p w:rsidR="0059394A" w:rsidRPr="00D00BAF" w:rsidRDefault="0059394A" w:rsidP="00E41477">
      <w:pPr>
        <w:ind w:left="426"/>
        <w:jc w:val="both"/>
        <w:rPr>
          <w:sz w:val="24"/>
          <w:szCs w:val="24"/>
          <w:lang w:val="es-ES_tradnl"/>
        </w:rPr>
      </w:pPr>
    </w:p>
    <w:p w:rsidR="00E41477" w:rsidRPr="00D00BAF" w:rsidRDefault="00E41477" w:rsidP="00E41477">
      <w:pPr>
        <w:tabs>
          <w:tab w:val="left" w:pos="-2160"/>
          <w:tab w:val="left" w:pos="-1980"/>
        </w:tabs>
        <w:snapToGrid w:val="0"/>
        <w:jc w:val="both"/>
        <w:rPr>
          <w:b/>
          <w:sz w:val="24"/>
          <w:lang w:val="es-ES_tradnl"/>
        </w:rPr>
      </w:pPr>
      <w:r w:rsidRPr="00D00BAF">
        <w:rPr>
          <w:b/>
          <w:sz w:val="24"/>
          <w:lang w:val="es-ES_tradnl"/>
        </w:rPr>
        <w:t xml:space="preserve">HECHOS RELEVANTES Y SUBSECUENTES AL </w:t>
      </w:r>
      <w:r w:rsidR="00F52B50" w:rsidRPr="00D00BAF">
        <w:rPr>
          <w:b/>
          <w:sz w:val="24"/>
          <w:lang w:val="es-ES_tradnl"/>
        </w:rPr>
        <w:t>31 DE DICIEMBRE</w:t>
      </w:r>
      <w:r w:rsidRPr="00D00BAF">
        <w:rPr>
          <w:b/>
          <w:sz w:val="24"/>
          <w:lang w:val="es-ES_tradnl"/>
        </w:rPr>
        <w:t xml:space="preserve"> DE 2014,  SON LOS SIGUIENTES:</w:t>
      </w:r>
    </w:p>
    <w:p w:rsidR="00F52B50" w:rsidRPr="00D00BAF" w:rsidRDefault="00F52B50" w:rsidP="00F52B50">
      <w:pPr>
        <w:pStyle w:val="Textoindependiente"/>
        <w:tabs>
          <w:tab w:val="clear" w:pos="720"/>
          <w:tab w:val="clear" w:pos="2016"/>
          <w:tab w:val="left" w:pos="-2160"/>
          <w:tab w:val="left" w:pos="-1980"/>
        </w:tabs>
        <w:ind w:left="1134"/>
        <w:jc w:val="both"/>
      </w:pPr>
    </w:p>
    <w:p w:rsidR="00F52B50" w:rsidRPr="003B1CE7" w:rsidRDefault="00F52B50" w:rsidP="003B1CE7">
      <w:pPr>
        <w:pStyle w:val="Prrafodelista"/>
        <w:numPr>
          <w:ilvl w:val="0"/>
          <w:numId w:val="43"/>
        </w:numPr>
        <w:tabs>
          <w:tab w:val="left" w:pos="-2160"/>
          <w:tab w:val="left" w:pos="-1980"/>
        </w:tabs>
        <w:snapToGrid w:val="0"/>
        <w:ind w:left="426" w:hanging="426"/>
        <w:jc w:val="both"/>
        <w:rPr>
          <w:sz w:val="24"/>
        </w:rPr>
      </w:pPr>
      <w:r w:rsidRPr="003B1CE7">
        <w:rPr>
          <w:sz w:val="24"/>
        </w:rPr>
        <w:t>NOMBRAMIENTO PRESIDENTA DEL BANCO.</w:t>
      </w:r>
    </w:p>
    <w:p w:rsidR="00F52B50" w:rsidRPr="00D00BAF" w:rsidRDefault="00F52B50" w:rsidP="000906FF">
      <w:pPr>
        <w:tabs>
          <w:tab w:val="left" w:pos="-2160"/>
          <w:tab w:val="left" w:pos="-1980"/>
        </w:tabs>
        <w:snapToGrid w:val="0"/>
        <w:spacing w:after="200" w:line="276" w:lineRule="auto"/>
        <w:ind w:left="426"/>
        <w:jc w:val="both"/>
        <w:rPr>
          <w:sz w:val="24"/>
        </w:rPr>
      </w:pPr>
      <w:r w:rsidRPr="00D00BAF">
        <w:rPr>
          <w:sz w:val="24"/>
        </w:rPr>
        <w:t>Ingeniera Ana Lilian Vega Trejo, nombrada Presidenta del Banco, en sustitución  de la Licenciada Nora Mercedes Miranda de López, a partir del 11 de junio de 2014 al 11 de junio de 2019.</w:t>
      </w:r>
    </w:p>
    <w:p w:rsidR="00F52B50" w:rsidRPr="00D00BAF" w:rsidRDefault="00F52B50" w:rsidP="003B1CE7">
      <w:pPr>
        <w:pStyle w:val="Prrafodelista"/>
        <w:numPr>
          <w:ilvl w:val="0"/>
          <w:numId w:val="43"/>
        </w:numPr>
        <w:tabs>
          <w:tab w:val="left" w:pos="-2160"/>
          <w:tab w:val="left" w:pos="-1980"/>
        </w:tabs>
        <w:snapToGrid w:val="0"/>
        <w:ind w:left="426" w:hanging="426"/>
        <w:jc w:val="both"/>
        <w:rPr>
          <w:sz w:val="24"/>
        </w:rPr>
      </w:pPr>
      <w:r w:rsidRPr="00D00BAF">
        <w:rPr>
          <w:sz w:val="24"/>
        </w:rPr>
        <w:t>CAMBIO DE DIRECTORES Y FUNCIONARIOS</w:t>
      </w:r>
    </w:p>
    <w:p w:rsidR="00F52B50" w:rsidRPr="00D00BAF" w:rsidRDefault="00F52B50" w:rsidP="00F52B50">
      <w:pPr>
        <w:pStyle w:val="Prrafodelista"/>
        <w:numPr>
          <w:ilvl w:val="0"/>
          <w:numId w:val="28"/>
        </w:numPr>
        <w:tabs>
          <w:tab w:val="left" w:pos="-2160"/>
          <w:tab w:val="left" w:pos="-1980"/>
        </w:tabs>
        <w:snapToGrid w:val="0"/>
        <w:ind w:left="709" w:hanging="283"/>
        <w:jc w:val="both"/>
        <w:rPr>
          <w:sz w:val="24"/>
          <w:lang w:val="es-ES_tradnl"/>
        </w:rPr>
      </w:pPr>
      <w:r w:rsidRPr="00D00BAF">
        <w:rPr>
          <w:sz w:val="24"/>
          <w:lang w:val="es-ES_tradnl"/>
        </w:rPr>
        <w:t xml:space="preserve">Licenciada Margarita Ruiz de Vega, Gerente Administrativa, se retiró el 11 de junio de 2014. </w:t>
      </w:r>
    </w:p>
    <w:p w:rsidR="00F52B50" w:rsidRPr="00D00BAF" w:rsidRDefault="00F52B50" w:rsidP="00F52B50">
      <w:pPr>
        <w:tabs>
          <w:tab w:val="left" w:pos="-2160"/>
          <w:tab w:val="left" w:pos="-1980"/>
        </w:tabs>
        <w:snapToGrid w:val="0"/>
        <w:ind w:left="426"/>
        <w:jc w:val="both"/>
        <w:rPr>
          <w:sz w:val="24"/>
          <w:lang w:val="es-ES_tradnl"/>
        </w:rPr>
      </w:pPr>
    </w:p>
    <w:p w:rsidR="00F52B50" w:rsidRPr="00D00BAF" w:rsidRDefault="00F52B50" w:rsidP="00F52B50">
      <w:pPr>
        <w:pStyle w:val="Prrafodelista"/>
        <w:numPr>
          <w:ilvl w:val="0"/>
          <w:numId w:val="28"/>
        </w:numPr>
        <w:tabs>
          <w:tab w:val="left" w:pos="-2160"/>
          <w:tab w:val="left" w:pos="-1980"/>
        </w:tabs>
        <w:snapToGrid w:val="0"/>
        <w:ind w:left="709" w:hanging="283"/>
        <w:jc w:val="both"/>
        <w:rPr>
          <w:b/>
          <w:sz w:val="24"/>
        </w:rPr>
      </w:pPr>
      <w:r w:rsidRPr="00D00BAF">
        <w:rPr>
          <w:sz w:val="24"/>
          <w:lang w:val="es-ES_tradnl"/>
        </w:rPr>
        <w:t>Licenciado José Salvador Antonio Vilanova Noltenius, presentó su renuncia a partir del 5 de julio de 2014, al cargo de Director Propietario en representación de las Asociaciones Cooperativas del Sistema.</w:t>
      </w:r>
    </w:p>
    <w:p w:rsidR="00F52B50" w:rsidRPr="00D00BAF" w:rsidRDefault="00F52B50" w:rsidP="00F52B50">
      <w:pPr>
        <w:ind w:left="708"/>
      </w:pPr>
    </w:p>
    <w:p w:rsidR="00F52B50" w:rsidRPr="00D00BAF" w:rsidRDefault="00F52B50" w:rsidP="00F52B50">
      <w:pPr>
        <w:numPr>
          <w:ilvl w:val="0"/>
          <w:numId w:val="11"/>
        </w:numPr>
        <w:tabs>
          <w:tab w:val="left" w:pos="-2160"/>
          <w:tab w:val="left" w:pos="-1980"/>
        </w:tabs>
        <w:ind w:left="709" w:hanging="283"/>
        <w:jc w:val="both"/>
        <w:rPr>
          <w:snapToGrid w:val="0"/>
          <w:sz w:val="24"/>
          <w:lang w:val="es-ES_tradnl"/>
        </w:rPr>
      </w:pPr>
      <w:r w:rsidRPr="00D00BAF">
        <w:rPr>
          <w:snapToGrid w:val="0"/>
          <w:sz w:val="24"/>
          <w:lang w:val="es-ES_tradnl"/>
        </w:rPr>
        <w:t>Licenciado Raúl Armando Zaldaña Calderón, nombrado Director Propietario, en representación del Ministerio de Agricultura y Ganadería, a partir del 15 de julio de 2014 al 14 de julio de 2017; en sustitución de la Ingeniera Claudia Yasmín Gutiérrez de Mebius.</w:t>
      </w:r>
    </w:p>
    <w:p w:rsidR="00F52B50" w:rsidRPr="00D00BAF" w:rsidRDefault="00F52B50" w:rsidP="00F52B50">
      <w:pPr>
        <w:tabs>
          <w:tab w:val="left" w:pos="-2160"/>
          <w:tab w:val="left" w:pos="-1980"/>
        </w:tabs>
        <w:ind w:left="709"/>
        <w:jc w:val="both"/>
        <w:rPr>
          <w:snapToGrid w:val="0"/>
          <w:sz w:val="24"/>
          <w:lang w:val="es-ES_tradnl"/>
        </w:rPr>
      </w:pPr>
    </w:p>
    <w:p w:rsidR="00F52B50" w:rsidRPr="00D00BAF" w:rsidRDefault="00F52B50" w:rsidP="00F52B50">
      <w:pPr>
        <w:numPr>
          <w:ilvl w:val="0"/>
          <w:numId w:val="28"/>
        </w:numPr>
        <w:tabs>
          <w:tab w:val="left" w:pos="-2160"/>
          <w:tab w:val="left" w:pos="-1980"/>
        </w:tabs>
        <w:snapToGrid w:val="0"/>
        <w:ind w:left="709" w:hanging="283"/>
        <w:jc w:val="both"/>
        <w:rPr>
          <w:b/>
          <w:snapToGrid w:val="0"/>
          <w:sz w:val="24"/>
          <w:lang w:val="es-ES_tradnl"/>
        </w:rPr>
      </w:pPr>
      <w:r w:rsidRPr="00D00BAF">
        <w:rPr>
          <w:snapToGrid w:val="0"/>
          <w:sz w:val="24"/>
          <w:lang w:val="es-ES_tradnl"/>
        </w:rPr>
        <w:t>Licenciado José María Portillo, nombrado Director Suplente, en representación del Ministerio de Agricultura y Ganadería, a partir del 15 de julio de 2014 al 14 de julio de 2017; en sustitución del Licenciado Luis Adolfo Márquez Amaya.</w:t>
      </w:r>
    </w:p>
    <w:p w:rsidR="00F52B50" w:rsidRPr="00D00BAF" w:rsidRDefault="00F52B50" w:rsidP="00F52B50">
      <w:pPr>
        <w:tabs>
          <w:tab w:val="left" w:pos="-2160"/>
          <w:tab w:val="left" w:pos="-1980"/>
        </w:tabs>
        <w:snapToGrid w:val="0"/>
        <w:ind w:left="709"/>
        <w:jc w:val="both"/>
        <w:rPr>
          <w:b/>
          <w:snapToGrid w:val="0"/>
          <w:sz w:val="24"/>
          <w:lang w:val="es-ES_tradnl"/>
        </w:rPr>
      </w:pPr>
    </w:p>
    <w:p w:rsidR="00F52B50" w:rsidRPr="00D00BAF" w:rsidRDefault="00F52B50" w:rsidP="00F52B50">
      <w:pPr>
        <w:pStyle w:val="Prrafodelista"/>
        <w:numPr>
          <w:ilvl w:val="0"/>
          <w:numId w:val="28"/>
        </w:numPr>
        <w:tabs>
          <w:tab w:val="left" w:pos="-2160"/>
          <w:tab w:val="left" w:pos="-1980"/>
        </w:tabs>
        <w:snapToGrid w:val="0"/>
        <w:ind w:left="709" w:hanging="283"/>
        <w:jc w:val="both"/>
        <w:rPr>
          <w:b/>
          <w:sz w:val="24"/>
        </w:rPr>
      </w:pPr>
      <w:r w:rsidRPr="00D00BAF">
        <w:rPr>
          <w:sz w:val="24"/>
          <w:lang w:val="es-ES_tradnl"/>
        </w:rPr>
        <w:t>Licenciada Roxana Patricia Abrego Granados, Nombrada Directora Propietaria en representación de las Asociaciones Cooperativas del Sistema, a partir 10 de agosto de 2014 al 9 de agosto de 2015.</w:t>
      </w:r>
    </w:p>
    <w:p w:rsidR="00F52B50" w:rsidRPr="00D00BAF" w:rsidRDefault="00F52B50" w:rsidP="00F52B50">
      <w:pPr>
        <w:pStyle w:val="Prrafodelista"/>
        <w:rPr>
          <w:b/>
          <w:sz w:val="24"/>
        </w:rPr>
      </w:pPr>
    </w:p>
    <w:p w:rsidR="00F52B50" w:rsidRPr="00D00BAF" w:rsidRDefault="00F52B50" w:rsidP="00F52B50">
      <w:pPr>
        <w:pStyle w:val="Prrafodelista"/>
        <w:numPr>
          <w:ilvl w:val="0"/>
          <w:numId w:val="28"/>
        </w:numPr>
        <w:tabs>
          <w:tab w:val="left" w:pos="-2160"/>
          <w:tab w:val="left" w:pos="-1980"/>
        </w:tabs>
        <w:snapToGrid w:val="0"/>
        <w:ind w:left="709" w:hanging="283"/>
        <w:jc w:val="both"/>
        <w:rPr>
          <w:sz w:val="24"/>
          <w:lang w:val="es-ES_tradnl"/>
        </w:rPr>
      </w:pPr>
      <w:r w:rsidRPr="00D00BAF">
        <w:rPr>
          <w:sz w:val="24"/>
          <w:lang w:val="es-ES_tradnl"/>
        </w:rPr>
        <w:t>Doctor Abraham Heriberto Mena Vásquez, presentó su renuncia a partir del 7 de agosto de 2014, al cargo de Director Propietario en representación</w:t>
      </w:r>
      <w:r w:rsidR="001C3A7D">
        <w:rPr>
          <w:sz w:val="24"/>
          <w:lang w:val="es-ES_tradnl"/>
        </w:rPr>
        <w:t xml:space="preserve"> del</w:t>
      </w:r>
      <w:r w:rsidRPr="00D00BAF">
        <w:rPr>
          <w:sz w:val="24"/>
          <w:lang w:val="es-ES_tradnl"/>
        </w:rPr>
        <w:t xml:space="preserve"> Ministerio de Economía.</w:t>
      </w:r>
    </w:p>
    <w:p w:rsidR="00F52B50" w:rsidRPr="00D00BAF" w:rsidRDefault="00F52B50" w:rsidP="00F52B50">
      <w:pPr>
        <w:pStyle w:val="Prrafodelista"/>
        <w:rPr>
          <w:sz w:val="24"/>
          <w:lang w:val="es-ES_tradnl"/>
        </w:rPr>
      </w:pPr>
    </w:p>
    <w:p w:rsidR="00F52B50" w:rsidRPr="00D00BAF" w:rsidRDefault="00F52B50" w:rsidP="00F52B50">
      <w:pPr>
        <w:pStyle w:val="Prrafodelista"/>
        <w:numPr>
          <w:ilvl w:val="0"/>
          <w:numId w:val="28"/>
        </w:numPr>
        <w:tabs>
          <w:tab w:val="left" w:pos="-2160"/>
          <w:tab w:val="left" w:pos="-1980"/>
        </w:tabs>
        <w:snapToGrid w:val="0"/>
        <w:ind w:left="709" w:hanging="283"/>
        <w:jc w:val="both"/>
        <w:rPr>
          <w:sz w:val="24"/>
          <w:lang w:val="es-ES_tradnl"/>
        </w:rPr>
      </w:pPr>
      <w:r w:rsidRPr="00D00BAF">
        <w:rPr>
          <w:sz w:val="24"/>
          <w:lang w:val="es-ES_tradnl"/>
        </w:rPr>
        <w:t xml:space="preserve">Licenciada Marlene Jamilet Elías de Quan, nombrada Gerente Administrativa, a partir del 8 de septiembre de 2014. </w:t>
      </w:r>
    </w:p>
    <w:p w:rsidR="00F52B50" w:rsidRPr="00D00BAF" w:rsidRDefault="00F52B50" w:rsidP="00F52B50">
      <w:pPr>
        <w:pStyle w:val="Prrafodelista"/>
        <w:rPr>
          <w:sz w:val="24"/>
          <w:lang w:val="es-ES_tradnl"/>
        </w:rPr>
      </w:pPr>
    </w:p>
    <w:p w:rsidR="00F52B50" w:rsidRPr="00D00BAF" w:rsidRDefault="00F52B50" w:rsidP="00F52B50">
      <w:pPr>
        <w:pStyle w:val="Prrafodelista"/>
        <w:numPr>
          <w:ilvl w:val="0"/>
          <w:numId w:val="28"/>
        </w:numPr>
        <w:tabs>
          <w:tab w:val="left" w:pos="-2160"/>
          <w:tab w:val="left" w:pos="-1980"/>
        </w:tabs>
        <w:snapToGrid w:val="0"/>
        <w:ind w:left="709" w:hanging="283"/>
        <w:jc w:val="both"/>
        <w:rPr>
          <w:sz w:val="24"/>
          <w:lang w:val="es-ES_tradnl"/>
        </w:rPr>
      </w:pPr>
      <w:r w:rsidRPr="00D00BAF">
        <w:rPr>
          <w:sz w:val="24"/>
          <w:lang w:val="es-ES_tradnl"/>
        </w:rPr>
        <w:t>Licenciado Jose Maria Portillo, nombrado Director Propietario, en representación del Ministerio de Agricultura y Ganadería, a partir del 4 de noviembre de 2014 al 3 de noviembre de 2017; en sustitución</w:t>
      </w:r>
      <w:r w:rsidRPr="00D00BAF">
        <w:rPr>
          <w:snapToGrid w:val="0"/>
          <w:sz w:val="24"/>
          <w:lang w:val="es-ES_tradnl"/>
        </w:rPr>
        <w:t xml:space="preserve"> del Licenciado Raúl Armando Zaldaña Calderón.</w:t>
      </w:r>
    </w:p>
    <w:p w:rsidR="00F52B50" w:rsidRPr="00D00BAF" w:rsidRDefault="00F52B50" w:rsidP="00F52B50">
      <w:pPr>
        <w:pStyle w:val="Prrafodelista"/>
        <w:rPr>
          <w:sz w:val="24"/>
          <w:lang w:val="es-ES_tradnl"/>
        </w:rPr>
      </w:pPr>
    </w:p>
    <w:p w:rsidR="00F52B50" w:rsidRPr="00D00BAF" w:rsidRDefault="00F52B50" w:rsidP="00F52B50">
      <w:pPr>
        <w:pStyle w:val="Prrafodelista"/>
        <w:numPr>
          <w:ilvl w:val="0"/>
          <w:numId w:val="28"/>
        </w:numPr>
        <w:tabs>
          <w:tab w:val="left" w:pos="-2160"/>
          <w:tab w:val="left" w:pos="-1980"/>
        </w:tabs>
        <w:snapToGrid w:val="0"/>
        <w:ind w:left="709" w:hanging="283"/>
        <w:jc w:val="both"/>
        <w:rPr>
          <w:sz w:val="24"/>
          <w:lang w:val="es-ES_tradnl"/>
        </w:rPr>
      </w:pPr>
      <w:r w:rsidRPr="00D00BAF">
        <w:rPr>
          <w:snapToGrid w:val="0"/>
          <w:sz w:val="24"/>
          <w:lang w:val="es-ES_tradnl"/>
        </w:rPr>
        <w:t xml:space="preserve">Licenciado Teodoro Antonio Romero </w:t>
      </w:r>
      <w:proofErr w:type="spellStart"/>
      <w:r w:rsidRPr="00D00BAF">
        <w:rPr>
          <w:snapToGrid w:val="0"/>
          <w:sz w:val="24"/>
          <w:lang w:val="es-ES_tradnl"/>
        </w:rPr>
        <w:t>Romero</w:t>
      </w:r>
      <w:proofErr w:type="spellEnd"/>
      <w:r w:rsidRPr="00D00BAF">
        <w:rPr>
          <w:snapToGrid w:val="0"/>
          <w:sz w:val="24"/>
          <w:lang w:val="es-ES_tradnl"/>
        </w:rPr>
        <w:t>, nombrado Director Propietario, en representación del Ministerio de Economía, a partir del 1 de febrero de 2015 al 31  de enero de 2018.</w:t>
      </w:r>
    </w:p>
    <w:p w:rsidR="00F52B50" w:rsidRDefault="00F52B50" w:rsidP="00F52B50">
      <w:pPr>
        <w:pStyle w:val="Prrafodelista"/>
        <w:rPr>
          <w:sz w:val="24"/>
          <w:lang w:val="es-ES_tradnl"/>
        </w:rPr>
      </w:pPr>
    </w:p>
    <w:p w:rsidR="00D15197" w:rsidRDefault="00D15197" w:rsidP="00F52B50">
      <w:pPr>
        <w:pStyle w:val="Prrafodelista"/>
        <w:rPr>
          <w:sz w:val="24"/>
          <w:lang w:val="es-ES_tradnl"/>
        </w:rPr>
      </w:pPr>
    </w:p>
    <w:p w:rsidR="00D15197" w:rsidRPr="00D00BAF" w:rsidRDefault="00D15197" w:rsidP="00F52B50">
      <w:pPr>
        <w:pStyle w:val="Prrafodelista"/>
        <w:rPr>
          <w:sz w:val="24"/>
          <w:lang w:val="es-ES_tradnl"/>
        </w:rPr>
      </w:pPr>
    </w:p>
    <w:p w:rsidR="00F52B50" w:rsidRPr="00D00BAF" w:rsidRDefault="00F52B50" w:rsidP="003B1CE7">
      <w:pPr>
        <w:pStyle w:val="Prrafodelista"/>
        <w:numPr>
          <w:ilvl w:val="0"/>
          <w:numId w:val="43"/>
        </w:numPr>
        <w:tabs>
          <w:tab w:val="left" w:pos="-2160"/>
          <w:tab w:val="left" w:pos="-1980"/>
        </w:tabs>
        <w:snapToGrid w:val="0"/>
        <w:ind w:left="426" w:hanging="426"/>
        <w:jc w:val="both"/>
        <w:rPr>
          <w:sz w:val="24"/>
        </w:rPr>
      </w:pPr>
      <w:r w:rsidRPr="00D00BAF">
        <w:rPr>
          <w:sz w:val="24"/>
        </w:rPr>
        <w:lastRenderedPageBreak/>
        <w:t>CAPITALIZACION POR $1,186.8.</w:t>
      </w:r>
    </w:p>
    <w:p w:rsidR="00F52B50" w:rsidRPr="00D00BAF" w:rsidRDefault="00F52B50" w:rsidP="00F52B50">
      <w:pPr>
        <w:ind w:left="426"/>
        <w:jc w:val="both"/>
        <w:rPr>
          <w:sz w:val="24"/>
          <w:szCs w:val="24"/>
          <w:lang w:val="es-ES_tradnl"/>
        </w:rPr>
      </w:pPr>
      <w:r w:rsidRPr="00D00BAF">
        <w:rPr>
          <w:sz w:val="24"/>
          <w:szCs w:val="24"/>
        </w:rPr>
        <w:t>En cumplimiento al Decreto</w:t>
      </w:r>
      <w:r w:rsidRPr="00D00BAF">
        <w:rPr>
          <w:sz w:val="24"/>
          <w:szCs w:val="24"/>
          <w:lang w:val="es-ES_tradnl"/>
        </w:rPr>
        <w:t xml:space="preserve"> Legislativo 627 del 20/02/14, el Banco incrementó su patrimonio en $1,186.8.</w:t>
      </w:r>
    </w:p>
    <w:p w:rsidR="00F52B50" w:rsidRPr="00D00BAF" w:rsidRDefault="00F52B50" w:rsidP="00F52B50">
      <w:pPr>
        <w:ind w:left="426"/>
        <w:jc w:val="both"/>
        <w:rPr>
          <w:sz w:val="24"/>
          <w:szCs w:val="24"/>
          <w:lang w:val="es-ES_tradnl"/>
        </w:rPr>
      </w:pPr>
    </w:p>
    <w:p w:rsidR="00F52B50" w:rsidRPr="00D00BAF" w:rsidRDefault="00F52B50" w:rsidP="003B1CE7">
      <w:pPr>
        <w:pStyle w:val="Prrafodelista"/>
        <w:numPr>
          <w:ilvl w:val="0"/>
          <w:numId w:val="43"/>
        </w:numPr>
        <w:tabs>
          <w:tab w:val="left" w:pos="-2160"/>
          <w:tab w:val="left" w:pos="-1980"/>
        </w:tabs>
        <w:snapToGrid w:val="0"/>
        <w:ind w:left="426" w:hanging="426"/>
        <w:jc w:val="both"/>
        <w:rPr>
          <w:sz w:val="24"/>
        </w:rPr>
      </w:pPr>
      <w:r w:rsidRPr="00D00BAF">
        <w:rPr>
          <w:sz w:val="24"/>
        </w:rPr>
        <w:t>APERTURA DE AGENCIA</w:t>
      </w:r>
    </w:p>
    <w:p w:rsidR="00F52B50" w:rsidRDefault="00F52B50" w:rsidP="00F52B50">
      <w:pPr>
        <w:pStyle w:val="Prrafodelista"/>
        <w:tabs>
          <w:tab w:val="left" w:pos="-2160"/>
          <w:tab w:val="left" w:pos="-1980"/>
        </w:tabs>
        <w:snapToGrid w:val="0"/>
        <w:ind w:left="426"/>
        <w:jc w:val="both"/>
        <w:rPr>
          <w:sz w:val="24"/>
          <w:lang w:val="es-ES_tradnl"/>
        </w:rPr>
      </w:pPr>
      <w:r w:rsidRPr="00D00BAF">
        <w:rPr>
          <w:sz w:val="24"/>
        </w:rPr>
        <w:t xml:space="preserve">El 31 de mayo de 2014, inició operaciones la Agencia Salvador del </w:t>
      </w:r>
      <w:r w:rsidR="0014467A">
        <w:rPr>
          <w:sz w:val="24"/>
        </w:rPr>
        <w:t>M</w:t>
      </w:r>
      <w:r w:rsidRPr="00D00BAF">
        <w:rPr>
          <w:sz w:val="24"/>
        </w:rPr>
        <w:t>undo en el Municipio de San Salvador, Departamento</w:t>
      </w:r>
      <w:r w:rsidRPr="00D00BAF">
        <w:rPr>
          <w:sz w:val="24"/>
          <w:lang w:val="es-ES_tradnl"/>
        </w:rPr>
        <w:t xml:space="preserve"> de San Salvador.</w:t>
      </w:r>
    </w:p>
    <w:p w:rsidR="00845617" w:rsidRDefault="00845617" w:rsidP="00F52B50">
      <w:pPr>
        <w:pStyle w:val="Prrafodelista"/>
        <w:tabs>
          <w:tab w:val="left" w:pos="-2160"/>
          <w:tab w:val="left" w:pos="-1980"/>
        </w:tabs>
        <w:snapToGrid w:val="0"/>
        <w:ind w:left="426"/>
        <w:jc w:val="both"/>
        <w:rPr>
          <w:sz w:val="24"/>
          <w:lang w:val="es-ES_tradnl"/>
        </w:rPr>
      </w:pPr>
    </w:p>
    <w:p w:rsidR="00F52B50" w:rsidRPr="00D00BAF" w:rsidRDefault="00F52B50" w:rsidP="003B1CE7">
      <w:pPr>
        <w:pStyle w:val="Prrafodelista"/>
        <w:numPr>
          <w:ilvl w:val="0"/>
          <w:numId w:val="43"/>
        </w:numPr>
        <w:tabs>
          <w:tab w:val="left" w:pos="-2160"/>
          <w:tab w:val="left" w:pos="-1980"/>
        </w:tabs>
        <w:snapToGrid w:val="0"/>
        <w:ind w:left="426" w:hanging="426"/>
        <w:jc w:val="both"/>
        <w:rPr>
          <w:sz w:val="24"/>
          <w:szCs w:val="24"/>
          <w:lang w:val="es-ES_tradnl"/>
        </w:rPr>
      </w:pPr>
      <w:r w:rsidRPr="00D00BAF">
        <w:rPr>
          <w:sz w:val="24"/>
          <w:szCs w:val="24"/>
          <w:lang w:val="es-ES_tradnl"/>
        </w:rPr>
        <w:t>VENTA Y CESION DE CARTERA AL FIDEAGRO.</w:t>
      </w:r>
    </w:p>
    <w:p w:rsidR="00F52B50" w:rsidRPr="00D00BAF" w:rsidRDefault="00F52B50" w:rsidP="00F52B50">
      <w:pPr>
        <w:pStyle w:val="Prrafodelista"/>
        <w:tabs>
          <w:tab w:val="left" w:pos="-2160"/>
          <w:tab w:val="left" w:pos="-1980"/>
        </w:tabs>
        <w:snapToGrid w:val="0"/>
        <w:ind w:left="426"/>
        <w:jc w:val="both"/>
        <w:rPr>
          <w:sz w:val="24"/>
          <w:szCs w:val="24"/>
          <w:lang w:val="es-ES_tradnl"/>
        </w:rPr>
      </w:pPr>
    </w:p>
    <w:p w:rsidR="00F52B50" w:rsidRPr="00D00BAF" w:rsidRDefault="00F52B50" w:rsidP="00F52B50">
      <w:pPr>
        <w:ind w:left="426"/>
        <w:jc w:val="both"/>
        <w:rPr>
          <w:sz w:val="24"/>
          <w:szCs w:val="24"/>
          <w:lang w:val="es-ES_tradnl"/>
        </w:rPr>
      </w:pPr>
      <w:r w:rsidRPr="00D00BAF">
        <w:rPr>
          <w:sz w:val="24"/>
          <w:szCs w:val="24"/>
          <w:lang w:val="es-ES_tradnl"/>
        </w:rPr>
        <w:t>Con base a lo establecido en el Decreto Legislativo No. 619, del 23/11/01, el Banco de Fomento Agropecuario, vendió al FIDEAGRO,  al 75%  de su valor préstamos categoría “D” por $2,191.4; siendo el 100% de su valor $2,921.9, y cedió préstamos categoría “E” por $20.9.</w:t>
      </w:r>
    </w:p>
    <w:p w:rsidR="00F52B50" w:rsidRPr="00D00BAF" w:rsidRDefault="00F52B50" w:rsidP="00F52B50">
      <w:pPr>
        <w:ind w:left="426"/>
        <w:jc w:val="both"/>
        <w:rPr>
          <w:sz w:val="24"/>
          <w:szCs w:val="24"/>
          <w:lang w:val="es-ES_tradnl"/>
        </w:rPr>
      </w:pPr>
    </w:p>
    <w:p w:rsidR="00F52B50" w:rsidRPr="00D00BAF" w:rsidRDefault="00F52B50" w:rsidP="003B1CE7">
      <w:pPr>
        <w:pStyle w:val="Prrafodelista"/>
        <w:numPr>
          <w:ilvl w:val="0"/>
          <w:numId w:val="43"/>
        </w:numPr>
        <w:tabs>
          <w:tab w:val="left" w:pos="-2160"/>
          <w:tab w:val="left" w:pos="-1980"/>
        </w:tabs>
        <w:snapToGrid w:val="0"/>
        <w:ind w:left="426" w:hanging="426"/>
        <w:jc w:val="both"/>
        <w:rPr>
          <w:sz w:val="24"/>
          <w:lang w:val="es-ES_tradnl"/>
        </w:rPr>
      </w:pPr>
      <w:r w:rsidRPr="00D00BAF">
        <w:rPr>
          <w:sz w:val="24"/>
          <w:lang w:val="es-ES_tradnl"/>
        </w:rPr>
        <w:t>CERTIFICACIÓN ISO 9001: 2008.</w:t>
      </w:r>
    </w:p>
    <w:p w:rsidR="00F52B50" w:rsidRPr="00D00BAF" w:rsidRDefault="00F52B50" w:rsidP="00F52B50">
      <w:pPr>
        <w:rPr>
          <w:lang w:val="es-ES_tradnl"/>
        </w:rPr>
      </w:pPr>
      <w:r w:rsidRPr="00D00BAF">
        <w:rPr>
          <w:lang w:val="es-ES_tradnl"/>
        </w:rPr>
        <w:t> </w:t>
      </w:r>
    </w:p>
    <w:p w:rsidR="00F52B50" w:rsidRPr="00D00BAF" w:rsidRDefault="00F52B50" w:rsidP="00F52B50">
      <w:pPr>
        <w:tabs>
          <w:tab w:val="left" w:pos="-2160"/>
          <w:tab w:val="left" w:pos="-1980"/>
        </w:tabs>
        <w:snapToGrid w:val="0"/>
        <w:ind w:left="426"/>
        <w:jc w:val="both"/>
        <w:rPr>
          <w:sz w:val="24"/>
          <w:lang w:val="es-ES_tradnl"/>
        </w:rPr>
      </w:pPr>
      <w:r w:rsidRPr="00D00BAF">
        <w:rPr>
          <w:sz w:val="24"/>
          <w:lang w:val="es-ES_tradnl"/>
        </w:rPr>
        <w:t>En el mes de septiembre de 2014, el Banco fue certificado por cuarto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F52B50" w:rsidRPr="00D00BAF" w:rsidRDefault="00F52B50" w:rsidP="00F52B50">
      <w:pPr>
        <w:ind w:left="426"/>
        <w:jc w:val="both"/>
        <w:rPr>
          <w:sz w:val="24"/>
          <w:szCs w:val="24"/>
          <w:lang w:val="es-ES_tradnl"/>
        </w:rPr>
      </w:pPr>
    </w:p>
    <w:p w:rsidR="00E41477" w:rsidRPr="00D00BAF" w:rsidRDefault="00E41477" w:rsidP="00E41477">
      <w:pPr>
        <w:tabs>
          <w:tab w:val="left" w:pos="-2160"/>
          <w:tab w:val="left" w:pos="-1980"/>
        </w:tabs>
        <w:snapToGrid w:val="0"/>
        <w:jc w:val="both"/>
        <w:rPr>
          <w:b/>
          <w:sz w:val="24"/>
          <w:lang w:val="es-ES_tradnl"/>
        </w:rPr>
      </w:pPr>
    </w:p>
    <w:p w:rsidR="000E0885" w:rsidRPr="00D00BAF" w:rsidRDefault="000E0885" w:rsidP="00D15197">
      <w:pPr>
        <w:pStyle w:val="Textoindependiente"/>
        <w:numPr>
          <w:ilvl w:val="0"/>
          <w:numId w:val="6"/>
        </w:numPr>
        <w:tabs>
          <w:tab w:val="clear" w:pos="720"/>
          <w:tab w:val="clear" w:pos="1080"/>
          <w:tab w:val="clear" w:pos="1296"/>
          <w:tab w:val="clear" w:pos="2016"/>
          <w:tab w:val="left" w:pos="-2160"/>
          <w:tab w:val="left" w:pos="-1980"/>
          <w:tab w:val="num" w:pos="1134"/>
        </w:tabs>
        <w:ind w:left="1134" w:hanging="1134"/>
        <w:jc w:val="both"/>
        <w:rPr>
          <w:rFonts w:ascii="Times New Roman" w:hAnsi="Times New Roman"/>
          <w:bCs/>
        </w:rPr>
      </w:pPr>
      <w:r w:rsidRPr="00D00BAF">
        <w:rPr>
          <w:rFonts w:ascii="Times New Roman" w:hAnsi="Times New Roman"/>
          <w:bCs/>
        </w:rPr>
        <w:t xml:space="preserve">DIFERENCIAS SIGNIFICATIVAS ENTRE LAS NORMAS CONTABLES </w:t>
      </w:r>
      <w:r w:rsidR="00D15197">
        <w:rPr>
          <w:rFonts w:ascii="Times New Roman" w:hAnsi="Times New Roman"/>
          <w:bCs/>
        </w:rPr>
        <w:t xml:space="preserve"> </w:t>
      </w:r>
      <w:r w:rsidRPr="00D00BAF">
        <w:rPr>
          <w:rFonts w:ascii="Times New Roman" w:hAnsi="Times New Roman"/>
          <w:bCs/>
        </w:rPr>
        <w:t>EMITIDAS POR LA SUPERINTENDENCIA Y LAS NORMAS INTERNACIO</w:t>
      </w:r>
      <w:r w:rsidR="00C85B57" w:rsidRPr="00D00BAF">
        <w:rPr>
          <w:rFonts w:ascii="Times New Roman" w:hAnsi="Times New Roman"/>
          <w:bCs/>
        </w:rPr>
        <w:t>NALES DE INFORMACION FINANCIERA</w:t>
      </w:r>
    </w:p>
    <w:p w:rsidR="000E0885" w:rsidRPr="00D00BAF" w:rsidRDefault="000E0885">
      <w:pPr>
        <w:jc w:val="both"/>
        <w:rPr>
          <w:b/>
          <w:bCs/>
          <w:sz w:val="24"/>
        </w:rPr>
      </w:pPr>
    </w:p>
    <w:p w:rsidR="000E0885" w:rsidRPr="00D00BAF" w:rsidRDefault="000E0885">
      <w:pPr>
        <w:jc w:val="both"/>
        <w:rPr>
          <w:sz w:val="24"/>
        </w:rPr>
      </w:pPr>
      <w:r w:rsidRPr="00D00BAF">
        <w:rPr>
          <w:sz w:val="24"/>
        </w:rPr>
        <w:t>Las principales diferencias entre las Normas Internacionales de Información Financiera (NIIF) y las normas contables bancarias (NCB), emitidas por la Superintendencia del Sistema Financiero, se describen a continuación:</w:t>
      </w:r>
    </w:p>
    <w:p w:rsidR="000E0885" w:rsidRPr="00D00BAF" w:rsidRDefault="000E0885">
      <w:pPr>
        <w:jc w:val="both"/>
        <w:rPr>
          <w:sz w:val="24"/>
        </w:rPr>
      </w:pPr>
    </w:p>
    <w:p w:rsidR="000E0885" w:rsidRPr="00D00BAF" w:rsidRDefault="000E0885">
      <w:pPr>
        <w:pStyle w:val="Textoindependiente3"/>
        <w:numPr>
          <w:ilvl w:val="0"/>
          <w:numId w:val="9"/>
        </w:numPr>
        <w:tabs>
          <w:tab w:val="clear" w:pos="720"/>
          <w:tab w:val="num" w:pos="360"/>
        </w:tabs>
        <w:spacing w:line="216" w:lineRule="auto"/>
        <w:ind w:left="360"/>
        <w:rPr>
          <w:szCs w:val="24"/>
          <w:u w:val="none"/>
        </w:rPr>
      </w:pPr>
      <w:r w:rsidRPr="00D00BAF">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0E0885" w:rsidRPr="00D00BAF" w:rsidRDefault="000E0885">
      <w:pPr>
        <w:pStyle w:val="Textoindependiente3"/>
        <w:spacing w:line="216" w:lineRule="auto"/>
        <w:rPr>
          <w:szCs w:val="24"/>
          <w:u w:val="none"/>
        </w:rPr>
      </w:pPr>
    </w:p>
    <w:p w:rsidR="000E0885" w:rsidRPr="00D00BAF" w:rsidRDefault="000E0885">
      <w:pPr>
        <w:pStyle w:val="Prrafodelista"/>
        <w:numPr>
          <w:ilvl w:val="0"/>
          <w:numId w:val="2"/>
        </w:numPr>
        <w:tabs>
          <w:tab w:val="left" w:pos="360"/>
        </w:tabs>
        <w:autoSpaceDE w:val="0"/>
        <w:autoSpaceDN w:val="0"/>
        <w:adjustRightInd w:val="0"/>
        <w:spacing w:line="230" w:lineRule="auto"/>
        <w:ind w:left="360"/>
        <w:jc w:val="both"/>
        <w:rPr>
          <w:sz w:val="24"/>
          <w:szCs w:val="24"/>
        </w:rPr>
      </w:pPr>
      <w:r w:rsidRPr="00D00BAF">
        <w:rPr>
          <w:sz w:val="24"/>
          <w:szCs w:val="24"/>
        </w:rPr>
        <w:t>No se están realizando todas las divulgaciones relacionadas con el uso de los instrumentos financieros; por ejemplo:</w:t>
      </w:r>
    </w:p>
    <w:p w:rsidR="000E0885" w:rsidRPr="00D00BAF" w:rsidRDefault="000E0885">
      <w:pPr>
        <w:rPr>
          <w:sz w:val="24"/>
          <w:szCs w:val="24"/>
        </w:rPr>
      </w:pPr>
    </w:p>
    <w:p w:rsidR="000E0885" w:rsidRPr="00D00BAF" w:rsidRDefault="000E0885">
      <w:pPr>
        <w:numPr>
          <w:ilvl w:val="2"/>
          <w:numId w:val="10"/>
        </w:numPr>
        <w:tabs>
          <w:tab w:val="clear" w:pos="2160"/>
        </w:tabs>
        <w:autoSpaceDE w:val="0"/>
        <w:autoSpaceDN w:val="0"/>
        <w:adjustRightInd w:val="0"/>
        <w:ind w:left="709" w:hanging="142"/>
        <w:jc w:val="both"/>
        <w:rPr>
          <w:sz w:val="24"/>
          <w:szCs w:val="24"/>
          <w:lang w:eastAsia="en-US"/>
        </w:rPr>
      </w:pPr>
      <w:r w:rsidRPr="00D00BAF">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0E0885" w:rsidRPr="00D00BAF" w:rsidRDefault="000E0885">
      <w:pPr>
        <w:numPr>
          <w:ilvl w:val="2"/>
          <w:numId w:val="10"/>
        </w:numPr>
        <w:tabs>
          <w:tab w:val="clear" w:pos="2160"/>
        </w:tabs>
        <w:autoSpaceDE w:val="0"/>
        <w:autoSpaceDN w:val="0"/>
        <w:adjustRightInd w:val="0"/>
        <w:ind w:left="709" w:hanging="142"/>
        <w:jc w:val="both"/>
        <w:rPr>
          <w:sz w:val="24"/>
          <w:szCs w:val="24"/>
          <w:lang w:eastAsia="en-US"/>
        </w:rPr>
      </w:pPr>
      <w:r w:rsidRPr="00D00BAF">
        <w:rPr>
          <w:sz w:val="24"/>
          <w:szCs w:val="24"/>
          <w:lang w:eastAsia="en-US"/>
        </w:rPr>
        <w:t>La información sobre la naturaleza de los riesgos cubiertos, tales como riesgo de crédito, riesgo de mercado, riesgo de moneda y riesgo de la tasa de interés.</w:t>
      </w:r>
    </w:p>
    <w:p w:rsidR="000E0885" w:rsidRPr="00D00BAF" w:rsidRDefault="000E0885">
      <w:pPr>
        <w:autoSpaceDE w:val="0"/>
        <w:autoSpaceDN w:val="0"/>
        <w:adjustRightInd w:val="0"/>
        <w:jc w:val="both"/>
        <w:rPr>
          <w:sz w:val="24"/>
          <w:szCs w:val="24"/>
          <w:lang w:eastAsia="en-US"/>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lastRenderedPageBreak/>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 valores adquiridos o vendidos con pacto de recompra (reportos) se registran como inversiones y deudas en el Balance General; de acuerdo con las NIIF estos deben registrarse como cuentas por cobrar y deudas.</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Las</w:t>
      </w:r>
      <w:r w:rsidRPr="00D00BAF">
        <w:rPr>
          <w:szCs w:val="24"/>
          <w:u w:val="none"/>
        </w:rPr>
        <w:t xml:space="preserve"> provisiones para riesgos de crédito se indica que se han establecido con base a normativa emitida por la Superintendencia del Sistema Financiero;</w:t>
      </w:r>
      <w:r w:rsidRPr="00D00BAF">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D00BAF">
        <w:rPr>
          <w:szCs w:val="24"/>
          <w:u w:val="none"/>
        </w:rPr>
        <w:t>Las NIIF sugieren que el análisis para el establecimiento de reservas se realice en base a los flujos de efectivo futuros, incluyendo el valor justo razonable de la garantía.</w:t>
      </w:r>
    </w:p>
    <w:p w:rsidR="000E0885" w:rsidRPr="00D00BAF" w:rsidRDefault="000E0885">
      <w:pPr>
        <w:pStyle w:val="Textoindependiente3"/>
        <w:rPr>
          <w:szCs w:val="24"/>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szCs w:val="24"/>
          <w:u w:val="none"/>
        </w:rPr>
        <w:t>Las liberaciones de reservas constituidas en años anteriores se registran con crédito a otros ingresos no de operación; las NIIF requieren que las transacciones de la misma naturaleza se muestren netas.</w:t>
      </w:r>
    </w:p>
    <w:p w:rsidR="000E0885" w:rsidRPr="00D00BAF" w:rsidRDefault="000E0885">
      <w:pPr>
        <w:tabs>
          <w:tab w:val="left" w:pos="900"/>
        </w:tabs>
        <w:autoSpaceDE w:val="0"/>
        <w:autoSpaceDN w:val="0"/>
        <w:adjustRightInd w:val="0"/>
        <w:ind w:left="900" w:hanging="360"/>
        <w:jc w:val="both"/>
        <w:rPr>
          <w:sz w:val="24"/>
          <w:szCs w:val="24"/>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szCs w:val="24"/>
          <w:u w:val="none"/>
        </w:rPr>
        <w:t>De acuerdo con las NIIF, el establecimiento de reservas voluntarias no forma parte de los resultados, sino son apropiaciones de utilidades retenidas.</w:t>
      </w:r>
    </w:p>
    <w:p w:rsidR="000E0885" w:rsidRPr="00D00BAF" w:rsidRDefault="000E0885">
      <w:pPr>
        <w:pStyle w:val="Prrafodelista"/>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0E0885" w:rsidRPr="00D00BAF" w:rsidRDefault="000E0885">
      <w:pPr>
        <w:pStyle w:val="Textoindependiente3"/>
        <w:ind w:left="360" w:hanging="360"/>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La</w:t>
      </w:r>
      <w:r w:rsidRPr="00D00BAF">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0E0885" w:rsidRPr="00D00BAF" w:rsidRDefault="000E0885">
      <w:pPr>
        <w:pStyle w:val="Textoindependiente3"/>
        <w:ind w:left="360" w:hanging="360"/>
        <w:rPr>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No</w:t>
      </w:r>
      <w:r w:rsidRPr="00D00BAF">
        <w:rPr>
          <w:szCs w:val="24"/>
          <w:u w:val="none"/>
          <w:lang w:eastAsia="en-US"/>
        </w:rPr>
        <w:t xml:space="preserve"> se registran impuestos diferidos; las NIIF requieren el reconocimiento de éstos cuando la base de valuación fiscal de los activos y pasivos difiere de lo financiero contable.</w:t>
      </w:r>
    </w:p>
    <w:p w:rsidR="000E0885" w:rsidRPr="00D00BAF" w:rsidRDefault="000E0885">
      <w:pPr>
        <w:pStyle w:val="Textoindependiente3"/>
        <w:rPr>
          <w:szCs w:val="24"/>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w:t>
      </w:r>
      <w:r w:rsidRPr="00D00BAF">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C82C43" w:rsidRPr="00D00BAF" w:rsidRDefault="00C82C43" w:rsidP="00C82C43">
      <w:pPr>
        <w:pStyle w:val="Prrafodelista"/>
      </w:pPr>
    </w:p>
    <w:p w:rsidR="00C82C43" w:rsidRPr="00D00BAF" w:rsidRDefault="00C82C43" w:rsidP="00C82C43">
      <w:pPr>
        <w:pStyle w:val="Textoindependiente3"/>
        <w:ind w:left="426"/>
        <w:rPr>
          <w:u w:val="none"/>
        </w:rPr>
      </w:pPr>
    </w:p>
    <w:p w:rsidR="00C82C43" w:rsidRPr="00D00BAF" w:rsidRDefault="00C82C43" w:rsidP="00C82C43">
      <w:pPr>
        <w:pStyle w:val="Prrafodelista"/>
        <w:keepNext/>
        <w:numPr>
          <w:ilvl w:val="0"/>
          <w:numId w:val="6"/>
        </w:numPr>
        <w:tabs>
          <w:tab w:val="left" w:pos="1134"/>
          <w:tab w:val="num" w:pos="3065"/>
        </w:tabs>
        <w:jc w:val="both"/>
        <w:outlineLvl w:val="6"/>
        <w:rPr>
          <w:b/>
          <w:sz w:val="24"/>
          <w:lang w:val="es-ES_tradnl"/>
        </w:rPr>
      </w:pPr>
      <w:r w:rsidRPr="00D00BAF">
        <w:rPr>
          <w:b/>
          <w:sz w:val="24"/>
          <w:lang w:val="es-ES_tradnl"/>
        </w:rPr>
        <w:t>POLÍTICAS Y METODOLOGÍAS PARA LA GESTION DE RIESGOS</w:t>
      </w:r>
    </w:p>
    <w:p w:rsidR="001D100C" w:rsidRPr="00D00BAF" w:rsidRDefault="001D100C" w:rsidP="007E6530">
      <w:pPr>
        <w:snapToGrid w:val="0"/>
        <w:ind w:left="426"/>
        <w:jc w:val="both"/>
        <w:rPr>
          <w:rFonts w:ascii="Arial" w:hAnsi="Arial" w:cs="Arial"/>
          <w:lang w:val="es-ES_tradnl"/>
        </w:rPr>
      </w:pPr>
    </w:p>
    <w:p w:rsidR="001D100C" w:rsidRPr="00D00BAF" w:rsidRDefault="001D100C" w:rsidP="001D100C">
      <w:pPr>
        <w:jc w:val="both"/>
        <w:rPr>
          <w:sz w:val="24"/>
          <w:szCs w:val="24"/>
        </w:rPr>
      </w:pPr>
      <w:r w:rsidRPr="00D00BAF">
        <w:rPr>
          <w:sz w:val="24"/>
          <w:szCs w:val="24"/>
        </w:rPr>
        <w:t>El Banco cuenta con un marco normativo para la Gestión de Riesgos, los cuales se encuentran debidamente aprobados por la Junta de Directores.</w:t>
      </w:r>
    </w:p>
    <w:p w:rsidR="001D100C" w:rsidRPr="00D00BAF" w:rsidRDefault="001D100C" w:rsidP="001D100C">
      <w:pPr>
        <w:jc w:val="both"/>
        <w:rPr>
          <w:sz w:val="24"/>
          <w:szCs w:val="24"/>
        </w:rPr>
      </w:pPr>
    </w:p>
    <w:p w:rsidR="001D100C" w:rsidRPr="00D00BAF" w:rsidRDefault="001D100C" w:rsidP="001D100C">
      <w:pPr>
        <w:jc w:val="both"/>
        <w:rPr>
          <w:sz w:val="24"/>
          <w:szCs w:val="24"/>
        </w:rPr>
      </w:pPr>
      <w:r w:rsidRPr="00D00BAF">
        <w:rPr>
          <w:sz w:val="24"/>
          <w:szCs w:val="24"/>
        </w:rPr>
        <w:t>La administración de riesgos es un proceso estratégico que persigue la toma de decisiones oportunas, enfocadas a la prevención y mitigación de los riesgos que puedan impactar económicamente al patrimonio del Banco. La metodología adoptada para su gestión comprende los siguientes pasos:</w:t>
      </w:r>
    </w:p>
    <w:p w:rsidR="001D100C" w:rsidRPr="00D00BAF" w:rsidRDefault="001D100C" w:rsidP="001D100C">
      <w:pPr>
        <w:jc w:val="both"/>
        <w:rPr>
          <w:sz w:val="24"/>
          <w:szCs w:val="24"/>
        </w:rPr>
      </w:pPr>
    </w:p>
    <w:p w:rsidR="001D100C" w:rsidRPr="00D00BAF" w:rsidRDefault="001D100C" w:rsidP="001D100C">
      <w:pPr>
        <w:numPr>
          <w:ilvl w:val="0"/>
          <w:numId w:val="17"/>
        </w:numPr>
        <w:autoSpaceDE w:val="0"/>
        <w:autoSpaceDN w:val="0"/>
        <w:adjustRightInd w:val="0"/>
        <w:ind w:left="284" w:hanging="284"/>
        <w:jc w:val="both"/>
        <w:rPr>
          <w:sz w:val="24"/>
          <w:szCs w:val="24"/>
        </w:rPr>
      </w:pPr>
      <w:r w:rsidRPr="00D00BAF">
        <w:rPr>
          <w:sz w:val="24"/>
          <w:szCs w:val="24"/>
        </w:rPr>
        <w:t>Definición del Contexto Interno y Externo.</w:t>
      </w:r>
    </w:p>
    <w:p w:rsidR="001D100C" w:rsidRPr="00D00BAF" w:rsidRDefault="001D100C" w:rsidP="001D100C">
      <w:pPr>
        <w:numPr>
          <w:ilvl w:val="0"/>
          <w:numId w:val="17"/>
        </w:numPr>
        <w:autoSpaceDE w:val="0"/>
        <w:autoSpaceDN w:val="0"/>
        <w:adjustRightInd w:val="0"/>
        <w:ind w:left="284" w:hanging="284"/>
        <w:jc w:val="both"/>
        <w:rPr>
          <w:sz w:val="24"/>
          <w:szCs w:val="24"/>
        </w:rPr>
      </w:pPr>
      <w:r w:rsidRPr="00D00BAF">
        <w:rPr>
          <w:sz w:val="24"/>
          <w:szCs w:val="24"/>
        </w:rPr>
        <w:t>Identificación de riesgos. (Internos y Externos)</w:t>
      </w:r>
    </w:p>
    <w:p w:rsidR="001D100C" w:rsidRPr="00D00BAF" w:rsidRDefault="001D100C" w:rsidP="001D100C">
      <w:pPr>
        <w:numPr>
          <w:ilvl w:val="0"/>
          <w:numId w:val="17"/>
        </w:numPr>
        <w:autoSpaceDE w:val="0"/>
        <w:autoSpaceDN w:val="0"/>
        <w:adjustRightInd w:val="0"/>
        <w:ind w:left="284" w:hanging="284"/>
        <w:jc w:val="both"/>
        <w:rPr>
          <w:sz w:val="24"/>
          <w:szCs w:val="24"/>
        </w:rPr>
      </w:pPr>
      <w:r w:rsidRPr="00D00BAF">
        <w:rPr>
          <w:sz w:val="24"/>
          <w:szCs w:val="24"/>
        </w:rPr>
        <w:t>Análisis de Riesgos.</w:t>
      </w:r>
    </w:p>
    <w:p w:rsidR="001D100C" w:rsidRPr="00D00BAF" w:rsidRDefault="001D100C" w:rsidP="001D100C">
      <w:pPr>
        <w:numPr>
          <w:ilvl w:val="0"/>
          <w:numId w:val="17"/>
        </w:numPr>
        <w:autoSpaceDE w:val="0"/>
        <w:autoSpaceDN w:val="0"/>
        <w:adjustRightInd w:val="0"/>
        <w:ind w:left="284" w:hanging="284"/>
        <w:jc w:val="both"/>
        <w:rPr>
          <w:sz w:val="24"/>
          <w:szCs w:val="24"/>
        </w:rPr>
      </w:pPr>
      <w:r w:rsidRPr="00D00BAF">
        <w:rPr>
          <w:sz w:val="24"/>
          <w:szCs w:val="24"/>
        </w:rPr>
        <w:t>Evaluación de Riesgos. ( Medición)</w:t>
      </w:r>
    </w:p>
    <w:p w:rsidR="001D100C" w:rsidRPr="00D00BAF" w:rsidRDefault="001D100C" w:rsidP="001D100C">
      <w:pPr>
        <w:numPr>
          <w:ilvl w:val="0"/>
          <w:numId w:val="17"/>
        </w:numPr>
        <w:autoSpaceDE w:val="0"/>
        <w:autoSpaceDN w:val="0"/>
        <w:adjustRightInd w:val="0"/>
        <w:ind w:left="284" w:hanging="284"/>
        <w:jc w:val="both"/>
        <w:rPr>
          <w:sz w:val="24"/>
          <w:szCs w:val="24"/>
        </w:rPr>
      </w:pPr>
      <w:r w:rsidRPr="00D00BAF">
        <w:rPr>
          <w:sz w:val="24"/>
          <w:szCs w:val="24"/>
        </w:rPr>
        <w:t>Tratamiento de los riesgos.</w:t>
      </w:r>
    </w:p>
    <w:p w:rsidR="001D100C" w:rsidRPr="00D00BAF" w:rsidRDefault="001D100C" w:rsidP="001D100C">
      <w:pPr>
        <w:numPr>
          <w:ilvl w:val="0"/>
          <w:numId w:val="17"/>
        </w:numPr>
        <w:autoSpaceDE w:val="0"/>
        <w:autoSpaceDN w:val="0"/>
        <w:adjustRightInd w:val="0"/>
        <w:ind w:left="284" w:hanging="284"/>
        <w:jc w:val="both"/>
        <w:rPr>
          <w:sz w:val="24"/>
          <w:szCs w:val="24"/>
        </w:rPr>
      </w:pPr>
      <w:r w:rsidRPr="00D00BAF">
        <w:rPr>
          <w:sz w:val="24"/>
          <w:szCs w:val="24"/>
        </w:rPr>
        <w:t>Monitoreo y revisión.</w:t>
      </w:r>
    </w:p>
    <w:p w:rsidR="001D100C" w:rsidRPr="00D00BAF" w:rsidRDefault="001D100C" w:rsidP="001D100C">
      <w:pPr>
        <w:numPr>
          <w:ilvl w:val="0"/>
          <w:numId w:val="17"/>
        </w:numPr>
        <w:autoSpaceDE w:val="0"/>
        <w:autoSpaceDN w:val="0"/>
        <w:adjustRightInd w:val="0"/>
        <w:ind w:left="284" w:hanging="284"/>
        <w:jc w:val="both"/>
        <w:rPr>
          <w:sz w:val="24"/>
          <w:szCs w:val="24"/>
        </w:rPr>
      </w:pPr>
      <w:r w:rsidRPr="00D00BAF">
        <w:rPr>
          <w:sz w:val="24"/>
          <w:szCs w:val="24"/>
        </w:rPr>
        <w:t>Comunicación y consultas.</w:t>
      </w:r>
    </w:p>
    <w:p w:rsidR="001D100C" w:rsidRPr="00D00BAF" w:rsidRDefault="001D100C" w:rsidP="001D100C">
      <w:pPr>
        <w:autoSpaceDE w:val="0"/>
        <w:autoSpaceDN w:val="0"/>
        <w:adjustRightInd w:val="0"/>
        <w:ind w:left="360"/>
        <w:jc w:val="both"/>
        <w:rPr>
          <w:sz w:val="24"/>
          <w:szCs w:val="24"/>
        </w:rPr>
      </w:pPr>
    </w:p>
    <w:p w:rsidR="001D100C" w:rsidRPr="00FD0FB7" w:rsidRDefault="001D100C" w:rsidP="001D100C">
      <w:pPr>
        <w:jc w:val="both"/>
        <w:rPr>
          <w:sz w:val="24"/>
          <w:szCs w:val="24"/>
        </w:rPr>
      </w:pPr>
      <w:r w:rsidRPr="00D00BAF">
        <w:rPr>
          <w:sz w:val="24"/>
          <w:szCs w:val="24"/>
        </w:rPr>
        <w:t>La estructura definida para el cumplimiento de las políticas de Gestión de Riesgos, está compuesta por la siguiente: Estructura Estratégica (Junta de Directores, Administración Superior, Comité de Riesgos y Gerencia de Riesgos), Estructura de Apoyo y Operativa, (Gerencia de Áreas, Unidades y Comités)  y Estructura de Control (Comité de Auditoria y Gerencia de Auditoria).</w:t>
      </w:r>
    </w:p>
    <w:p w:rsidR="001D100C" w:rsidRPr="001D100C" w:rsidRDefault="001D100C" w:rsidP="007E6530">
      <w:pPr>
        <w:snapToGrid w:val="0"/>
        <w:ind w:left="426"/>
        <w:jc w:val="both"/>
        <w:rPr>
          <w:rFonts w:ascii="Arial" w:hAnsi="Arial" w:cs="Arial"/>
        </w:rPr>
      </w:pPr>
    </w:p>
    <w:sectPr w:rsidR="001D100C" w:rsidRPr="001D100C">
      <w:footerReference w:type="even" r:id="rId31"/>
      <w:footerReference w:type="default" r:id="rId32"/>
      <w:footerReference w:type="first" r:id="rId33"/>
      <w:pgSz w:w="12240" w:h="15840" w:code="1"/>
      <w:pgMar w:top="1412" w:right="1531" w:bottom="141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0D" w:rsidRDefault="0043190D">
      <w:r>
        <w:separator/>
      </w:r>
    </w:p>
  </w:endnote>
  <w:endnote w:type="continuationSeparator" w:id="0">
    <w:p w:rsidR="0043190D" w:rsidRDefault="0043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33527E" w:rsidRDefault="0033527E">
    <w:pPr>
      <w:pStyle w:val="Piedepgina"/>
    </w:pPr>
  </w:p>
  <w:p w:rsidR="0033527E" w:rsidRDefault="0033527E"/>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27</w:t>
    </w:r>
    <w:r>
      <w:rPr>
        <w:rStyle w:val="Nmerodepgina"/>
        <w:b/>
        <w:bCs/>
      </w:rPr>
      <w:t>¡Error! Marcador no definido.</w:t>
    </w:r>
    <w:r>
      <w:rPr>
        <w:rStyle w:val="Nmerodepgina"/>
      </w:rPr>
      <w:fldChar w:fldCharType="end"/>
    </w:r>
  </w:p>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r>
      <w:t xml:space="preserve">  NCB-017</w:t>
    </w:r>
  </w:p>
  <w:p w:rsidR="0033527E" w:rsidRDefault="0033527E"/>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p>
  <w:p w:rsidR="0033527E" w:rsidRDefault="003352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74EA">
      <w:rPr>
        <w:rStyle w:val="Nmerodepgina"/>
        <w:noProof/>
      </w:rPr>
      <w:t>15</w:t>
    </w:r>
    <w:r>
      <w:rPr>
        <w:rStyle w:val="Nmerodepgina"/>
      </w:rPr>
      <w:fldChar w:fldCharType="end"/>
    </w:r>
  </w:p>
  <w:p w:rsidR="0033527E" w:rsidRDefault="0033527E">
    <w:pPr>
      <w:pStyle w:val="Piedepgina"/>
    </w:pPr>
    <w:r>
      <w:fldChar w:fldCharType="begin"/>
    </w:r>
    <w:r>
      <w:instrText xml:space="preserve"> TIME \@ "H:mm" </w:instrText>
    </w:r>
    <w:r>
      <w:fldChar w:fldCharType="separate"/>
    </w:r>
    <w:r w:rsidR="001C3A7D">
      <w:rPr>
        <w:noProof/>
      </w:rPr>
      <w:t>18:01</w:t>
    </w:r>
    <w:r>
      <w:fldChar w:fldCharType="end"/>
    </w:r>
    <w:r>
      <w:t xml:space="preserve">  NCB-018 </w:t>
    </w:r>
    <w:r>
      <w:fldChar w:fldCharType="begin"/>
    </w:r>
    <w:r>
      <w:instrText xml:space="preserve"> DATE \@ "dd/MM/yyyy" </w:instrText>
    </w:r>
    <w:r>
      <w:fldChar w:fldCharType="separate"/>
    </w:r>
    <w:r w:rsidR="001C3A7D">
      <w:rPr>
        <w:noProof/>
      </w:rPr>
      <w:t>29/02/2016</w:t>
    </w:r>
    <w:r>
      <w:fldChar w:fldCharType="end"/>
    </w:r>
    <w:r>
      <w:t xml:space="preserve">  Publicación.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pPr>
    <w:r>
      <w:fldChar w:fldCharType="begin"/>
    </w:r>
    <w:r>
      <w:instrText xml:space="preserve"> DATE \@ "d/MM/aa" </w:instrText>
    </w:r>
    <w:r>
      <w:fldChar w:fldCharType="separate"/>
    </w:r>
    <w:r w:rsidR="001C3A7D">
      <w:rPr>
        <w:noProof/>
      </w:rPr>
      <w:t>29/02/a</w:t>
    </w:r>
    <w:r>
      <w:fldChar w:fldCharType="end"/>
    </w:r>
    <w:r>
      <w:t xml:space="preserve">   </w:t>
    </w:r>
    <w:r>
      <w:fldChar w:fldCharType="begin"/>
    </w:r>
    <w:r>
      <w:instrText xml:space="preserve"> TIME \@ "H:mm" </w:instrText>
    </w:r>
    <w:r>
      <w:fldChar w:fldCharType="separate"/>
    </w:r>
    <w:r w:rsidR="001C3A7D">
      <w:rPr>
        <w:noProof/>
      </w:rPr>
      <w:t>18:01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0D" w:rsidRDefault="0043190D">
      <w:r>
        <w:separator/>
      </w:r>
    </w:p>
  </w:footnote>
  <w:footnote w:type="continuationSeparator" w:id="0">
    <w:p w:rsidR="0043190D" w:rsidRDefault="00431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9C"/>
    <w:multiLevelType w:val="hybridMultilevel"/>
    <w:tmpl w:val="36C6978A"/>
    <w:lvl w:ilvl="0" w:tplc="32BA5A24">
      <w:start w:val="1"/>
      <w:numFmt w:val="upperLetter"/>
      <w:lvlText w:val="%1."/>
      <w:lvlJc w:val="left"/>
      <w:pPr>
        <w:tabs>
          <w:tab w:val="num" w:pos="1506"/>
        </w:tabs>
        <w:ind w:left="150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52FBD"/>
    <w:multiLevelType w:val="hybridMultilevel"/>
    <w:tmpl w:val="73143C2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B205BF5"/>
    <w:multiLevelType w:val="hybridMultilevel"/>
    <w:tmpl w:val="B0F4045C"/>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310E41"/>
    <w:multiLevelType w:val="hybridMultilevel"/>
    <w:tmpl w:val="556EF0C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4AD372D"/>
    <w:multiLevelType w:val="hybridMultilevel"/>
    <w:tmpl w:val="D054A9B4"/>
    <w:lvl w:ilvl="0" w:tplc="85A6A6D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ACC0599"/>
    <w:multiLevelType w:val="hybridMultilevel"/>
    <w:tmpl w:val="3E162E40"/>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800"/>
        </w:tabs>
        <w:ind w:left="180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F0512E8"/>
    <w:multiLevelType w:val="hybridMultilevel"/>
    <w:tmpl w:val="F8627A7E"/>
    <w:lvl w:ilvl="0" w:tplc="AD6EEECA">
      <w:start w:val="1"/>
      <w:numFmt w:val="upperLetter"/>
      <w:lvlText w:val="A.%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nsid w:val="3428309C"/>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rPr>
        <w:rFonts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1">
    <w:nsid w:val="377E1A0E"/>
    <w:multiLevelType w:val="hybridMultilevel"/>
    <w:tmpl w:val="C3CAA802"/>
    <w:lvl w:ilvl="0" w:tplc="57DE6B66">
      <w:start w:val="1"/>
      <w:numFmt w:val="upperLetter"/>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8D209BA"/>
    <w:multiLevelType w:val="singleLevel"/>
    <w:tmpl w:val="9F842CDC"/>
    <w:lvl w:ilvl="0">
      <w:start w:val="1"/>
      <w:numFmt w:val="upperLetter"/>
      <w:lvlText w:val="%1"/>
      <w:lvlJc w:val="left"/>
      <w:pPr>
        <w:ind w:left="720" w:hanging="360"/>
      </w:pPr>
      <w:rPr>
        <w:rFonts w:hint="default"/>
      </w:rPr>
    </w:lvl>
  </w:abstractNum>
  <w:abstractNum w:abstractNumId="13">
    <w:nsid w:val="39DD11AE"/>
    <w:multiLevelType w:val="singleLevel"/>
    <w:tmpl w:val="0C0A000F"/>
    <w:lvl w:ilvl="0">
      <w:start w:val="1"/>
      <w:numFmt w:val="decimal"/>
      <w:lvlText w:val="%1."/>
      <w:lvlJc w:val="left"/>
      <w:pPr>
        <w:tabs>
          <w:tab w:val="num" w:pos="720"/>
        </w:tabs>
        <w:ind w:left="720" w:hanging="360"/>
      </w:pPr>
    </w:lvl>
  </w:abstractNum>
  <w:abstractNum w:abstractNumId="14">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06529C6"/>
    <w:multiLevelType w:val="hybridMultilevel"/>
    <w:tmpl w:val="032608C6"/>
    <w:lvl w:ilvl="0" w:tplc="200E083A">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rPr>
        <w:rFonts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7">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18">
    <w:nsid w:val="45EA5FA1"/>
    <w:multiLevelType w:val="singleLevel"/>
    <w:tmpl w:val="40E87E14"/>
    <w:lvl w:ilvl="0">
      <w:start w:val="2"/>
      <w:numFmt w:val="lowerLetter"/>
      <w:lvlText w:val="%1)"/>
      <w:lvlJc w:val="left"/>
      <w:pPr>
        <w:tabs>
          <w:tab w:val="num" w:pos="705"/>
        </w:tabs>
        <w:ind w:left="705" w:hanging="705"/>
      </w:pPr>
      <w:rPr>
        <w:rFonts w:hint="default"/>
      </w:rPr>
    </w:lvl>
  </w:abstractNum>
  <w:abstractNum w:abstractNumId="19">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0">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40D3BF1"/>
    <w:multiLevelType w:val="hybridMultilevel"/>
    <w:tmpl w:val="088AEA1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6EC5D7F"/>
    <w:multiLevelType w:val="multilevel"/>
    <w:tmpl w:val="4B3800CC"/>
    <w:lvl w:ilvl="0">
      <w:start w:val="1"/>
      <w:numFmt w:val="decimal"/>
      <w:lvlText w:val="NOTA %1."/>
      <w:lvlJc w:val="left"/>
      <w:pPr>
        <w:tabs>
          <w:tab w:val="num" w:pos="1080"/>
        </w:tabs>
        <w:ind w:left="284" w:hanging="284"/>
      </w:pPr>
      <w:rPr>
        <w:rFonts w:hint="default"/>
      </w:rPr>
    </w:lvl>
    <w:lvl w:ilvl="1">
      <w:start w:val="1"/>
      <w:numFmt w:val="upp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A0D6302"/>
    <w:multiLevelType w:val="hybridMultilevel"/>
    <w:tmpl w:val="0A64E070"/>
    <w:lvl w:ilvl="0" w:tplc="6E90FBBA">
      <w:start w:val="1"/>
      <w:numFmt w:val="lowerLetter"/>
      <w:lvlText w:val="%1."/>
      <w:lvlJc w:val="left"/>
      <w:pPr>
        <w:ind w:left="1777"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4">
    <w:nsid w:val="5A761CF7"/>
    <w:multiLevelType w:val="singleLevel"/>
    <w:tmpl w:val="CFD22F0A"/>
    <w:lvl w:ilvl="0">
      <w:start w:val="1"/>
      <w:numFmt w:val="lowerLetter"/>
      <w:lvlText w:val="%1)"/>
      <w:lvlJc w:val="left"/>
      <w:pPr>
        <w:tabs>
          <w:tab w:val="num" w:pos="705"/>
        </w:tabs>
        <w:ind w:left="705" w:hanging="705"/>
      </w:pPr>
      <w:rPr>
        <w:rFonts w:hint="default"/>
      </w:rPr>
    </w:lvl>
  </w:abstractNum>
  <w:abstractNum w:abstractNumId="25">
    <w:nsid w:val="5BB158BE"/>
    <w:multiLevelType w:val="hybridMultilevel"/>
    <w:tmpl w:val="2DBE55F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1EC5B4F"/>
    <w:multiLevelType w:val="hybridMultilevel"/>
    <w:tmpl w:val="7E7CC242"/>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6652216A"/>
    <w:multiLevelType w:val="hybridMultilevel"/>
    <w:tmpl w:val="1F24FC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73241CA"/>
    <w:multiLevelType w:val="hybridMultilevel"/>
    <w:tmpl w:val="72A45D1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AFD4371"/>
    <w:multiLevelType w:val="hybridMultilevel"/>
    <w:tmpl w:val="8C3C5284"/>
    <w:lvl w:ilvl="0" w:tplc="376EC204">
      <w:start w:val="1"/>
      <w:numFmt w:val="lowerLetter"/>
      <w:lvlText w:val="%1)"/>
      <w:lvlJc w:val="left"/>
      <w:pPr>
        <w:tabs>
          <w:tab w:val="num" w:pos="1777"/>
        </w:tabs>
        <w:ind w:left="1777" w:hanging="360"/>
      </w:pPr>
      <w:rPr>
        <w:rFonts w:hint="default"/>
      </w:rPr>
    </w:lvl>
    <w:lvl w:ilvl="1" w:tplc="0C0A0019" w:tentative="1">
      <w:start w:val="1"/>
      <w:numFmt w:val="lowerLetter"/>
      <w:lvlText w:val="%2."/>
      <w:lvlJc w:val="left"/>
      <w:pPr>
        <w:tabs>
          <w:tab w:val="num" w:pos="2497"/>
        </w:tabs>
        <w:ind w:left="2497" w:hanging="360"/>
      </w:pPr>
    </w:lvl>
    <w:lvl w:ilvl="2" w:tplc="0C0A001B" w:tentative="1">
      <w:start w:val="1"/>
      <w:numFmt w:val="lowerRoman"/>
      <w:lvlText w:val="%3."/>
      <w:lvlJc w:val="right"/>
      <w:pPr>
        <w:tabs>
          <w:tab w:val="num" w:pos="3217"/>
        </w:tabs>
        <w:ind w:left="3217" w:hanging="180"/>
      </w:pPr>
    </w:lvl>
    <w:lvl w:ilvl="3" w:tplc="0C0A000F" w:tentative="1">
      <w:start w:val="1"/>
      <w:numFmt w:val="decimal"/>
      <w:lvlText w:val="%4."/>
      <w:lvlJc w:val="left"/>
      <w:pPr>
        <w:tabs>
          <w:tab w:val="num" w:pos="3937"/>
        </w:tabs>
        <w:ind w:left="3937" w:hanging="360"/>
      </w:pPr>
    </w:lvl>
    <w:lvl w:ilvl="4" w:tplc="0C0A0019" w:tentative="1">
      <w:start w:val="1"/>
      <w:numFmt w:val="lowerLetter"/>
      <w:lvlText w:val="%5."/>
      <w:lvlJc w:val="left"/>
      <w:pPr>
        <w:tabs>
          <w:tab w:val="num" w:pos="4657"/>
        </w:tabs>
        <w:ind w:left="4657" w:hanging="360"/>
      </w:pPr>
    </w:lvl>
    <w:lvl w:ilvl="5" w:tplc="0C0A001B" w:tentative="1">
      <w:start w:val="1"/>
      <w:numFmt w:val="lowerRoman"/>
      <w:lvlText w:val="%6."/>
      <w:lvlJc w:val="right"/>
      <w:pPr>
        <w:tabs>
          <w:tab w:val="num" w:pos="5377"/>
        </w:tabs>
        <w:ind w:left="5377" w:hanging="180"/>
      </w:pPr>
    </w:lvl>
    <w:lvl w:ilvl="6" w:tplc="0C0A000F" w:tentative="1">
      <w:start w:val="1"/>
      <w:numFmt w:val="decimal"/>
      <w:lvlText w:val="%7."/>
      <w:lvlJc w:val="left"/>
      <w:pPr>
        <w:tabs>
          <w:tab w:val="num" w:pos="6097"/>
        </w:tabs>
        <w:ind w:left="6097" w:hanging="360"/>
      </w:pPr>
    </w:lvl>
    <w:lvl w:ilvl="7" w:tplc="0C0A0019" w:tentative="1">
      <w:start w:val="1"/>
      <w:numFmt w:val="lowerLetter"/>
      <w:lvlText w:val="%8."/>
      <w:lvlJc w:val="left"/>
      <w:pPr>
        <w:tabs>
          <w:tab w:val="num" w:pos="6817"/>
        </w:tabs>
        <w:ind w:left="6817" w:hanging="360"/>
      </w:pPr>
    </w:lvl>
    <w:lvl w:ilvl="8" w:tplc="0C0A001B" w:tentative="1">
      <w:start w:val="1"/>
      <w:numFmt w:val="lowerRoman"/>
      <w:lvlText w:val="%9."/>
      <w:lvlJc w:val="right"/>
      <w:pPr>
        <w:tabs>
          <w:tab w:val="num" w:pos="7537"/>
        </w:tabs>
        <w:ind w:left="7537" w:hanging="180"/>
      </w:pPr>
    </w:lvl>
  </w:abstractNum>
  <w:abstractNum w:abstractNumId="30">
    <w:nsid w:val="6E267395"/>
    <w:multiLevelType w:val="hybridMultilevel"/>
    <w:tmpl w:val="77EAB27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nsid w:val="76752A83"/>
    <w:multiLevelType w:val="singleLevel"/>
    <w:tmpl w:val="8D64E090"/>
    <w:lvl w:ilvl="0">
      <w:start w:val="1"/>
      <w:numFmt w:val="upperLetter"/>
      <w:lvlText w:val="%1."/>
      <w:lvlJc w:val="left"/>
      <w:pPr>
        <w:tabs>
          <w:tab w:val="num" w:pos="360"/>
        </w:tabs>
        <w:ind w:left="360" w:hanging="360"/>
      </w:pPr>
      <w:rPr>
        <w:rFonts w:hint="default"/>
      </w:rPr>
    </w:lvl>
  </w:abstractNum>
  <w:abstractNum w:abstractNumId="33">
    <w:nsid w:val="77971E9A"/>
    <w:multiLevelType w:val="hybridMultilevel"/>
    <w:tmpl w:val="7980C3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7EA213C"/>
    <w:multiLevelType w:val="singleLevel"/>
    <w:tmpl w:val="230E10BA"/>
    <w:lvl w:ilvl="0">
      <w:start w:val="1"/>
      <w:numFmt w:val="lowerLetter"/>
      <w:lvlText w:val="%1)"/>
      <w:lvlJc w:val="left"/>
      <w:pPr>
        <w:tabs>
          <w:tab w:val="num" w:pos="720"/>
        </w:tabs>
        <w:ind w:left="720" w:hanging="720"/>
      </w:pPr>
      <w:rPr>
        <w:rFonts w:hint="default"/>
      </w:rPr>
    </w:lvl>
  </w:abstractNum>
  <w:num w:numId="1">
    <w:abstractNumId w:val="17"/>
  </w:num>
  <w:num w:numId="2">
    <w:abstractNumId w:val="13"/>
  </w:num>
  <w:num w:numId="3">
    <w:abstractNumId w:val="24"/>
  </w:num>
  <w:num w:numId="4">
    <w:abstractNumId w:val="18"/>
  </w:num>
  <w:num w:numId="5">
    <w:abstractNumId w:val="12"/>
  </w:num>
  <w:num w:numId="6">
    <w:abstractNumId w:val="5"/>
  </w:num>
  <w:num w:numId="7">
    <w:abstractNumId w:val="34"/>
    <w:lvlOverride w:ilvl="0">
      <w:startOverride w:val="1"/>
    </w:lvlOverride>
  </w:num>
  <w:num w:numId="8">
    <w:abstractNumId w:val="12"/>
    <w:lvlOverride w:ilvl="0">
      <w:startOverride w:val="1"/>
    </w:lvlOverride>
  </w:num>
  <w:num w:numId="9">
    <w:abstractNumId w:val="13"/>
    <w:lvlOverride w:ilvl="0">
      <w:startOverride w:val="1"/>
    </w:lvlOverride>
  </w:num>
  <w:num w:numId="10">
    <w:abstractNumId w:val="30"/>
  </w:num>
  <w:num w:numId="11">
    <w:abstractNumId w:val="9"/>
  </w:num>
  <w:num w:numId="12">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7"/>
  </w:num>
  <w:num w:numId="16">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2"/>
  </w:num>
  <w:num w:numId="19">
    <w:abstractNumId w:val="16"/>
  </w:num>
  <w:num w:numId="20">
    <w:abstractNumId w:val="23"/>
  </w:num>
  <w:num w:numId="21">
    <w:abstractNumId w:val="29"/>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16"/>
    <w:lvlOverride w:ilvl="0"/>
    <w:lvlOverride w:ilvl="1">
      <w:startOverride w:val="1"/>
    </w:lvlOverride>
    <w:lvlOverride w:ilvl="2"/>
    <w:lvlOverride w:ilvl="3"/>
    <w:lvlOverride w:ilvl="4"/>
    <w:lvlOverride w:ilvl="5"/>
    <w:lvlOverride w:ilvl="6"/>
    <w:lvlOverride w:ilvl="7"/>
    <w:lvlOverride w:ilvl="8"/>
  </w:num>
  <w:num w:numId="27">
    <w:abstractNumId w:val="26"/>
  </w:num>
  <w:num w:numId="28">
    <w:abstractNumId w:val="31"/>
  </w:num>
  <w:num w:numId="29">
    <w:abstractNumId w:val="32"/>
  </w:num>
  <w:num w:numId="30">
    <w:abstractNumId w:val="15"/>
  </w:num>
  <w:num w:numId="31">
    <w:abstractNumId w:val="33"/>
  </w:num>
  <w:num w:numId="32">
    <w:abstractNumId w:val="8"/>
  </w:num>
  <w:num w:numId="33">
    <w:abstractNumId w:val="1"/>
  </w:num>
  <w:num w:numId="34">
    <w:abstractNumId w:val="4"/>
  </w:num>
  <w:num w:numId="35">
    <w:abstractNumId w:val="24"/>
    <w:lvlOverride w:ilvl="0">
      <w:startOverride w:val="1"/>
    </w:lvlOverride>
  </w:num>
  <w:num w:numId="36">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6"/>
  </w:num>
  <w:num w:numId="39">
    <w:abstractNumId w:val="20"/>
  </w:num>
  <w:num w:numId="40">
    <w:abstractNumId w:val="21"/>
  </w:num>
  <w:num w:numId="41">
    <w:abstractNumId w:val="27"/>
  </w:num>
  <w:num w:numId="42">
    <w:abstractNumId w:val="28"/>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4E"/>
    <w:rsid w:val="00000CB6"/>
    <w:rsid w:val="00006A8E"/>
    <w:rsid w:val="00006E65"/>
    <w:rsid w:val="00011E7B"/>
    <w:rsid w:val="000127CB"/>
    <w:rsid w:val="0002658F"/>
    <w:rsid w:val="00026699"/>
    <w:rsid w:val="000354BB"/>
    <w:rsid w:val="00036B7C"/>
    <w:rsid w:val="00042D58"/>
    <w:rsid w:val="00053DA1"/>
    <w:rsid w:val="00056752"/>
    <w:rsid w:val="00057438"/>
    <w:rsid w:val="0006243B"/>
    <w:rsid w:val="000705D5"/>
    <w:rsid w:val="00072BF4"/>
    <w:rsid w:val="00073350"/>
    <w:rsid w:val="0007498E"/>
    <w:rsid w:val="000768D0"/>
    <w:rsid w:val="00083056"/>
    <w:rsid w:val="000906FF"/>
    <w:rsid w:val="0009265F"/>
    <w:rsid w:val="000A34C6"/>
    <w:rsid w:val="000A5BEB"/>
    <w:rsid w:val="000A6B23"/>
    <w:rsid w:val="000B1DE4"/>
    <w:rsid w:val="000B25EE"/>
    <w:rsid w:val="000B2BBF"/>
    <w:rsid w:val="000B452C"/>
    <w:rsid w:val="000B50F2"/>
    <w:rsid w:val="000B6EAF"/>
    <w:rsid w:val="000B70CD"/>
    <w:rsid w:val="000C0D91"/>
    <w:rsid w:val="000C67EC"/>
    <w:rsid w:val="000D4D08"/>
    <w:rsid w:val="000E0885"/>
    <w:rsid w:val="000E15E8"/>
    <w:rsid w:val="000E1FF0"/>
    <w:rsid w:val="000E6E18"/>
    <w:rsid w:val="000E7F01"/>
    <w:rsid w:val="000F3FBA"/>
    <w:rsid w:val="000F6D45"/>
    <w:rsid w:val="00105521"/>
    <w:rsid w:val="00105A9E"/>
    <w:rsid w:val="001104EB"/>
    <w:rsid w:val="00110E92"/>
    <w:rsid w:val="0011566B"/>
    <w:rsid w:val="001234A6"/>
    <w:rsid w:val="00130A66"/>
    <w:rsid w:val="0013198E"/>
    <w:rsid w:val="001337EC"/>
    <w:rsid w:val="00134E04"/>
    <w:rsid w:val="0013647B"/>
    <w:rsid w:val="001366FA"/>
    <w:rsid w:val="0013768A"/>
    <w:rsid w:val="00142275"/>
    <w:rsid w:val="0014467A"/>
    <w:rsid w:val="00144884"/>
    <w:rsid w:val="00150737"/>
    <w:rsid w:val="00150F1C"/>
    <w:rsid w:val="001516E9"/>
    <w:rsid w:val="00153B66"/>
    <w:rsid w:val="00157A6F"/>
    <w:rsid w:val="00161148"/>
    <w:rsid w:val="00162D04"/>
    <w:rsid w:val="001751BA"/>
    <w:rsid w:val="0017551E"/>
    <w:rsid w:val="00175FAA"/>
    <w:rsid w:val="00176356"/>
    <w:rsid w:val="00180C82"/>
    <w:rsid w:val="0018326D"/>
    <w:rsid w:val="00183425"/>
    <w:rsid w:val="00195470"/>
    <w:rsid w:val="0019649A"/>
    <w:rsid w:val="001B1ED1"/>
    <w:rsid w:val="001B4D38"/>
    <w:rsid w:val="001B55B3"/>
    <w:rsid w:val="001B5747"/>
    <w:rsid w:val="001C360F"/>
    <w:rsid w:val="001C3A7D"/>
    <w:rsid w:val="001C4712"/>
    <w:rsid w:val="001D0842"/>
    <w:rsid w:val="001D100C"/>
    <w:rsid w:val="001D4C50"/>
    <w:rsid w:val="001D7311"/>
    <w:rsid w:val="001E748C"/>
    <w:rsid w:val="001F2ADF"/>
    <w:rsid w:val="0020421F"/>
    <w:rsid w:val="002107B5"/>
    <w:rsid w:val="002109AF"/>
    <w:rsid w:val="00220F8D"/>
    <w:rsid w:val="00223A14"/>
    <w:rsid w:val="00223B68"/>
    <w:rsid w:val="00225C2F"/>
    <w:rsid w:val="00226AB1"/>
    <w:rsid w:val="00230E0F"/>
    <w:rsid w:val="0023616E"/>
    <w:rsid w:val="002375C9"/>
    <w:rsid w:val="00250C9A"/>
    <w:rsid w:val="002521D6"/>
    <w:rsid w:val="00253A29"/>
    <w:rsid w:val="00255E9A"/>
    <w:rsid w:val="00257665"/>
    <w:rsid w:val="002636FF"/>
    <w:rsid w:val="002652D2"/>
    <w:rsid w:val="002657A5"/>
    <w:rsid w:val="00265BE4"/>
    <w:rsid w:val="0027052F"/>
    <w:rsid w:val="00270F29"/>
    <w:rsid w:val="00272936"/>
    <w:rsid w:val="00273233"/>
    <w:rsid w:val="00274DF3"/>
    <w:rsid w:val="0028328F"/>
    <w:rsid w:val="00283D41"/>
    <w:rsid w:val="00284DAF"/>
    <w:rsid w:val="00286998"/>
    <w:rsid w:val="002A1B56"/>
    <w:rsid w:val="002A575E"/>
    <w:rsid w:val="002A57C8"/>
    <w:rsid w:val="002A7C08"/>
    <w:rsid w:val="002C1751"/>
    <w:rsid w:val="002C2332"/>
    <w:rsid w:val="002C2B0C"/>
    <w:rsid w:val="002C2CCD"/>
    <w:rsid w:val="002C6763"/>
    <w:rsid w:val="002D4FEB"/>
    <w:rsid w:val="002D6A6E"/>
    <w:rsid w:val="002E0D51"/>
    <w:rsid w:val="002F1DAF"/>
    <w:rsid w:val="002F2188"/>
    <w:rsid w:val="002F351A"/>
    <w:rsid w:val="002F46E7"/>
    <w:rsid w:val="002F47AF"/>
    <w:rsid w:val="002F536E"/>
    <w:rsid w:val="002F7EAC"/>
    <w:rsid w:val="003101EC"/>
    <w:rsid w:val="003136E6"/>
    <w:rsid w:val="00314543"/>
    <w:rsid w:val="0032118D"/>
    <w:rsid w:val="00322BA8"/>
    <w:rsid w:val="0033527E"/>
    <w:rsid w:val="00335B93"/>
    <w:rsid w:val="003424CE"/>
    <w:rsid w:val="003515E6"/>
    <w:rsid w:val="0035178B"/>
    <w:rsid w:val="00354479"/>
    <w:rsid w:val="00357100"/>
    <w:rsid w:val="003579CA"/>
    <w:rsid w:val="0036060B"/>
    <w:rsid w:val="0036224B"/>
    <w:rsid w:val="00363250"/>
    <w:rsid w:val="003675EB"/>
    <w:rsid w:val="00373998"/>
    <w:rsid w:val="003740EC"/>
    <w:rsid w:val="003757B8"/>
    <w:rsid w:val="0037764F"/>
    <w:rsid w:val="00381249"/>
    <w:rsid w:val="00383AC7"/>
    <w:rsid w:val="0038596E"/>
    <w:rsid w:val="0039761C"/>
    <w:rsid w:val="00397B31"/>
    <w:rsid w:val="003A2E24"/>
    <w:rsid w:val="003A4CAD"/>
    <w:rsid w:val="003A57CD"/>
    <w:rsid w:val="003B1CE7"/>
    <w:rsid w:val="003B3614"/>
    <w:rsid w:val="003B46D4"/>
    <w:rsid w:val="003C34A6"/>
    <w:rsid w:val="003C34CE"/>
    <w:rsid w:val="003E1172"/>
    <w:rsid w:val="003E1352"/>
    <w:rsid w:val="003E4F07"/>
    <w:rsid w:val="003E749E"/>
    <w:rsid w:val="003E7A47"/>
    <w:rsid w:val="003F10F9"/>
    <w:rsid w:val="003F3B48"/>
    <w:rsid w:val="003F534D"/>
    <w:rsid w:val="003F766C"/>
    <w:rsid w:val="00406263"/>
    <w:rsid w:val="00410B84"/>
    <w:rsid w:val="00410DD7"/>
    <w:rsid w:val="0041682D"/>
    <w:rsid w:val="00421289"/>
    <w:rsid w:val="004223C4"/>
    <w:rsid w:val="00423380"/>
    <w:rsid w:val="0043190D"/>
    <w:rsid w:val="00441F3C"/>
    <w:rsid w:val="0044430E"/>
    <w:rsid w:val="00451F76"/>
    <w:rsid w:val="00462E37"/>
    <w:rsid w:val="004649FA"/>
    <w:rsid w:val="00474655"/>
    <w:rsid w:val="00480DB8"/>
    <w:rsid w:val="00482456"/>
    <w:rsid w:val="0048473D"/>
    <w:rsid w:val="00485EDE"/>
    <w:rsid w:val="004875C7"/>
    <w:rsid w:val="004906A6"/>
    <w:rsid w:val="004906BF"/>
    <w:rsid w:val="00491819"/>
    <w:rsid w:val="00497ABD"/>
    <w:rsid w:val="004B021B"/>
    <w:rsid w:val="004B0356"/>
    <w:rsid w:val="004B0DAF"/>
    <w:rsid w:val="004B70BD"/>
    <w:rsid w:val="004B70DB"/>
    <w:rsid w:val="004C198C"/>
    <w:rsid w:val="004C238F"/>
    <w:rsid w:val="004C66AE"/>
    <w:rsid w:val="004D1BE6"/>
    <w:rsid w:val="004D1DFC"/>
    <w:rsid w:val="004D3890"/>
    <w:rsid w:val="004E2CDE"/>
    <w:rsid w:val="004F4AC3"/>
    <w:rsid w:val="005008EE"/>
    <w:rsid w:val="00501420"/>
    <w:rsid w:val="00512B1E"/>
    <w:rsid w:val="005168DC"/>
    <w:rsid w:val="00522F9D"/>
    <w:rsid w:val="00522FD3"/>
    <w:rsid w:val="00523630"/>
    <w:rsid w:val="00532EA7"/>
    <w:rsid w:val="0053612B"/>
    <w:rsid w:val="00543C82"/>
    <w:rsid w:val="0055420F"/>
    <w:rsid w:val="005576DD"/>
    <w:rsid w:val="00561AD4"/>
    <w:rsid w:val="00563616"/>
    <w:rsid w:val="00564874"/>
    <w:rsid w:val="0056625B"/>
    <w:rsid w:val="00567C7D"/>
    <w:rsid w:val="0057151C"/>
    <w:rsid w:val="0057155D"/>
    <w:rsid w:val="00574CE0"/>
    <w:rsid w:val="005807DE"/>
    <w:rsid w:val="00580BD9"/>
    <w:rsid w:val="00590D16"/>
    <w:rsid w:val="0059394A"/>
    <w:rsid w:val="00594F3B"/>
    <w:rsid w:val="0059536B"/>
    <w:rsid w:val="0059636C"/>
    <w:rsid w:val="005972EB"/>
    <w:rsid w:val="005A2C29"/>
    <w:rsid w:val="005A65E1"/>
    <w:rsid w:val="005B4416"/>
    <w:rsid w:val="005B53E8"/>
    <w:rsid w:val="005C3C26"/>
    <w:rsid w:val="005C5880"/>
    <w:rsid w:val="005C653B"/>
    <w:rsid w:val="005D3251"/>
    <w:rsid w:val="005E1108"/>
    <w:rsid w:val="005E1D63"/>
    <w:rsid w:val="005E322F"/>
    <w:rsid w:val="005E3726"/>
    <w:rsid w:val="005F1846"/>
    <w:rsid w:val="005F23FC"/>
    <w:rsid w:val="005F3812"/>
    <w:rsid w:val="005F46D0"/>
    <w:rsid w:val="005F6205"/>
    <w:rsid w:val="00605ED4"/>
    <w:rsid w:val="00611DC4"/>
    <w:rsid w:val="00616436"/>
    <w:rsid w:val="00616643"/>
    <w:rsid w:val="00627EC6"/>
    <w:rsid w:val="00630985"/>
    <w:rsid w:val="006351B9"/>
    <w:rsid w:val="00635F23"/>
    <w:rsid w:val="00636A32"/>
    <w:rsid w:val="00636CF4"/>
    <w:rsid w:val="00640F4D"/>
    <w:rsid w:val="00644314"/>
    <w:rsid w:val="006459A6"/>
    <w:rsid w:val="0065044E"/>
    <w:rsid w:val="006539DB"/>
    <w:rsid w:val="00655D1F"/>
    <w:rsid w:val="00655DC4"/>
    <w:rsid w:val="006569BE"/>
    <w:rsid w:val="006650FF"/>
    <w:rsid w:val="00665207"/>
    <w:rsid w:val="00666050"/>
    <w:rsid w:val="0066636A"/>
    <w:rsid w:val="00675F19"/>
    <w:rsid w:val="006766D6"/>
    <w:rsid w:val="00677334"/>
    <w:rsid w:val="006777BB"/>
    <w:rsid w:val="00686348"/>
    <w:rsid w:val="00686B50"/>
    <w:rsid w:val="00690B36"/>
    <w:rsid w:val="00690EE5"/>
    <w:rsid w:val="006955F7"/>
    <w:rsid w:val="006A2346"/>
    <w:rsid w:val="006A268B"/>
    <w:rsid w:val="006A55BD"/>
    <w:rsid w:val="006A636C"/>
    <w:rsid w:val="006B5178"/>
    <w:rsid w:val="006C0D9C"/>
    <w:rsid w:val="006D07ED"/>
    <w:rsid w:val="006D1F4C"/>
    <w:rsid w:val="006D3ABE"/>
    <w:rsid w:val="006D59B1"/>
    <w:rsid w:val="006D6EC8"/>
    <w:rsid w:val="006E29D3"/>
    <w:rsid w:val="006F5637"/>
    <w:rsid w:val="007003F2"/>
    <w:rsid w:val="0070288B"/>
    <w:rsid w:val="007032BC"/>
    <w:rsid w:val="00705190"/>
    <w:rsid w:val="00705C28"/>
    <w:rsid w:val="00707496"/>
    <w:rsid w:val="00707D93"/>
    <w:rsid w:val="0071328F"/>
    <w:rsid w:val="00715099"/>
    <w:rsid w:val="00720365"/>
    <w:rsid w:val="00725F8C"/>
    <w:rsid w:val="007263E3"/>
    <w:rsid w:val="00726CB3"/>
    <w:rsid w:val="0073121B"/>
    <w:rsid w:val="007315D4"/>
    <w:rsid w:val="007516E3"/>
    <w:rsid w:val="00753EFD"/>
    <w:rsid w:val="0075565E"/>
    <w:rsid w:val="00760C1D"/>
    <w:rsid w:val="00762351"/>
    <w:rsid w:val="007707FD"/>
    <w:rsid w:val="00771943"/>
    <w:rsid w:val="00773CFF"/>
    <w:rsid w:val="00774561"/>
    <w:rsid w:val="00775B1C"/>
    <w:rsid w:val="00776C27"/>
    <w:rsid w:val="007871AD"/>
    <w:rsid w:val="0079545C"/>
    <w:rsid w:val="007A2CD5"/>
    <w:rsid w:val="007A488B"/>
    <w:rsid w:val="007B0331"/>
    <w:rsid w:val="007B194A"/>
    <w:rsid w:val="007B23A5"/>
    <w:rsid w:val="007B2509"/>
    <w:rsid w:val="007B3DD4"/>
    <w:rsid w:val="007B55A9"/>
    <w:rsid w:val="007B6BCE"/>
    <w:rsid w:val="007C0312"/>
    <w:rsid w:val="007C29B8"/>
    <w:rsid w:val="007D3D90"/>
    <w:rsid w:val="007E303A"/>
    <w:rsid w:val="007E3BB9"/>
    <w:rsid w:val="007E62FE"/>
    <w:rsid w:val="007E6530"/>
    <w:rsid w:val="007E6ACB"/>
    <w:rsid w:val="007E7B57"/>
    <w:rsid w:val="007F10AF"/>
    <w:rsid w:val="007F465F"/>
    <w:rsid w:val="007F754B"/>
    <w:rsid w:val="00800C05"/>
    <w:rsid w:val="008071D7"/>
    <w:rsid w:val="0081025E"/>
    <w:rsid w:val="00810388"/>
    <w:rsid w:val="00810812"/>
    <w:rsid w:val="00815E46"/>
    <w:rsid w:val="00825F54"/>
    <w:rsid w:val="00827A34"/>
    <w:rsid w:val="008318AB"/>
    <w:rsid w:val="008366EA"/>
    <w:rsid w:val="00836865"/>
    <w:rsid w:val="008403C8"/>
    <w:rsid w:val="0084278D"/>
    <w:rsid w:val="00844069"/>
    <w:rsid w:val="0084493F"/>
    <w:rsid w:val="00845234"/>
    <w:rsid w:val="00845617"/>
    <w:rsid w:val="00851585"/>
    <w:rsid w:val="0085254F"/>
    <w:rsid w:val="0085704E"/>
    <w:rsid w:val="0086364E"/>
    <w:rsid w:val="00870A76"/>
    <w:rsid w:val="00876F57"/>
    <w:rsid w:val="00880A45"/>
    <w:rsid w:val="00890530"/>
    <w:rsid w:val="00892EC1"/>
    <w:rsid w:val="008A09C8"/>
    <w:rsid w:val="008A1AF2"/>
    <w:rsid w:val="008A6723"/>
    <w:rsid w:val="008B17C9"/>
    <w:rsid w:val="008B6773"/>
    <w:rsid w:val="008C428C"/>
    <w:rsid w:val="008C5A7D"/>
    <w:rsid w:val="008C6B5A"/>
    <w:rsid w:val="008D007B"/>
    <w:rsid w:val="008D0597"/>
    <w:rsid w:val="008D480A"/>
    <w:rsid w:val="008D4938"/>
    <w:rsid w:val="008D752F"/>
    <w:rsid w:val="008D76BE"/>
    <w:rsid w:val="008D79CC"/>
    <w:rsid w:val="008E0FC9"/>
    <w:rsid w:val="008E1E98"/>
    <w:rsid w:val="008E208D"/>
    <w:rsid w:val="008E23A0"/>
    <w:rsid w:val="008E3960"/>
    <w:rsid w:val="008E7E74"/>
    <w:rsid w:val="008F577F"/>
    <w:rsid w:val="00902936"/>
    <w:rsid w:val="00904416"/>
    <w:rsid w:val="00905424"/>
    <w:rsid w:val="00905509"/>
    <w:rsid w:val="00911D65"/>
    <w:rsid w:val="009120C3"/>
    <w:rsid w:val="00912F70"/>
    <w:rsid w:val="00913D90"/>
    <w:rsid w:val="00917B25"/>
    <w:rsid w:val="00924592"/>
    <w:rsid w:val="00940EAF"/>
    <w:rsid w:val="00941256"/>
    <w:rsid w:val="00941CDC"/>
    <w:rsid w:val="00946750"/>
    <w:rsid w:val="0094692E"/>
    <w:rsid w:val="00953907"/>
    <w:rsid w:val="00955CB7"/>
    <w:rsid w:val="00956120"/>
    <w:rsid w:val="009732EA"/>
    <w:rsid w:val="00977F61"/>
    <w:rsid w:val="00981A25"/>
    <w:rsid w:val="00982C48"/>
    <w:rsid w:val="009940D4"/>
    <w:rsid w:val="0099728C"/>
    <w:rsid w:val="009A1852"/>
    <w:rsid w:val="009A38D7"/>
    <w:rsid w:val="009A73B5"/>
    <w:rsid w:val="009A7FD5"/>
    <w:rsid w:val="009B4EC9"/>
    <w:rsid w:val="009C0B30"/>
    <w:rsid w:val="009D1012"/>
    <w:rsid w:val="009D40BB"/>
    <w:rsid w:val="009D6174"/>
    <w:rsid w:val="009D7662"/>
    <w:rsid w:val="009D7768"/>
    <w:rsid w:val="009E241D"/>
    <w:rsid w:val="009E4A19"/>
    <w:rsid w:val="009E5411"/>
    <w:rsid w:val="009E6933"/>
    <w:rsid w:val="009F33CE"/>
    <w:rsid w:val="009F5B60"/>
    <w:rsid w:val="009F76CC"/>
    <w:rsid w:val="00A003BF"/>
    <w:rsid w:val="00A06E2E"/>
    <w:rsid w:val="00A06FAF"/>
    <w:rsid w:val="00A072D1"/>
    <w:rsid w:val="00A073EF"/>
    <w:rsid w:val="00A108E3"/>
    <w:rsid w:val="00A2387D"/>
    <w:rsid w:val="00A30935"/>
    <w:rsid w:val="00A35053"/>
    <w:rsid w:val="00A40516"/>
    <w:rsid w:val="00A430DC"/>
    <w:rsid w:val="00A43919"/>
    <w:rsid w:val="00A4593E"/>
    <w:rsid w:val="00A46980"/>
    <w:rsid w:val="00A46BE7"/>
    <w:rsid w:val="00A506D4"/>
    <w:rsid w:val="00A50A80"/>
    <w:rsid w:val="00A51485"/>
    <w:rsid w:val="00A62781"/>
    <w:rsid w:val="00A66992"/>
    <w:rsid w:val="00A701CC"/>
    <w:rsid w:val="00A70648"/>
    <w:rsid w:val="00A72BA9"/>
    <w:rsid w:val="00A77750"/>
    <w:rsid w:val="00A80322"/>
    <w:rsid w:val="00A848A8"/>
    <w:rsid w:val="00A84BB3"/>
    <w:rsid w:val="00A85820"/>
    <w:rsid w:val="00A875CB"/>
    <w:rsid w:val="00A91A9D"/>
    <w:rsid w:val="00A93D91"/>
    <w:rsid w:val="00A97E05"/>
    <w:rsid w:val="00AA2712"/>
    <w:rsid w:val="00AA3BE0"/>
    <w:rsid w:val="00AA4068"/>
    <w:rsid w:val="00AA7A97"/>
    <w:rsid w:val="00AB3DD6"/>
    <w:rsid w:val="00AC24BC"/>
    <w:rsid w:val="00AC3C6C"/>
    <w:rsid w:val="00AD4341"/>
    <w:rsid w:val="00AD6684"/>
    <w:rsid w:val="00AE2F5F"/>
    <w:rsid w:val="00AE3443"/>
    <w:rsid w:val="00AE3E10"/>
    <w:rsid w:val="00AE556F"/>
    <w:rsid w:val="00AF54FF"/>
    <w:rsid w:val="00B01996"/>
    <w:rsid w:val="00B0471B"/>
    <w:rsid w:val="00B12B2B"/>
    <w:rsid w:val="00B16E31"/>
    <w:rsid w:val="00B25FC6"/>
    <w:rsid w:val="00B2613C"/>
    <w:rsid w:val="00B31C48"/>
    <w:rsid w:val="00B41C43"/>
    <w:rsid w:val="00B420EA"/>
    <w:rsid w:val="00B42FE2"/>
    <w:rsid w:val="00B549C5"/>
    <w:rsid w:val="00B62283"/>
    <w:rsid w:val="00B727E7"/>
    <w:rsid w:val="00B75CA4"/>
    <w:rsid w:val="00B86848"/>
    <w:rsid w:val="00B8758D"/>
    <w:rsid w:val="00B9148E"/>
    <w:rsid w:val="00B92D5C"/>
    <w:rsid w:val="00B93105"/>
    <w:rsid w:val="00B96EA6"/>
    <w:rsid w:val="00BA1345"/>
    <w:rsid w:val="00BA1854"/>
    <w:rsid w:val="00BB7A3D"/>
    <w:rsid w:val="00BD0F11"/>
    <w:rsid w:val="00BD0F3D"/>
    <w:rsid w:val="00BD54C5"/>
    <w:rsid w:val="00BE1A43"/>
    <w:rsid w:val="00BE4F2C"/>
    <w:rsid w:val="00BE6CB6"/>
    <w:rsid w:val="00BF0980"/>
    <w:rsid w:val="00BF1050"/>
    <w:rsid w:val="00BF2A34"/>
    <w:rsid w:val="00C1370A"/>
    <w:rsid w:val="00C23451"/>
    <w:rsid w:val="00C25CEB"/>
    <w:rsid w:val="00C27891"/>
    <w:rsid w:val="00C303FA"/>
    <w:rsid w:val="00C30D26"/>
    <w:rsid w:val="00C34F3C"/>
    <w:rsid w:val="00C366E3"/>
    <w:rsid w:val="00C4232F"/>
    <w:rsid w:val="00C55FAC"/>
    <w:rsid w:val="00C61223"/>
    <w:rsid w:val="00C62CB0"/>
    <w:rsid w:val="00C70636"/>
    <w:rsid w:val="00C739E3"/>
    <w:rsid w:val="00C7539E"/>
    <w:rsid w:val="00C754F9"/>
    <w:rsid w:val="00C764B6"/>
    <w:rsid w:val="00C774F1"/>
    <w:rsid w:val="00C82C43"/>
    <w:rsid w:val="00C85362"/>
    <w:rsid w:val="00C85B57"/>
    <w:rsid w:val="00C86B78"/>
    <w:rsid w:val="00C941E3"/>
    <w:rsid w:val="00C94BE7"/>
    <w:rsid w:val="00CA43B2"/>
    <w:rsid w:val="00CA6CCD"/>
    <w:rsid w:val="00CB0775"/>
    <w:rsid w:val="00CB3BA4"/>
    <w:rsid w:val="00CC1A44"/>
    <w:rsid w:val="00CC46F5"/>
    <w:rsid w:val="00CD1AF2"/>
    <w:rsid w:val="00CD42D3"/>
    <w:rsid w:val="00CD437D"/>
    <w:rsid w:val="00CD4500"/>
    <w:rsid w:val="00CE0C55"/>
    <w:rsid w:val="00CE6B27"/>
    <w:rsid w:val="00CF1D3E"/>
    <w:rsid w:val="00CF3D96"/>
    <w:rsid w:val="00CF5893"/>
    <w:rsid w:val="00D001DD"/>
    <w:rsid w:val="00D00BAF"/>
    <w:rsid w:val="00D01A8A"/>
    <w:rsid w:val="00D0389E"/>
    <w:rsid w:val="00D06B31"/>
    <w:rsid w:val="00D12BC4"/>
    <w:rsid w:val="00D15197"/>
    <w:rsid w:val="00D2041F"/>
    <w:rsid w:val="00D215E5"/>
    <w:rsid w:val="00D21ED2"/>
    <w:rsid w:val="00D23F11"/>
    <w:rsid w:val="00D246D6"/>
    <w:rsid w:val="00D26178"/>
    <w:rsid w:val="00D33298"/>
    <w:rsid w:val="00D34B59"/>
    <w:rsid w:val="00D40F83"/>
    <w:rsid w:val="00D41422"/>
    <w:rsid w:val="00D4194B"/>
    <w:rsid w:val="00D455B3"/>
    <w:rsid w:val="00D479F5"/>
    <w:rsid w:val="00D47A91"/>
    <w:rsid w:val="00D5124E"/>
    <w:rsid w:val="00D54BB0"/>
    <w:rsid w:val="00D60269"/>
    <w:rsid w:val="00D6298E"/>
    <w:rsid w:val="00D72F8B"/>
    <w:rsid w:val="00D74B3B"/>
    <w:rsid w:val="00D804DF"/>
    <w:rsid w:val="00D94430"/>
    <w:rsid w:val="00D94FFC"/>
    <w:rsid w:val="00DA268B"/>
    <w:rsid w:val="00DA4138"/>
    <w:rsid w:val="00DA487D"/>
    <w:rsid w:val="00DA7D6D"/>
    <w:rsid w:val="00DA7FB0"/>
    <w:rsid w:val="00DB16CD"/>
    <w:rsid w:val="00DB638E"/>
    <w:rsid w:val="00DB74EA"/>
    <w:rsid w:val="00DB7A25"/>
    <w:rsid w:val="00DC1462"/>
    <w:rsid w:val="00DC6673"/>
    <w:rsid w:val="00DC6B63"/>
    <w:rsid w:val="00DC7B09"/>
    <w:rsid w:val="00DD1523"/>
    <w:rsid w:val="00DD15F6"/>
    <w:rsid w:val="00DD5D07"/>
    <w:rsid w:val="00DE0D59"/>
    <w:rsid w:val="00DE3DCB"/>
    <w:rsid w:val="00DE6050"/>
    <w:rsid w:val="00DE62BD"/>
    <w:rsid w:val="00DF5C80"/>
    <w:rsid w:val="00E114A7"/>
    <w:rsid w:val="00E13487"/>
    <w:rsid w:val="00E20C17"/>
    <w:rsid w:val="00E24E6A"/>
    <w:rsid w:val="00E41477"/>
    <w:rsid w:val="00E41BE9"/>
    <w:rsid w:val="00E41FA8"/>
    <w:rsid w:val="00E4384B"/>
    <w:rsid w:val="00E44EBD"/>
    <w:rsid w:val="00E46910"/>
    <w:rsid w:val="00E537DB"/>
    <w:rsid w:val="00E632AC"/>
    <w:rsid w:val="00E63784"/>
    <w:rsid w:val="00E67109"/>
    <w:rsid w:val="00E72832"/>
    <w:rsid w:val="00E773CA"/>
    <w:rsid w:val="00E8049C"/>
    <w:rsid w:val="00E806B8"/>
    <w:rsid w:val="00E927E6"/>
    <w:rsid w:val="00E976D7"/>
    <w:rsid w:val="00EA5A2A"/>
    <w:rsid w:val="00EB6C23"/>
    <w:rsid w:val="00EC5E1A"/>
    <w:rsid w:val="00EC653C"/>
    <w:rsid w:val="00EC7AA4"/>
    <w:rsid w:val="00ED1D5A"/>
    <w:rsid w:val="00ED2531"/>
    <w:rsid w:val="00ED2A53"/>
    <w:rsid w:val="00ED6177"/>
    <w:rsid w:val="00EE4892"/>
    <w:rsid w:val="00EE48D3"/>
    <w:rsid w:val="00EE5610"/>
    <w:rsid w:val="00EE6F2F"/>
    <w:rsid w:val="00EF0EEA"/>
    <w:rsid w:val="00EF14B5"/>
    <w:rsid w:val="00EF2CAE"/>
    <w:rsid w:val="00F05283"/>
    <w:rsid w:val="00F0667C"/>
    <w:rsid w:val="00F06EE5"/>
    <w:rsid w:val="00F11A6E"/>
    <w:rsid w:val="00F136AF"/>
    <w:rsid w:val="00F16F6A"/>
    <w:rsid w:val="00F17366"/>
    <w:rsid w:val="00F17C95"/>
    <w:rsid w:val="00F2299D"/>
    <w:rsid w:val="00F235E7"/>
    <w:rsid w:val="00F241D4"/>
    <w:rsid w:val="00F268A1"/>
    <w:rsid w:val="00F27293"/>
    <w:rsid w:val="00F276A6"/>
    <w:rsid w:val="00F352ED"/>
    <w:rsid w:val="00F3545F"/>
    <w:rsid w:val="00F371C7"/>
    <w:rsid w:val="00F37552"/>
    <w:rsid w:val="00F43B09"/>
    <w:rsid w:val="00F44394"/>
    <w:rsid w:val="00F51E37"/>
    <w:rsid w:val="00F52B50"/>
    <w:rsid w:val="00F55BF4"/>
    <w:rsid w:val="00F674B2"/>
    <w:rsid w:val="00F758EB"/>
    <w:rsid w:val="00F90FB8"/>
    <w:rsid w:val="00F90FD3"/>
    <w:rsid w:val="00F92BE4"/>
    <w:rsid w:val="00F9582B"/>
    <w:rsid w:val="00F970FA"/>
    <w:rsid w:val="00F97E87"/>
    <w:rsid w:val="00FA1A3C"/>
    <w:rsid w:val="00FA1FE3"/>
    <w:rsid w:val="00FA758F"/>
    <w:rsid w:val="00FB491A"/>
    <w:rsid w:val="00FB731A"/>
    <w:rsid w:val="00FC4CA6"/>
    <w:rsid w:val="00FD1E7F"/>
    <w:rsid w:val="00FD5E0E"/>
    <w:rsid w:val="00FE009A"/>
    <w:rsid w:val="00FE3FF7"/>
    <w:rsid w:val="00FE49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link w:val="Sangra2detindependienteCar"/>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 w:type="character" w:customStyle="1" w:styleId="Sangra2detindependienteCar">
    <w:name w:val="Sangría 2 de t. independiente Car"/>
    <w:basedOn w:val="Fuentedeprrafopredeter"/>
    <w:link w:val="Sangra2detindependiente"/>
    <w:rsid w:val="0057155D"/>
    <w:rPr>
      <w:snapToGrid w:val="0"/>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link w:val="Sangra2detindependienteCar"/>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 w:type="character" w:customStyle="1" w:styleId="Sangra2detindependienteCar">
    <w:name w:val="Sangría 2 de t. independiente Car"/>
    <w:basedOn w:val="Fuentedeprrafopredeter"/>
    <w:link w:val="Sangra2detindependiente"/>
    <w:rsid w:val="0057155D"/>
    <w:rPr>
      <w:snapToGrid w:val="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2191">
      <w:bodyDiv w:val="1"/>
      <w:marLeft w:val="0"/>
      <w:marRight w:val="0"/>
      <w:marTop w:val="0"/>
      <w:marBottom w:val="0"/>
      <w:divBdr>
        <w:top w:val="none" w:sz="0" w:space="0" w:color="auto"/>
        <w:left w:val="none" w:sz="0" w:space="0" w:color="auto"/>
        <w:bottom w:val="none" w:sz="0" w:space="0" w:color="auto"/>
        <w:right w:val="none" w:sz="0" w:space="0" w:color="auto"/>
      </w:divBdr>
    </w:div>
    <w:div w:id="342783987">
      <w:bodyDiv w:val="1"/>
      <w:marLeft w:val="0"/>
      <w:marRight w:val="0"/>
      <w:marTop w:val="0"/>
      <w:marBottom w:val="0"/>
      <w:divBdr>
        <w:top w:val="none" w:sz="0" w:space="0" w:color="auto"/>
        <w:left w:val="none" w:sz="0" w:space="0" w:color="auto"/>
        <w:bottom w:val="none" w:sz="0" w:space="0" w:color="auto"/>
        <w:right w:val="none" w:sz="0" w:space="0" w:color="auto"/>
      </w:divBdr>
    </w:div>
    <w:div w:id="447243695">
      <w:bodyDiv w:val="1"/>
      <w:marLeft w:val="0"/>
      <w:marRight w:val="0"/>
      <w:marTop w:val="0"/>
      <w:marBottom w:val="0"/>
      <w:divBdr>
        <w:top w:val="none" w:sz="0" w:space="0" w:color="auto"/>
        <w:left w:val="none" w:sz="0" w:space="0" w:color="auto"/>
        <w:bottom w:val="none" w:sz="0" w:space="0" w:color="auto"/>
        <w:right w:val="none" w:sz="0" w:space="0" w:color="auto"/>
      </w:divBdr>
    </w:div>
    <w:div w:id="511535264">
      <w:bodyDiv w:val="1"/>
      <w:marLeft w:val="0"/>
      <w:marRight w:val="0"/>
      <w:marTop w:val="0"/>
      <w:marBottom w:val="0"/>
      <w:divBdr>
        <w:top w:val="none" w:sz="0" w:space="0" w:color="auto"/>
        <w:left w:val="none" w:sz="0" w:space="0" w:color="auto"/>
        <w:bottom w:val="none" w:sz="0" w:space="0" w:color="auto"/>
        <w:right w:val="none" w:sz="0" w:space="0" w:color="auto"/>
      </w:divBdr>
    </w:div>
    <w:div w:id="621955666">
      <w:bodyDiv w:val="1"/>
      <w:marLeft w:val="0"/>
      <w:marRight w:val="0"/>
      <w:marTop w:val="0"/>
      <w:marBottom w:val="0"/>
      <w:divBdr>
        <w:top w:val="none" w:sz="0" w:space="0" w:color="auto"/>
        <w:left w:val="none" w:sz="0" w:space="0" w:color="auto"/>
        <w:bottom w:val="none" w:sz="0" w:space="0" w:color="auto"/>
        <w:right w:val="none" w:sz="0" w:space="0" w:color="auto"/>
      </w:divBdr>
    </w:div>
    <w:div w:id="712728439">
      <w:bodyDiv w:val="1"/>
      <w:marLeft w:val="0"/>
      <w:marRight w:val="0"/>
      <w:marTop w:val="0"/>
      <w:marBottom w:val="0"/>
      <w:divBdr>
        <w:top w:val="none" w:sz="0" w:space="0" w:color="auto"/>
        <w:left w:val="none" w:sz="0" w:space="0" w:color="auto"/>
        <w:bottom w:val="none" w:sz="0" w:space="0" w:color="auto"/>
        <w:right w:val="none" w:sz="0" w:space="0" w:color="auto"/>
      </w:divBdr>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
    <w:div w:id="1454329605">
      <w:bodyDiv w:val="1"/>
      <w:marLeft w:val="0"/>
      <w:marRight w:val="0"/>
      <w:marTop w:val="0"/>
      <w:marBottom w:val="0"/>
      <w:divBdr>
        <w:top w:val="none" w:sz="0" w:space="0" w:color="auto"/>
        <w:left w:val="none" w:sz="0" w:space="0" w:color="auto"/>
        <w:bottom w:val="none" w:sz="0" w:space="0" w:color="auto"/>
        <w:right w:val="none" w:sz="0" w:space="0" w:color="auto"/>
      </w:divBdr>
    </w:div>
    <w:div w:id="1605989451">
      <w:bodyDiv w:val="1"/>
      <w:marLeft w:val="0"/>
      <w:marRight w:val="0"/>
      <w:marTop w:val="0"/>
      <w:marBottom w:val="0"/>
      <w:divBdr>
        <w:top w:val="none" w:sz="0" w:space="0" w:color="auto"/>
        <w:left w:val="none" w:sz="0" w:space="0" w:color="auto"/>
        <w:bottom w:val="none" w:sz="0" w:space="0" w:color="auto"/>
        <w:right w:val="none" w:sz="0" w:space="0" w:color="auto"/>
      </w:divBdr>
    </w:div>
    <w:div w:id="1770542866">
      <w:bodyDiv w:val="1"/>
      <w:marLeft w:val="0"/>
      <w:marRight w:val="0"/>
      <w:marTop w:val="0"/>
      <w:marBottom w:val="0"/>
      <w:divBdr>
        <w:top w:val="none" w:sz="0" w:space="0" w:color="auto"/>
        <w:left w:val="none" w:sz="0" w:space="0" w:color="auto"/>
        <w:bottom w:val="none" w:sz="0" w:space="0" w:color="auto"/>
        <w:right w:val="none" w:sz="0" w:space="0" w:color="auto"/>
      </w:divBdr>
    </w:div>
    <w:div w:id="1889611383">
      <w:bodyDiv w:val="1"/>
      <w:marLeft w:val="0"/>
      <w:marRight w:val="0"/>
      <w:marTop w:val="0"/>
      <w:marBottom w:val="0"/>
      <w:divBdr>
        <w:top w:val="none" w:sz="0" w:space="0" w:color="auto"/>
        <w:left w:val="none" w:sz="0" w:space="0" w:color="auto"/>
        <w:bottom w:val="none" w:sz="0" w:space="0" w:color="auto"/>
        <w:right w:val="none" w:sz="0" w:space="0" w:color="auto"/>
      </w:divBdr>
    </w:div>
    <w:div w:id="1893887305">
      <w:bodyDiv w:val="1"/>
      <w:marLeft w:val="0"/>
      <w:marRight w:val="0"/>
      <w:marTop w:val="0"/>
      <w:marBottom w:val="0"/>
      <w:divBdr>
        <w:top w:val="none" w:sz="0" w:space="0" w:color="auto"/>
        <w:left w:val="none" w:sz="0" w:space="0" w:color="auto"/>
        <w:bottom w:val="none" w:sz="0" w:space="0" w:color="auto"/>
        <w:right w:val="none" w:sz="0" w:space="0" w:color="auto"/>
      </w:divBdr>
    </w:div>
    <w:div w:id="19274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10.xls"/><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oleObject" Target="embeddings/Microsoft_Excel_97-2003_Worksheet11.xls"/><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51D2-1576-42FF-98DD-49367C75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3988</Words>
  <Characters>21940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25877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GF-DC-S-de Alvarez, Reyna</cp:lastModifiedBy>
  <cp:revision>12</cp:revision>
  <cp:lastPrinted>2016-02-17T15:17:00Z</cp:lastPrinted>
  <dcterms:created xsi:type="dcterms:W3CDTF">2016-02-16T23:47:00Z</dcterms:created>
  <dcterms:modified xsi:type="dcterms:W3CDTF">2016-03-01T00:09:00Z</dcterms:modified>
</cp:coreProperties>
</file>