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82" w:rsidRDefault="00E13751" w:rsidP="00AB6C2C">
      <w:pPr>
        <w:pStyle w:val="Ttulo1"/>
      </w:pPr>
      <w:bookmarkStart w:id="0" w:name="_GoBack"/>
      <w:bookmarkEnd w:id="0"/>
      <w:r>
        <w:rPr>
          <w:noProof/>
          <w:lang w:eastAsia="es-SV"/>
        </w:rPr>
        <w:drawing>
          <wp:anchor distT="0" distB="0" distL="114300" distR="114300" simplePos="0" relativeHeight="251661312" behindDoc="0" locked="0" layoutInCell="1" allowOverlap="1" wp14:anchorId="6DC53834" wp14:editId="420A209F">
            <wp:simplePos x="0" y="0"/>
            <wp:positionH relativeFrom="column">
              <wp:posOffset>-571500</wp:posOffset>
            </wp:positionH>
            <wp:positionV relativeFrom="paragraph">
              <wp:posOffset>6172200</wp:posOffset>
            </wp:positionV>
            <wp:extent cx="2336667" cy="2410678"/>
            <wp:effectExtent l="0" t="0" r="635" b="2540"/>
            <wp:wrapNone/>
            <wp:docPr id="3" name="Imagen 3" descr="Macintosh HD:Users:gleiva:Desktop:LogoBande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leiva:Desktop:LogoBandes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7318" cy="24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A0D">
        <w:rPr>
          <w:noProof/>
          <w:lang w:eastAsia="es-SV"/>
        </w:rPr>
        <mc:AlternateContent>
          <mc:Choice Requires="wps">
            <w:drawing>
              <wp:anchor distT="0" distB="0" distL="114300" distR="114300" simplePos="0" relativeHeight="251659264" behindDoc="0" locked="0" layoutInCell="1" allowOverlap="1" wp14:anchorId="40D04C31" wp14:editId="6F4FC9BF">
                <wp:simplePos x="0" y="0"/>
                <wp:positionH relativeFrom="column">
                  <wp:posOffset>914400</wp:posOffset>
                </wp:positionH>
                <wp:positionV relativeFrom="paragraph">
                  <wp:posOffset>228600</wp:posOffset>
                </wp:positionV>
                <wp:extent cx="5486400" cy="411480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5486400" cy="411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C2975" w:rsidRPr="008B6A0D" w:rsidRDefault="00AB6C2C" w:rsidP="004C2975">
                            <w:pPr>
                              <w:jc w:val="center"/>
                              <w:rPr>
                                <w:b/>
                                <w:color w:val="FFFFFF" w:themeColor="background1"/>
                                <w:sz w:val="72"/>
                              </w:rPr>
                            </w:pPr>
                            <w:r>
                              <w:rPr>
                                <w:b/>
                                <w:color w:val="FFFFFF" w:themeColor="background1"/>
                                <w:sz w:val="72"/>
                              </w:rPr>
                              <w:t>Guía de Archivo de BANDESAL</w:t>
                            </w:r>
                          </w:p>
                          <w:p w:rsidR="00AB6C2C" w:rsidRDefault="00AB6C2C" w:rsidP="004C2975">
                            <w:pPr>
                              <w:jc w:val="center"/>
                              <w:rPr>
                                <w:i/>
                                <w:color w:val="FFFFFF" w:themeColor="background1"/>
                                <w:sz w:val="44"/>
                              </w:rPr>
                            </w:pPr>
                          </w:p>
                          <w:p w:rsidR="004C2975" w:rsidRDefault="00AB6C2C" w:rsidP="004C2975">
                            <w:pPr>
                              <w:jc w:val="center"/>
                              <w:rPr>
                                <w:i/>
                                <w:color w:val="FFFFFF" w:themeColor="background1"/>
                                <w:sz w:val="44"/>
                              </w:rPr>
                            </w:pPr>
                            <w:r>
                              <w:rPr>
                                <w:i/>
                                <w:color w:val="FFFFFF" w:themeColor="background1"/>
                                <w:sz w:val="44"/>
                              </w:rPr>
                              <w:t>Gerencia de Gestión Documental y Administración</w:t>
                            </w:r>
                          </w:p>
                          <w:p w:rsidR="00AB6C2C" w:rsidRPr="008B6A0D" w:rsidRDefault="000E5949" w:rsidP="004C2975">
                            <w:pPr>
                              <w:jc w:val="center"/>
                              <w:rPr>
                                <w:i/>
                                <w:color w:val="FFFFFF" w:themeColor="background1"/>
                                <w:sz w:val="44"/>
                              </w:rPr>
                            </w:pPr>
                            <w:r>
                              <w:rPr>
                                <w:i/>
                                <w:color w:val="FFFFFF" w:themeColor="background1"/>
                                <w:sz w:val="44"/>
                              </w:rPr>
                              <w:t xml:space="preserve">JUNIO </w:t>
                            </w:r>
                            <w:r w:rsidR="00AB6C2C">
                              <w:rPr>
                                <w:i/>
                                <w:color w:val="FFFFFF" w:themeColor="background1"/>
                                <w:sz w:val="44"/>
                              </w:rPr>
                              <w:t>201</w:t>
                            </w:r>
                            <w:r w:rsidR="00B21418">
                              <w:rPr>
                                <w:i/>
                                <w:color w:val="FFFFFF" w:themeColor="background1"/>
                                <w:sz w:val="4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0D04C31" id="_x0000_t202" coordsize="21600,21600" o:spt="202" path="m,l,21600r21600,l21600,xe">
                <v:stroke joinstyle="miter"/>
                <v:path gradientshapeok="t" o:connecttype="rect"/>
              </v:shapetype>
              <v:shape id="Cuadro de texto 4" o:spid="_x0000_s1026" type="#_x0000_t202" style="position:absolute;margin-left:1in;margin-top:18pt;width:6in;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" filled="f" stroked="f">
                <v:textbox>
                  <w:txbxContent>
                    <w:p w:rsidR="004C2975" w:rsidRPr="008B6A0D" w:rsidRDefault="00AB6C2C" w:rsidP="004C2975">
                      <w:pPr>
                        <w:jc w:val="center"/>
                        <w:rPr>
                          <w:b/>
                          <w:color w:val="FFFFFF" w:themeColor="background1"/>
                          <w:sz w:val="72"/>
                        </w:rPr>
                      </w:pPr>
                      <w:r>
                        <w:rPr>
                          <w:b/>
                          <w:color w:val="FFFFFF" w:themeColor="background1"/>
                          <w:sz w:val="72"/>
                        </w:rPr>
                        <w:t>Guía de Archivo de BANDESAL</w:t>
                      </w:r>
                    </w:p>
                    <w:p w:rsidR="00AB6C2C" w:rsidRDefault="00AB6C2C" w:rsidP="004C2975">
                      <w:pPr>
                        <w:jc w:val="center"/>
                        <w:rPr>
                          <w:i/>
                          <w:color w:val="FFFFFF" w:themeColor="background1"/>
                          <w:sz w:val="44"/>
                        </w:rPr>
                      </w:pPr>
                    </w:p>
                    <w:p w:rsidR="004C2975" w:rsidRDefault="00AB6C2C" w:rsidP="004C2975">
                      <w:pPr>
                        <w:jc w:val="center"/>
                        <w:rPr>
                          <w:i/>
                          <w:color w:val="FFFFFF" w:themeColor="background1"/>
                          <w:sz w:val="44"/>
                        </w:rPr>
                      </w:pPr>
                      <w:r>
                        <w:rPr>
                          <w:i/>
                          <w:color w:val="FFFFFF" w:themeColor="background1"/>
                          <w:sz w:val="44"/>
                        </w:rPr>
                        <w:t>Gerencia de Gestión Documental y Administración</w:t>
                      </w:r>
                    </w:p>
                    <w:p w:rsidR="00AB6C2C" w:rsidRPr="008B6A0D" w:rsidRDefault="000E5949" w:rsidP="004C2975">
                      <w:pPr>
                        <w:jc w:val="center"/>
                        <w:rPr>
                          <w:i/>
                          <w:color w:val="FFFFFF" w:themeColor="background1"/>
                          <w:sz w:val="44"/>
                        </w:rPr>
                      </w:pPr>
                      <w:r>
                        <w:rPr>
                          <w:i/>
                          <w:color w:val="FFFFFF" w:themeColor="background1"/>
                          <w:sz w:val="44"/>
                        </w:rPr>
                        <w:t>JUNIO</w:t>
                      </w:r>
                      <w:r>
                        <w:rPr>
                          <w:i/>
                          <w:color w:val="FFFFFF" w:themeColor="background1"/>
                          <w:sz w:val="44"/>
                        </w:rPr>
                        <w:t xml:space="preserve"> </w:t>
                      </w:r>
                      <w:r w:rsidR="00AB6C2C">
                        <w:rPr>
                          <w:i/>
                          <w:color w:val="FFFFFF" w:themeColor="background1"/>
                          <w:sz w:val="44"/>
                        </w:rPr>
                        <w:t>201</w:t>
                      </w:r>
                      <w:r w:rsidR="00B21418">
                        <w:rPr>
                          <w:i/>
                          <w:color w:val="FFFFFF" w:themeColor="background1"/>
                          <w:sz w:val="44"/>
                        </w:rPr>
                        <w:t>8</w:t>
                      </w:r>
                    </w:p>
                  </w:txbxContent>
                </v:textbox>
                <w10:wrap type="square"/>
              </v:shape>
            </w:pict>
          </mc:Fallback>
        </mc:AlternateContent>
      </w:r>
      <w:r w:rsidR="00A46118">
        <w:br w:type="page"/>
      </w:r>
      <w:r w:rsidR="00937C24">
        <w:lastRenderedPageBreak/>
        <w:t xml:space="preserve"> </w:t>
      </w:r>
      <w:r w:rsidR="00AB6C2C">
        <w:t>INTRODUCCION</w:t>
      </w:r>
    </w:p>
    <w:p w:rsidR="00AB6C2C" w:rsidRDefault="00AB6C2C" w:rsidP="00AB6C2C"/>
    <w:p w:rsidR="00AB6C2C" w:rsidRPr="002C17C3" w:rsidRDefault="00AB6C2C" w:rsidP="00AB6C2C">
      <w:pPr>
        <w:jc w:val="both"/>
        <w:rPr>
          <w:sz w:val="20"/>
        </w:rPr>
      </w:pPr>
      <w:r w:rsidRPr="002C17C3">
        <w:rPr>
          <w:sz w:val="20"/>
        </w:rPr>
        <w:t>Con el propósito de darle cumplimiento a la Ley de Acceso a la Información Pública, según Decreto Legislativo No. 534 de fecha 02 de diciembre de 2010, la cual fue publicada en Diario Oficial  tomo 371, no.  70 de 8 de abril de 2011 se desarr</w:t>
      </w:r>
      <w:r w:rsidR="00A26CA4">
        <w:rPr>
          <w:sz w:val="20"/>
        </w:rPr>
        <w:t xml:space="preserve">olla la guía para las personas </w:t>
      </w:r>
      <w:r w:rsidRPr="002C17C3">
        <w:rPr>
          <w:sz w:val="20"/>
        </w:rPr>
        <w:t>que deseen consultar información del Banco, bajo los términos que establece la Ley de Acceso a la Información Pública (LAIP)</w:t>
      </w:r>
    </w:p>
    <w:p w:rsidR="00623CCC" w:rsidRDefault="005C70FD" w:rsidP="005C70FD">
      <w:pPr>
        <w:pStyle w:val="Ttulo1"/>
      </w:pPr>
      <w:r>
        <w:t>CONTENIDO DE LA GUIA</w:t>
      </w:r>
    </w:p>
    <w:p w:rsidR="005C70FD" w:rsidRPr="002C17C3" w:rsidRDefault="005C70FD" w:rsidP="005C70FD">
      <w:pPr>
        <w:rPr>
          <w:sz w:val="20"/>
        </w:rPr>
      </w:pPr>
    </w:p>
    <w:p w:rsidR="005C70FD" w:rsidRPr="002C17C3" w:rsidRDefault="005C70FD" w:rsidP="005C70FD">
      <w:pPr>
        <w:pStyle w:val="Prrafodelista"/>
        <w:numPr>
          <w:ilvl w:val="0"/>
          <w:numId w:val="1"/>
        </w:numPr>
        <w:rPr>
          <w:sz w:val="20"/>
        </w:rPr>
      </w:pPr>
      <w:r w:rsidRPr="002C17C3">
        <w:rPr>
          <w:sz w:val="20"/>
        </w:rPr>
        <w:t>Identificación Institucional</w:t>
      </w:r>
    </w:p>
    <w:p w:rsidR="005C70FD" w:rsidRPr="002C17C3" w:rsidRDefault="005C70FD" w:rsidP="005C70FD">
      <w:pPr>
        <w:pStyle w:val="Prrafodelista"/>
        <w:numPr>
          <w:ilvl w:val="0"/>
          <w:numId w:val="1"/>
        </w:numPr>
        <w:rPr>
          <w:sz w:val="20"/>
        </w:rPr>
      </w:pPr>
      <w:r w:rsidRPr="002C17C3">
        <w:rPr>
          <w:sz w:val="20"/>
        </w:rPr>
        <w:t>Contacto</w:t>
      </w:r>
    </w:p>
    <w:p w:rsidR="005C70FD" w:rsidRPr="002C17C3" w:rsidRDefault="005C70FD" w:rsidP="005C70FD">
      <w:pPr>
        <w:pStyle w:val="Prrafodelista"/>
        <w:numPr>
          <w:ilvl w:val="0"/>
          <w:numId w:val="1"/>
        </w:numPr>
        <w:rPr>
          <w:sz w:val="20"/>
        </w:rPr>
      </w:pPr>
      <w:r w:rsidRPr="002C17C3">
        <w:rPr>
          <w:sz w:val="20"/>
        </w:rPr>
        <w:t xml:space="preserve">Descripción del Fondo Documental </w:t>
      </w:r>
    </w:p>
    <w:p w:rsidR="005C70FD" w:rsidRPr="002C17C3" w:rsidRDefault="005C70FD" w:rsidP="005C70FD">
      <w:pPr>
        <w:pStyle w:val="Prrafodelista"/>
        <w:numPr>
          <w:ilvl w:val="0"/>
          <w:numId w:val="1"/>
        </w:numPr>
        <w:rPr>
          <w:sz w:val="20"/>
        </w:rPr>
      </w:pPr>
      <w:r w:rsidRPr="002C17C3">
        <w:rPr>
          <w:sz w:val="20"/>
        </w:rPr>
        <w:t>Acceso</w:t>
      </w:r>
    </w:p>
    <w:p w:rsidR="005C70FD" w:rsidRPr="002C17C3" w:rsidRDefault="005C70FD" w:rsidP="005C70FD">
      <w:pPr>
        <w:pStyle w:val="Prrafodelista"/>
        <w:numPr>
          <w:ilvl w:val="0"/>
          <w:numId w:val="1"/>
        </w:numPr>
        <w:rPr>
          <w:sz w:val="20"/>
        </w:rPr>
      </w:pPr>
      <w:r w:rsidRPr="002C17C3">
        <w:rPr>
          <w:sz w:val="20"/>
        </w:rPr>
        <w:t>Servicios</w:t>
      </w:r>
    </w:p>
    <w:p w:rsidR="005C70FD" w:rsidRPr="002C17C3" w:rsidRDefault="005C70FD" w:rsidP="005C70FD">
      <w:pPr>
        <w:pStyle w:val="Prrafodelista"/>
        <w:numPr>
          <w:ilvl w:val="0"/>
          <w:numId w:val="1"/>
        </w:numPr>
        <w:rPr>
          <w:sz w:val="20"/>
        </w:rPr>
      </w:pPr>
      <w:r w:rsidRPr="002C17C3">
        <w:rPr>
          <w:sz w:val="20"/>
        </w:rPr>
        <w:t>Control</w:t>
      </w:r>
    </w:p>
    <w:p w:rsidR="005C70FD" w:rsidRDefault="005C70FD" w:rsidP="005C70FD">
      <w:pPr>
        <w:pStyle w:val="Prrafodelista"/>
      </w:pPr>
    </w:p>
    <w:p w:rsidR="005C70FD" w:rsidRDefault="005C70FD" w:rsidP="005C70FD">
      <w:pPr>
        <w:pStyle w:val="Prrafodelista"/>
      </w:pPr>
    </w:p>
    <w:tbl>
      <w:tblPr>
        <w:tblW w:w="9327" w:type="dxa"/>
        <w:tblCellMar>
          <w:left w:w="0" w:type="dxa"/>
          <w:right w:w="0" w:type="dxa"/>
        </w:tblCellMar>
        <w:tblLook w:val="0420" w:firstRow="1" w:lastRow="0" w:firstColumn="0" w:lastColumn="0" w:noHBand="0" w:noVBand="1"/>
      </w:tblPr>
      <w:tblGrid>
        <w:gridCol w:w="2538"/>
        <w:gridCol w:w="6789"/>
      </w:tblGrid>
      <w:tr w:rsidR="005C70FD" w:rsidRPr="000F763D" w:rsidTr="000F763D">
        <w:trPr>
          <w:trHeight w:val="120"/>
        </w:trPr>
        <w:tc>
          <w:tcPr>
            <w:tcW w:w="2538"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5C70FD" w:rsidRPr="005C70FD" w:rsidRDefault="005C70FD" w:rsidP="005C70FD">
            <w:pPr>
              <w:jc w:val="center"/>
              <w:rPr>
                <w:rFonts w:eastAsia="Times New Roman" w:cs="Arial"/>
                <w:sz w:val="20"/>
                <w:szCs w:val="20"/>
                <w:lang w:eastAsia="es-SV"/>
              </w:rPr>
            </w:pPr>
          </w:p>
        </w:tc>
        <w:tc>
          <w:tcPr>
            <w:tcW w:w="6789"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5C70FD" w:rsidRPr="005C70FD" w:rsidRDefault="005C70FD" w:rsidP="005C70FD">
            <w:pPr>
              <w:jc w:val="center"/>
              <w:rPr>
                <w:rFonts w:eastAsia="Times New Roman" w:cs="Arial"/>
                <w:sz w:val="20"/>
                <w:szCs w:val="20"/>
                <w:lang w:eastAsia="es-SV"/>
              </w:rPr>
            </w:pPr>
          </w:p>
        </w:tc>
      </w:tr>
      <w:tr w:rsidR="005C70FD" w:rsidRPr="000F763D" w:rsidTr="000F763D">
        <w:trPr>
          <w:trHeight w:val="146"/>
        </w:trPr>
        <w:tc>
          <w:tcPr>
            <w:tcW w:w="9327" w:type="dxa"/>
            <w:gridSpan w:val="2"/>
            <w:tcBorders>
              <w:top w:val="single" w:sz="24" w:space="0" w:color="FFFFFF"/>
              <w:left w:val="single" w:sz="8" w:space="0" w:color="FFFFFF"/>
              <w:bottom w:val="single" w:sz="8" w:space="0" w:color="FFFFFF"/>
              <w:right w:val="single" w:sz="8" w:space="0" w:color="FFFFFF"/>
            </w:tcBorders>
            <w:shd w:val="clear" w:color="auto" w:fill="C6D2E6"/>
            <w:tcMar>
              <w:top w:w="72" w:type="dxa"/>
              <w:left w:w="144" w:type="dxa"/>
              <w:bottom w:w="72" w:type="dxa"/>
              <w:right w:w="144" w:type="dxa"/>
            </w:tcMar>
            <w:hideMark/>
          </w:tcPr>
          <w:p w:rsidR="005C70FD" w:rsidRPr="000F763D" w:rsidRDefault="00D756B5" w:rsidP="00D756B5">
            <w:pPr>
              <w:pStyle w:val="Prrafodelista"/>
              <w:numPr>
                <w:ilvl w:val="0"/>
                <w:numId w:val="2"/>
              </w:numPr>
              <w:rPr>
                <w:rFonts w:eastAsia="Times New Roman" w:cs="Arial"/>
                <w:sz w:val="20"/>
                <w:szCs w:val="20"/>
                <w:lang w:eastAsia="es-SV"/>
              </w:rPr>
            </w:pPr>
            <w:r w:rsidRPr="000F763D">
              <w:rPr>
                <w:rFonts w:eastAsia="Times New Roman" w:cs="Arial"/>
                <w:sz w:val="20"/>
                <w:szCs w:val="20"/>
                <w:lang w:eastAsia="es-SV"/>
              </w:rPr>
              <w:t>IDENTIFICACION INSTITUCIONAL</w:t>
            </w:r>
          </w:p>
        </w:tc>
      </w:tr>
      <w:tr w:rsidR="00D756B5" w:rsidRPr="000F763D" w:rsidTr="000F763D">
        <w:trPr>
          <w:trHeight w:val="146"/>
        </w:trPr>
        <w:tc>
          <w:tcPr>
            <w:tcW w:w="2538"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r w:rsidRPr="000F763D">
              <w:rPr>
                <w:sz w:val="20"/>
                <w:szCs w:val="20"/>
              </w:rPr>
              <w:t>1.1  Identificador</w:t>
            </w:r>
          </w:p>
        </w:tc>
        <w:tc>
          <w:tcPr>
            <w:tcW w:w="6789"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hideMark/>
          </w:tcPr>
          <w:p w:rsidR="00D756B5" w:rsidRPr="000F763D" w:rsidRDefault="00D756B5" w:rsidP="00D756B5">
            <w:pPr>
              <w:outlineLvl w:val="0"/>
              <w:rPr>
                <w:sz w:val="20"/>
                <w:szCs w:val="20"/>
              </w:rPr>
            </w:pPr>
            <w:r w:rsidRPr="000F763D">
              <w:rPr>
                <w:sz w:val="20"/>
                <w:szCs w:val="20"/>
              </w:rPr>
              <w:t>SV- BANDESAL</w:t>
            </w:r>
          </w:p>
          <w:p w:rsidR="00D756B5" w:rsidRPr="005C70FD" w:rsidRDefault="00D756B5" w:rsidP="00D756B5">
            <w:pPr>
              <w:rPr>
                <w:rFonts w:eastAsia="Times New Roman" w:cs="Times New Roman"/>
                <w:sz w:val="20"/>
                <w:szCs w:val="20"/>
                <w:lang w:eastAsia="es-SV"/>
              </w:rPr>
            </w:pPr>
            <w:r w:rsidRPr="000F763D">
              <w:rPr>
                <w:sz w:val="20"/>
                <w:szCs w:val="20"/>
              </w:rPr>
              <w:t>El Salvador- Banco de Desarrollo de El Salvador</w:t>
            </w:r>
          </w:p>
        </w:tc>
      </w:tr>
      <w:tr w:rsidR="00D756B5" w:rsidRPr="000F763D" w:rsidTr="000F763D">
        <w:trPr>
          <w:trHeight w:val="146"/>
        </w:trPr>
        <w:tc>
          <w:tcPr>
            <w:tcW w:w="2538"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r w:rsidRPr="000F763D">
              <w:rPr>
                <w:sz w:val="20"/>
                <w:szCs w:val="20"/>
              </w:rPr>
              <w:t>1.2 Forma Autorizada   del nombre.</w:t>
            </w:r>
          </w:p>
        </w:tc>
        <w:tc>
          <w:tcPr>
            <w:tcW w:w="6789"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r w:rsidRPr="000F763D">
              <w:rPr>
                <w:sz w:val="20"/>
                <w:szCs w:val="20"/>
              </w:rPr>
              <w:t xml:space="preserve">  Banco de Desarrollo de El Salvador</w:t>
            </w:r>
          </w:p>
        </w:tc>
      </w:tr>
      <w:tr w:rsidR="00D756B5" w:rsidRPr="000F763D" w:rsidTr="000F763D">
        <w:trPr>
          <w:trHeight w:val="146"/>
        </w:trPr>
        <w:tc>
          <w:tcPr>
            <w:tcW w:w="2538"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r w:rsidRPr="000F763D">
              <w:rPr>
                <w:sz w:val="20"/>
                <w:szCs w:val="20"/>
              </w:rPr>
              <w:t>1.3 Formas paralelas</w:t>
            </w:r>
          </w:p>
        </w:tc>
        <w:tc>
          <w:tcPr>
            <w:tcW w:w="6789"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r w:rsidRPr="000F763D">
              <w:rPr>
                <w:sz w:val="20"/>
                <w:szCs w:val="20"/>
              </w:rPr>
              <w:t>BDES, BANDESAL</w:t>
            </w:r>
          </w:p>
        </w:tc>
      </w:tr>
      <w:tr w:rsidR="00D756B5" w:rsidRPr="000F763D" w:rsidTr="000F763D">
        <w:trPr>
          <w:trHeight w:val="146"/>
        </w:trPr>
        <w:tc>
          <w:tcPr>
            <w:tcW w:w="2538"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r w:rsidRPr="000F763D">
              <w:rPr>
                <w:sz w:val="20"/>
                <w:szCs w:val="20"/>
              </w:rPr>
              <w:t xml:space="preserve">1.4 Tipo de institución        </w:t>
            </w:r>
          </w:p>
        </w:tc>
        <w:tc>
          <w:tcPr>
            <w:tcW w:w="6789"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hideMark/>
          </w:tcPr>
          <w:p w:rsidR="00D756B5" w:rsidRPr="000F763D" w:rsidRDefault="00D756B5" w:rsidP="00D756B5">
            <w:pPr>
              <w:rPr>
                <w:sz w:val="20"/>
                <w:szCs w:val="20"/>
              </w:rPr>
            </w:pPr>
            <w:r w:rsidRPr="000F763D">
              <w:rPr>
                <w:sz w:val="20"/>
                <w:szCs w:val="20"/>
              </w:rPr>
              <w:t>Es una Institución Pública de Crédito, autónoma, de duración indefinida, con personalidad jurídica y patrimonio propio, a partir de 2012, sucede al Banco Multisectorial de Inversiones (BMI)</w:t>
            </w:r>
          </w:p>
          <w:p w:rsidR="00D756B5" w:rsidRPr="000F763D" w:rsidRDefault="00D756B5" w:rsidP="00D756B5">
            <w:pPr>
              <w:rPr>
                <w:sz w:val="20"/>
                <w:szCs w:val="20"/>
              </w:rPr>
            </w:pPr>
          </w:p>
          <w:p w:rsidR="00D756B5" w:rsidRPr="005C70FD" w:rsidRDefault="00D756B5" w:rsidP="00D756B5">
            <w:pPr>
              <w:rPr>
                <w:rFonts w:eastAsia="Times New Roman" w:cs="Times New Roman"/>
                <w:sz w:val="20"/>
                <w:szCs w:val="20"/>
                <w:lang w:eastAsia="es-SV"/>
              </w:rPr>
            </w:pPr>
            <w:r w:rsidRPr="000F763D">
              <w:rPr>
                <w:sz w:val="20"/>
                <w:szCs w:val="20"/>
              </w:rPr>
              <w:t>Archivos que se manejan: Archivo de Gestión, Archivo Central y Archivos Especializados.</w:t>
            </w:r>
          </w:p>
        </w:tc>
      </w:tr>
      <w:tr w:rsidR="00D756B5" w:rsidRPr="000F763D" w:rsidTr="000F763D">
        <w:trPr>
          <w:trHeight w:val="146"/>
        </w:trPr>
        <w:tc>
          <w:tcPr>
            <w:tcW w:w="2538"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p>
        </w:tc>
        <w:tc>
          <w:tcPr>
            <w:tcW w:w="6789"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hideMark/>
          </w:tcPr>
          <w:p w:rsidR="00D756B5" w:rsidRPr="005C70FD" w:rsidRDefault="00D756B5" w:rsidP="00D756B5">
            <w:pPr>
              <w:rPr>
                <w:rFonts w:eastAsia="Times New Roman" w:cs="Times New Roman"/>
                <w:sz w:val="20"/>
                <w:szCs w:val="20"/>
                <w:lang w:eastAsia="es-SV"/>
              </w:rPr>
            </w:pPr>
          </w:p>
        </w:tc>
      </w:tr>
    </w:tbl>
    <w:p w:rsidR="005C70FD" w:rsidRDefault="005C70FD" w:rsidP="005C70FD">
      <w:pPr>
        <w:pStyle w:val="Prrafodelista"/>
      </w:pPr>
    </w:p>
    <w:p w:rsidR="009C1931" w:rsidRDefault="009C1931" w:rsidP="005C70FD">
      <w:pPr>
        <w:pStyle w:val="Prrafodelista"/>
      </w:pPr>
    </w:p>
    <w:tbl>
      <w:tblPr>
        <w:tblW w:w="8818" w:type="dxa"/>
        <w:tblCellMar>
          <w:left w:w="0" w:type="dxa"/>
          <w:right w:w="0" w:type="dxa"/>
        </w:tblCellMar>
        <w:tblLook w:val="0420" w:firstRow="1" w:lastRow="0" w:firstColumn="0" w:lastColumn="0" w:noHBand="0" w:noVBand="1"/>
      </w:tblPr>
      <w:tblGrid>
        <w:gridCol w:w="2400"/>
        <w:gridCol w:w="6418"/>
      </w:tblGrid>
      <w:tr w:rsidR="00D756B5" w:rsidRPr="000F763D" w:rsidTr="005D0DBA">
        <w:trPr>
          <w:trHeight w:val="271"/>
        </w:trPr>
        <w:tc>
          <w:tcPr>
            <w:tcW w:w="2400"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D756B5" w:rsidRPr="005C70FD" w:rsidRDefault="00D756B5" w:rsidP="005D0DBA">
            <w:pPr>
              <w:jc w:val="center"/>
              <w:rPr>
                <w:rFonts w:eastAsia="Times New Roman" w:cs="Arial"/>
                <w:sz w:val="20"/>
                <w:szCs w:val="20"/>
                <w:lang w:eastAsia="es-SV"/>
              </w:rPr>
            </w:pPr>
          </w:p>
        </w:tc>
        <w:tc>
          <w:tcPr>
            <w:tcW w:w="6418"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D756B5" w:rsidRPr="005C70FD" w:rsidRDefault="00D756B5" w:rsidP="005D0DBA">
            <w:pPr>
              <w:jc w:val="center"/>
              <w:rPr>
                <w:rFonts w:eastAsia="Times New Roman" w:cs="Arial"/>
                <w:sz w:val="20"/>
                <w:szCs w:val="20"/>
                <w:lang w:eastAsia="es-SV"/>
              </w:rPr>
            </w:pPr>
          </w:p>
        </w:tc>
      </w:tr>
      <w:tr w:rsidR="00D756B5" w:rsidRPr="000F763D" w:rsidTr="005D0DBA">
        <w:trPr>
          <w:trHeight w:val="330"/>
        </w:trPr>
        <w:tc>
          <w:tcPr>
            <w:tcW w:w="8818" w:type="dxa"/>
            <w:gridSpan w:val="2"/>
            <w:tcBorders>
              <w:top w:val="single" w:sz="24" w:space="0" w:color="FFFFFF"/>
              <w:left w:val="single" w:sz="8" w:space="0" w:color="FFFFFF"/>
              <w:bottom w:val="single" w:sz="8" w:space="0" w:color="FFFFFF"/>
              <w:right w:val="single" w:sz="8" w:space="0" w:color="FFFFFF"/>
            </w:tcBorders>
            <w:shd w:val="clear" w:color="auto" w:fill="C6D2E6"/>
            <w:tcMar>
              <w:top w:w="72" w:type="dxa"/>
              <w:left w:w="144" w:type="dxa"/>
              <w:bottom w:w="72" w:type="dxa"/>
              <w:right w:w="144" w:type="dxa"/>
            </w:tcMar>
            <w:hideMark/>
          </w:tcPr>
          <w:p w:rsidR="00D756B5" w:rsidRPr="000F763D" w:rsidRDefault="00D756B5" w:rsidP="00D756B5">
            <w:pPr>
              <w:pStyle w:val="Prrafodelista"/>
              <w:numPr>
                <w:ilvl w:val="0"/>
                <w:numId w:val="2"/>
              </w:numPr>
              <w:rPr>
                <w:rFonts w:eastAsia="Times New Roman" w:cs="Arial"/>
                <w:sz w:val="20"/>
                <w:szCs w:val="20"/>
                <w:lang w:eastAsia="es-SV"/>
              </w:rPr>
            </w:pPr>
            <w:r w:rsidRPr="000F763D">
              <w:rPr>
                <w:rFonts w:eastAsia="Times New Roman" w:cs="Arial"/>
                <w:sz w:val="20"/>
                <w:szCs w:val="20"/>
                <w:lang w:eastAsia="es-SV"/>
              </w:rPr>
              <w:t>CONTACTO</w:t>
            </w:r>
          </w:p>
        </w:tc>
      </w:tr>
      <w:tr w:rsidR="00D756B5" w:rsidRPr="000F763D" w:rsidTr="00D756B5">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D756B5" w:rsidRPr="005C70FD" w:rsidRDefault="00D756B5" w:rsidP="00D756B5">
            <w:pPr>
              <w:rPr>
                <w:rFonts w:eastAsia="Times New Roman" w:cs="Times New Roman"/>
                <w:sz w:val="20"/>
                <w:szCs w:val="20"/>
                <w:lang w:eastAsia="es-SV"/>
              </w:rPr>
            </w:pPr>
            <w:r w:rsidRPr="000F763D">
              <w:rPr>
                <w:sz w:val="20"/>
                <w:szCs w:val="20"/>
              </w:rPr>
              <w:t>2.1 Localización  y dirección</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D756B5" w:rsidRPr="000F763D" w:rsidRDefault="00D756B5" w:rsidP="00D756B5">
            <w:pPr>
              <w:outlineLvl w:val="0"/>
              <w:rPr>
                <w:b/>
                <w:sz w:val="20"/>
                <w:szCs w:val="20"/>
              </w:rPr>
            </w:pPr>
            <w:r w:rsidRPr="000F763D">
              <w:rPr>
                <w:b/>
                <w:sz w:val="20"/>
                <w:szCs w:val="20"/>
              </w:rPr>
              <w:t>Oficina de Unidad de Acceso a la Información Pública</w:t>
            </w:r>
          </w:p>
          <w:p w:rsidR="00D756B5" w:rsidRPr="000F763D" w:rsidRDefault="00D756B5" w:rsidP="00D756B5">
            <w:pPr>
              <w:outlineLvl w:val="0"/>
              <w:rPr>
                <w:sz w:val="20"/>
                <w:szCs w:val="20"/>
              </w:rPr>
            </w:pPr>
            <w:r w:rsidRPr="000F763D">
              <w:rPr>
                <w:sz w:val="20"/>
                <w:szCs w:val="20"/>
              </w:rPr>
              <w:t>Col. Escalón C. el Mirador Entre 87 y 89 Av. Norte S.S. World  Trade</w:t>
            </w:r>
            <w:r w:rsidR="009C1931" w:rsidRPr="000F763D">
              <w:rPr>
                <w:sz w:val="20"/>
                <w:szCs w:val="20"/>
              </w:rPr>
              <w:t xml:space="preserve"> </w:t>
            </w:r>
            <w:r w:rsidRPr="000F763D">
              <w:rPr>
                <w:sz w:val="20"/>
                <w:szCs w:val="20"/>
              </w:rPr>
              <w:t>Center Torre II, 4° nivel y  local 109</w:t>
            </w:r>
            <w:r w:rsidR="009C1931" w:rsidRPr="000F763D">
              <w:rPr>
                <w:sz w:val="20"/>
                <w:szCs w:val="20"/>
              </w:rPr>
              <w:t>, San Salvador</w:t>
            </w:r>
          </w:p>
          <w:p w:rsidR="00D756B5" w:rsidRPr="000F763D" w:rsidRDefault="00D756B5" w:rsidP="00D756B5">
            <w:pPr>
              <w:outlineLvl w:val="0"/>
              <w:rPr>
                <w:sz w:val="20"/>
                <w:szCs w:val="20"/>
              </w:rPr>
            </w:pPr>
          </w:p>
          <w:p w:rsidR="00D756B5" w:rsidRPr="000F763D" w:rsidRDefault="00D756B5" w:rsidP="00D756B5">
            <w:pPr>
              <w:outlineLvl w:val="0"/>
              <w:rPr>
                <w:b/>
                <w:sz w:val="20"/>
                <w:szCs w:val="20"/>
              </w:rPr>
            </w:pPr>
            <w:r w:rsidRPr="000F763D">
              <w:rPr>
                <w:b/>
                <w:sz w:val="20"/>
                <w:szCs w:val="20"/>
              </w:rPr>
              <w:t>Gerencia de Gestión Documental y Administración</w:t>
            </w:r>
          </w:p>
          <w:p w:rsidR="00D756B5" w:rsidRPr="000F763D" w:rsidRDefault="00D756B5" w:rsidP="00D756B5">
            <w:pPr>
              <w:outlineLvl w:val="0"/>
              <w:rPr>
                <w:sz w:val="20"/>
                <w:szCs w:val="20"/>
              </w:rPr>
            </w:pPr>
            <w:r w:rsidRPr="000F763D">
              <w:rPr>
                <w:sz w:val="20"/>
                <w:szCs w:val="20"/>
              </w:rPr>
              <w:t>Col. Escalón C. el Mirador Entre 87 y 89 Av. Norte S.S. World  Trade</w:t>
            </w:r>
            <w:r w:rsidR="009C1931" w:rsidRPr="000F763D">
              <w:rPr>
                <w:sz w:val="20"/>
                <w:szCs w:val="20"/>
              </w:rPr>
              <w:t xml:space="preserve">, </w:t>
            </w:r>
            <w:r w:rsidRPr="000F763D">
              <w:rPr>
                <w:sz w:val="20"/>
                <w:szCs w:val="20"/>
              </w:rPr>
              <w:t>Center Torre II, 4° nivel y  local 109</w:t>
            </w:r>
            <w:r w:rsidR="009C1931" w:rsidRPr="000F763D">
              <w:rPr>
                <w:sz w:val="20"/>
                <w:szCs w:val="20"/>
              </w:rPr>
              <w:t>, San Salvador</w:t>
            </w:r>
          </w:p>
          <w:p w:rsidR="00D756B5" w:rsidRPr="000F763D" w:rsidRDefault="00D756B5" w:rsidP="00D756B5">
            <w:pPr>
              <w:outlineLvl w:val="0"/>
              <w:rPr>
                <w:sz w:val="20"/>
                <w:szCs w:val="20"/>
              </w:rPr>
            </w:pPr>
          </w:p>
          <w:p w:rsidR="00D756B5" w:rsidRPr="000F763D" w:rsidRDefault="00D756B5" w:rsidP="00D756B5">
            <w:pPr>
              <w:outlineLvl w:val="0"/>
              <w:rPr>
                <w:sz w:val="20"/>
                <w:szCs w:val="20"/>
              </w:rPr>
            </w:pPr>
            <w:r w:rsidRPr="000F763D">
              <w:rPr>
                <w:b/>
                <w:sz w:val="20"/>
                <w:szCs w:val="20"/>
              </w:rPr>
              <w:lastRenderedPageBreak/>
              <w:t>Archivo Central</w:t>
            </w:r>
          </w:p>
          <w:p w:rsidR="00D756B5" w:rsidRPr="000F763D" w:rsidRDefault="00D756B5" w:rsidP="00D756B5">
            <w:pPr>
              <w:outlineLvl w:val="0"/>
              <w:rPr>
                <w:sz w:val="20"/>
                <w:szCs w:val="20"/>
              </w:rPr>
            </w:pPr>
            <w:r w:rsidRPr="000F763D">
              <w:rPr>
                <w:sz w:val="20"/>
                <w:szCs w:val="20"/>
              </w:rPr>
              <w:t xml:space="preserve">51 Avenida Sur y Alameda Roosevelt </w:t>
            </w:r>
            <w:r w:rsidR="009C1931" w:rsidRPr="000F763D">
              <w:rPr>
                <w:sz w:val="20"/>
                <w:szCs w:val="20"/>
              </w:rPr>
              <w:t>No. 2707, San Salvador</w:t>
            </w:r>
          </w:p>
          <w:p w:rsidR="00D756B5" w:rsidRPr="005C70FD" w:rsidRDefault="00D756B5" w:rsidP="00D756B5">
            <w:pPr>
              <w:rPr>
                <w:rFonts w:eastAsia="Times New Roman" w:cs="Times New Roman"/>
                <w:sz w:val="20"/>
                <w:szCs w:val="20"/>
                <w:lang w:eastAsia="es-SV"/>
              </w:rPr>
            </w:pPr>
          </w:p>
        </w:tc>
      </w:tr>
      <w:tr w:rsidR="00D756B5" w:rsidRPr="000F763D" w:rsidTr="00D756B5">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D756B5" w:rsidRPr="005C70FD" w:rsidRDefault="00D756B5" w:rsidP="00D756B5">
            <w:pPr>
              <w:rPr>
                <w:rFonts w:eastAsia="Times New Roman" w:cs="Times New Roman"/>
                <w:sz w:val="20"/>
                <w:szCs w:val="20"/>
                <w:lang w:eastAsia="es-SV"/>
              </w:rPr>
            </w:pPr>
            <w:r w:rsidRPr="000F763D">
              <w:rPr>
                <w:sz w:val="20"/>
                <w:szCs w:val="20"/>
              </w:rPr>
              <w:lastRenderedPageBreak/>
              <w:t>2.2 Teléfono</w:t>
            </w:r>
            <w:r w:rsidR="009C1931" w:rsidRPr="000F763D">
              <w:rPr>
                <w:sz w:val="20"/>
                <w:szCs w:val="20"/>
              </w:rPr>
              <w:t>, pagina web</w:t>
            </w:r>
            <w:r w:rsidRPr="000F763D">
              <w:rPr>
                <w:sz w:val="20"/>
                <w:szCs w:val="20"/>
              </w:rPr>
              <w:t xml:space="preserve"> y correo electrónico.</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D756B5" w:rsidRPr="000F763D" w:rsidRDefault="00D756B5" w:rsidP="00D756B5">
            <w:pPr>
              <w:outlineLvl w:val="0"/>
              <w:rPr>
                <w:b/>
                <w:sz w:val="20"/>
                <w:szCs w:val="20"/>
              </w:rPr>
            </w:pPr>
            <w:r w:rsidRPr="000F763D">
              <w:rPr>
                <w:b/>
                <w:sz w:val="20"/>
                <w:szCs w:val="20"/>
              </w:rPr>
              <w:t>Oficina de Unidad de Acceso a la Información Pública</w:t>
            </w:r>
          </w:p>
          <w:p w:rsidR="00D756B5" w:rsidRPr="000F763D" w:rsidRDefault="00D756B5" w:rsidP="00D756B5">
            <w:pPr>
              <w:outlineLvl w:val="0"/>
              <w:rPr>
                <w:sz w:val="20"/>
                <w:szCs w:val="20"/>
              </w:rPr>
            </w:pPr>
            <w:r w:rsidRPr="000F763D">
              <w:rPr>
                <w:sz w:val="20"/>
                <w:szCs w:val="20"/>
              </w:rPr>
              <w:t>Teléfonos: 2592-1000,  2592-1014</w:t>
            </w:r>
          </w:p>
          <w:p w:rsidR="009C1931" w:rsidRPr="000F763D" w:rsidRDefault="009C1931" w:rsidP="00D756B5">
            <w:pPr>
              <w:outlineLvl w:val="0"/>
              <w:rPr>
                <w:sz w:val="20"/>
                <w:szCs w:val="20"/>
              </w:rPr>
            </w:pPr>
          </w:p>
          <w:p w:rsidR="009C1931" w:rsidRPr="000F763D" w:rsidRDefault="009C1931" w:rsidP="009C1931">
            <w:pPr>
              <w:outlineLvl w:val="0"/>
              <w:rPr>
                <w:b/>
                <w:sz w:val="20"/>
                <w:szCs w:val="20"/>
              </w:rPr>
            </w:pPr>
            <w:r w:rsidRPr="000F763D">
              <w:rPr>
                <w:b/>
                <w:sz w:val="20"/>
                <w:szCs w:val="20"/>
              </w:rPr>
              <w:t>Gerencia de Gestión Documental y Administración</w:t>
            </w:r>
          </w:p>
          <w:p w:rsidR="009C1931" w:rsidRPr="00543CB3" w:rsidRDefault="009C1931" w:rsidP="009C1931">
            <w:pPr>
              <w:outlineLvl w:val="0"/>
              <w:rPr>
                <w:sz w:val="20"/>
                <w:szCs w:val="20"/>
              </w:rPr>
            </w:pPr>
            <w:r w:rsidRPr="000F763D">
              <w:rPr>
                <w:sz w:val="20"/>
                <w:szCs w:val="20"/>
              </w:rPr>
              <w:t>Teléfonos: 2592-1000,  2592-1050</w:t>
            </w:r>
            <w:r w:rsidR="00B21418">
              <w:rPr>
                <w:sz w:val="20"/>
                <w:szCs w:val="20"/>
              </w:rPr>
              <w:t xml:space="preserve">, </w:t>
            </w:r>
            <w:r w:rsidR="00B21418" w:rsidRPr="00222F7C">
              <w:rPr>
                <w:sz w:val="20"/>
                <w:szCs w:val="20"/>
              </w:rPr>
              <w:t>2592-1052</w:t>
            </w:r>
          </w:p>
          <w:p w:rsidR="009C1931" w:rsidRPr="000F763D" w:rsidRDefault="009C1931" w:rsidP="009C1931">
            <w:pPr>
              <w:outlineLvl w:val="0"/>
              <w:rPr>
                <w:sz w:val="20"/>
                <w:szCs w:val="20"/>
              </w:rPr>
            </w:pPr>
          </w:p>
          <w:p w:rsidR="009C1931" w:rsidRPr="000F763D" w:rsidRDefault="009C1931" w:rsidP="009C1931">
            <w:pPr>
              <w:outlineLvl w:val="0"/>
              <w:rPr>
                <w:sz w:val="20"/>
                <w:szCs w:val="20"/>
              </w:rPr>
            </w:pPr>
            <w:r w:rsidRPr="000F763D">
              <w:rPr>
                <w:b/>
                <w:sz w:val="20"/>
                <w:szCs w:val="20"/>
              </w:rPr>
              <w:t>Archivo Central</w:t>
            </w:r>
          </w:p>
          <w:p w:rsidR="009C1931" w:rsidRPr="000F763D" w:rsidRDefault="009C1931" w:rsidP="009C1931">
            <w:pPr>
              <w:outlineLvl w:val="0"/>
              <w:rPr>
                <w:sz w:val="20"/>
                <w:szCs w:val="20"/>
              </w:rPr>
            </w:pPr>
            <w:r w:rsidRPr="000F763D">
              <w:rPr>
                <w:sz w:val="20"/>
                <w:szCs w:val="20"/>
              </w:rPr>
              <w:t>Teléfonos: 2592-1000,  2592-1049</w:t>
            </w:r>
          </w:p>
          <w:p w:rsidR="009C1931" w:rsidRPr="000F763D" w:rsidRDefault="009C1931" w:rsidP="00D756B5">
            <w:pPr>
              <w:outlineLvl w:val="0"/>
              <w:rPr>
                <w:sz w:val="20"/>
                <w:szCs w:val="20"/>
              </w:rPr>
            </w:pPr>
          </w:p>
          <w:p w:rsidR="00D756B5" w:rsidRPr="000F763D" w:rsidRDefault="00D756B5" w:rsidP="00D756B5">
            <w:pPr>
              <w:outlineLvl w:val="0"/>
              <w:rPr>
                <w:sz w:val="20"/>
                <w:szCs w:val="20"/>
              </w:rPr>
            </w:pPr>
            <w:r w:rsidRPr="000F763D">
              <w:rPr>
                <w:sz w:val="20"/>
                <w:szCs w:val="20"/>
              </w:rPr>
              <w:t xml:space="preserve">Sitio web  </w:t>
            </w:r>
            <w:hyperlink r:id="rId8" w:history="1">
              <w:r w:rsidR="009C1931" w:rsidRPr="000F763D">
                <w:rPr>
                  <w:rStyle w:val="Hipervnculo"/>
                  <w:sz w:val="20"/>
                  <w:szCs w:val="20"/>
                </w:rPr>
                <w:t>www.bandesal.gob.sv</w:t>
              </w:r>
            </w:hyperlink>
          </w:p>
          <w:p w:rsidR="00D756B5" w:rsidRPr="005C70FD" w:rsidRDefault="00D756B5" w:rsidP="00D756B5">
            <w:pPr>
              <w:rPr>
                <w:rFonts w:eastAsia="Times New Roman" w:cs="Times New Roman"/>
                <w:sz w:val="20"/>
                <w:szCs w:val="20"/>
                <w:lang w:eastAsia="es-SV"/>
              </w:rPr>
            </w:pPr>
          </w:p>
        </w:tc>
      </w:tr>
      <w:tr w:rsidR="00D756B5" w:rsidRPr="000F763D" w:rsidTr="00D756B5">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D756B5" w:rsidRPr="005C70FD" w:rsidRDefault="00D756B5" w:rsidP="00D756B5">
            <w:pPr>
              <w:rPr>
                <w:rFonts w:eastAsia="Times New Roman" w:cs="Times New Roman"/>
                <w:sz w:val="20"/>
                <w:szCs w:val="20"/>
                <w:lang w:eastAsia="es-SV"/>
              </w:rPr>
            </w:pPr>
            <w:r w:rsidRPr="000F763D">
              <w:rPr>
                <w:sz w:val="20"/>
                <w:szCs w:val="20"/>
              </w:rPr>
              <w:t>2.3 Contacto</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9C1931" w:rsidRPr="000F763D" w:rsidRDefault="009C1931" w:rsidP="00D756B5">
            <w:pPr>
              <w:outlineLvl w:val="0"/>
              <w:rPr>
                <w:sz w:val="20"/>
                <w:szCs w:val="20"/>
              </w:rPr>
            </w:pPr>
            <w:r w:rsidRPr="000F763D">
              <w:rPr>
                <w:b/>
                <w:sz w:val="20"/>
                <w:szCs w:val="20"/>
              </w:rPr>
              <w:t>Oficina de Unidad de Acceso a la Información Pública</w:t>
            </w:r>
            <w:r w:rsidRPr="000F763D">
              <w:rPr>
                <w:sz w:val="20"/>
                <w:szCs w:val="20"/>
              </w:rPr>
              <w:t xml:space="preserve"> </w:t>
            </w:r>
          </w:p>
          <w:p w:rsidR="00D756B5" w:rsidRPr="000F763D" w:rsidRDefault="00D756B5" w:rsidP="00D756B5">
            <w:pPr>
              <w:outlineLvl w:val="0"/>
              <w:rPr>
                <w:sz w:val="20"/>
                <w:szCs w:val="20"/>
              </w:rPr>
            </w:pPr>
            <w:r w:rsidRPr="000F763D">
              <w:rPr>
                <w:sz w:val="20"/>
                <w:szCs w:val="20"/>
              </w:rPr>
              <w:t>Licenciado Roberto Méndez,  2592-1014</w:t>
            </w:r>
          </w:p>
          <w:p w:rsidR="00D756B5" w:rsidRPr="000F763D" w:rsidRDefault="00D756B5" w:rsidP="00D756B5">
            <w:pPr>
              <w:rPr>
                <w:sz w:val="20"/>
                <w:szCs w:val="20"/>
              </w:rPr>
            </w:pPr>
            <w:r w:rsidRPr="000F763D">
              <w:rPr>
                <w:sz w:val="20"/>
                <w:szCs w:val="20"/>
              </w:rPr>
              <w:t xml:space="preserve">Correo electrónico  </w:t>
            </w:r>
            <w:hyperlink r:id="rId9" w:history="1">
              <w:r w:rsidR="009C1931" w:rsidRPr="000F763D">
                <w:rPr>
                  <w:rStyle w:val="Hipervnculo"/>
                  <w:sz w:val="20"/>
                  <w:szCs w:val="20"/>
                </w:rPr>
                <w:t>roberto.mendez@bandesal.gob.sv</w:t>
              </w:r>
            </w:hyperlink>
          </w:p>
          <w:p w:rsidR="009C1931" w:rsidRPr="000F763D" w:rsidRDefault="009C1931" w:rsidP="00D756B5">
            <w:pPr>
              <w:rPr>
                <w:sz w:val="20"/>
                <w:szCs w:val="20"/>
              </w:rPr>
            </w:pPr>
          </w:p>
          <w:p w:rsidR="009C1931" w:rsidRPr="000F763D" w:rsidRDefault="009C1931" w:rsidP="009C1931">
            <w:pPr>
              <w:outlineLvl w:val="0"/>
              <w:rPr>
                <w:b/>
                <w:sz w:val="20"/>
                <w:szCs w:val="20"/>
              </w:rPr>
            </w:pPr>
            <w:r w:rsidRPr="000F763D">
              <w:rPr>
                <w:b/>
                <w:sz w:val="20"/>
                <w:szCs w:val="20"/>
              </w:rPr>
              <w:t>Gerencia de Gestión Documental y Administración</w:t>
            </w:r>
          </w:p>
          <w:p w:rsidR="009C1931" w:rsidRPr="000F763D" w:rsidRDefault="009C1931" w:rsidP="00D756B5">
            <w:pPr>
              <w:rPr>
                <w:sz w:val="20"/>
                <w:szCs w:val="20"/>
              </w:rPr>
            </w:pPr>
            <w:r w:rsidRPr="000F763D">
              <w:rPr>
                <w:sz w:val="20"/>
                <w:szCs w:val="20"/>
              </w:rPr>
              <w:t>Licenciada Miriam Fernández, 2592-1050</w:t>
            </w:r>
          </w:p>
          <w:p w:rsidR="009C1931" w:rsidRPr="000F763D" w:rsidRDefault="009C1931" w:rsidP="009C1931">
            <w:pPr>
              <w:rPr>
                <w:sz w:val="20"/>
                <w:szCs w:val="20"/>
              </w:rPr>
            </w:pPr>
            <w:r w:rsidRPr="000F763D">
              <w:rPr>
                <w:sz w:val="20"/>
                <w:szCs w:val="20"/>
              </w:rPr>
              <w:t xml:space="preserve">Correo electrónico  </w:t>
            </w:r>
            <w:hyperlink r:id="rId10" w:history="1">
              <w:r w:rsidRPr="000F763D">
                <w:rPr>
                  <w:rStyle w:val="Hipervnculo"/>
                  <w:sz w:val="20"/>
                  <w:szCs w:val="20"/>
                </w:rPr>
                <w:t>miriam.fernandez@bandesal.gob.sv</w:t>
              </w:r>
            </w:hyperlink>
          </w:p>
          <w:p w:rsidR="009C1931" w:rsidRDefault="009C1931" w:rsidP="00D756B5">
            <w:pPr>
              <w:rPr>
                <w:sz w:val="20"/>
                <w:szCs w:val="20"/>
              </w:rPr>
            </w:pPr>
          </w:p>
          <w:p w:rsidR="00D422DD" w:rsidRPr="00222F7C" w:rsidRDefault="00D422DD" w:rsidP="00D422DD">
            <w:pPr>
              <w:outlineLvl w:val="0"/>
              <w:rPr>
                <w:b/>
                <w:sz w:val="20"/>
                <w:szCs w:val="20"/>
              </w:rPr>
            </w:pPr>
            <w:r w:rsidRPr="00222F7C">
              <w:rPr>
                <w:b/>
                <w:sz w:val="20"/>
                <w:szCs w:val="20"/>
              </w:rPr>
              <w:t>Gerencia de Gestión Documental y Administración</w:t>
            </w:r>
          </w:p>
          <w:p w:rsidR="00D422DD" w:rsidRPr="00222F7C" w:rsidRDefault="00D422DD" w:rsidP="00D422DD">
            <w:pPr>
              <w:rPr>
                <w:sz w:val="20"/>
                <w:szCs w:val="20"/>
              </w:rPr>
            </w:pPr>
            <w:r w:rsidRPr="00222F7C">
              <w:rPr>
                <w:sz w:val="20"/>
                <w:szCs w:val="20"/>
              </w:rPr>
              <w:t xml:space="preserve">Licenciada </w:t>
            </w:r>
            <w:r w:rsidR="006940A7" w:rsidRPr="00222F7C">
              <w:rPr>
                <w:sz w:val="20"/>
                <w:szCs w:val="20"/>
              </w:rPr>
              <w:t xml:space="preserve">Juana </w:t>
            </w:r>
            <w:r w:rsidRPr="00222F7C">
              <w:rPr>
                <w:sz w:val="20"/>
                <w:szCs w:val="20"/>
              </w:rPr>
              <w:t>Ismenia Magaña, 2592-1052</w:t>
            </w:r>
          </w:p>
          <w:p w:rsidR="00D422DD" w:rsidRPr="00D422DD" w:rsidRDefault="00D422DD" w:rsidP="00D422DD">
            <w:pPr>
              <w:rPr>
                <w:rStyle w:val="Hipervnculo"/>
                <w:color w:val="FF0000"/>
                <w:sz w:val="20"/>
                <w:szCs w:val="20"/>
              </w:rPr>
            </w:pPr>
            <w:r w:rsidRPr="00222F7C">
              <w:rPr>
                <w:sz w:val="20"/>
                <w:szCs w:val="20"/>
              </w:rPr>
              <w:t xml:space="preserve">Correo electrónico  </w:t>
            </w:r>
            <w:hyperlink r:id="rId11" w:history="1">
              <w:r w:rsidR="00D7529C" w:rsidRPr="00DD238E">
                <w:rPr>
                  <w:rStyle w:val="Hipervnculo"/>
                  <w:sz w:val="20"/>
                  <w:szCs w:val="20"/>
                </w:rPr>
                <w:t>ismenia.magana@bandesal.gob.sv</w:t>
              </w:r>
            </w:hyperlink>
          </w:p>
          <w:p w:rsidR="00D422DD" w:rsidRPr="000F763D" w:rsidRDefault="00D422DD" w:rsidP="00D422DD">
            <w:pPr>
              <w:rPr>
                <w:sz w:val="20"/>
                <w:szCs w:val="20"/>
              </w:rPr>
            </w:pPr>
          </w:p>
          <w:p w:rsidR="009C1931" w:rsidRPr="000F763D" w:rsidRDefault="009C1931" w:rsidP="009C1931">
            <w:pPr>
              <w:outlineLvl w:val="0"/>
              <w:rPr>
                <w:b/>
                <w:sz w:val="20"/>
                <w:szCs w:val="20"/>
              </w:rPr>
            </w:pPr>
            <w:r w:rsidRPr="000F763D">
              <w:rPr>
                <w:b/>
                <w:sz w:val="20"/>
                <w:szCs w:val="20"/>
              </w:rPr>
              <w:t>Archivo Central</w:t>
            </w:r>
          </w:p>
          <w:p w:rsidR="009C1931" w:rsidRPr="000F763D" w:rsidRDefault="009C1931" w:rsidP="009C1931">
            <w:pPr>
              <w:rPr>
                <w:sz w:val="20"/>
                <w:szCs w:val="20"/>
              </w:rPr>
            </w:pPr>
            <w:r w:rsidRPr="000F763D">
              <w:rPr>
                <w:sz w:val="20"/>
                <w:szCs w:val="20"/>
              </w:rPr>
              <w:t>Licenciado Manuel Polanco, 2592-1049</w:t>
            </w:r>
          </w:p>
          <w:p w:rsidR="009C1931" w:rsidRPr="000F763D" w:rsidRDefault="009C1931" w:rsidP="00D756B5">
            <w:pPr>
              <w:rPr>
                <w:sz w:val="20"/>
                <w:szCs w:val="20"/>
              </w:rPr>
            </w:pPr>
            <w:r w:rsidRPr="000F763D">
              <w:rPr>
                <w:sz w:val="20"/>
                <w:szCs w:val="20"/>
              </w:rPr>
              <w:t xml:space="preserve">Correo electrónico  </w:t>
            </w:r>
            <w:hyperlink r:id="rId12" w:history="1">
              <w:r w:rsidRPr="000F763D">
                <w:rPr>
                  <w:rStyle w:val="Hipervnculo"/>
                  <w:sz w:val="20"/>
                  <w:szCs w:val="20"/>
                </w:rPr>
                <w:t>manuel.polanco@bandesal.gob.sv</w:t>
              </w:r>
            </w:hyperlink>
          </w:p>
          <w:p w:rsidR="009C1931" w:rsidRPr="005C70FD" w:rsidRDefault="009C1931" w:rsidP="00D756B5">
            <w:pPr>
              <w:rPr>
                <w:rFonts w:eastAsia="Times New Roman" w:cs="Times New Roman"/>
                <w:sz w:val="20"/>
                <w:szCs w:val="20"/>
                <w:lang w:eastAsia="es-SV"/>
              </w:rPr>
            </w:pPr>
          </w:p>
        </w:tc>
      </w:tr>
    </w:tbl>
    <w:p w:rsidR="00D756B5" w:rsidRDefault="00D756B5" w:rsidP="005C70FD">
      <w:pPr>
        <w:pStyle w:val="Prrafodelista"/>
      </w:pPr>
    </w:p>
    <w:p w:rsidR="00183C62" w:rsidRDefault="00183C62" w:rsidP="005C70FD">
      <w:pPr>
        <w:pStyle w:val="Prrafodelista"/>
      </w:pPr>
    </w:p>
    <w:tbl>
      <w:tblPr>
        <w:tblW w:w="8818" w:type="dxa"/>
        <w:tblCellMar>
          <w:left w:w="0" w:type="dxa"/>
          <w:right w:w="0" w:type="dxa"/>
        </w:tblCellMar>
        <w:tblLook w:val="0420" w:firstRow="1" w:lastRow="0" w:firstColumn="0" w:lastColumn="0" w:noHBand="0" w:noVBand="1"/>
      </w:tblPr>
      <w:tblGrid>
        <w:gridCol w:w="2400"/>
        <w:gridCol w:w="6418"/>
      </w:tblGrid>
      <w:tr w:rsidR="00183C62" w:rsidRPr="004753F0" w:rsidTr="001758AF">
        <w:trPr>
          <w:trHeight w:val="271"/>
        </w:trPr>
        <w:tc>
          <w:tcPr>
            <w:tcW w:w="2400"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183C62" w:rsidRPr="005C70FD" w:rsidRDefault="00183C62" w:rsidP="005D0DBA">
            <w:pPr>
              <w:jc w:val="center"/>
              <w:rPr>
                <w:rFonts w:eastAsia="Times New Roman" w:cs="Arial"/>
                <w:sz w:val="22"/>
                <w:szCs w:val="22"/>
                <w:lang w:eastAsia="es-SV"/>
              </w:rPr>
            </w:pPr>
          </w:p>
        </w:tc>
        <w:tc>
          <w:tcPr>
            <w:tcW w:w="6418"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183C62" w:rsidRPr="005C70FD" w:rsidRDefault="00183C62" w:rsidP="005D0DBA">
            <w:pPr>
              <w:jc w:val="center"/>
              <w:rPr>
                <w:rFonts w:eastAsia="Times New Roman" w:cs="Arial"/>
                <w:sz w:val="22"/>
                <w:szCs w:val="22"/>
                <w:lang w:eastAsia="es-SV"/>
              </w:rPr>
            </w:pPr>
          </w:p>
        </w:tc>
      </w:tr>
      <w:tr w:rsidR="00183C62" w:rsidRPr="004753F0" w:rsidTr="001758AF">
        <w:trPr>
          <w:trHeight w:val="330"/>
        </w:trPr>
        <w:tc>
          <w:tcPr>
            <w:tcW w:w="8818" w:type="dxa"/>
            <w:gridSpan w:val="2"/>
            <w:tcBorders>
              <w:top w:val="single" w:sz="24" w:space="0" w:color="FFFFFF"/>
              <w:left w:val="single" w:sz="8" w:space="0" w:color="FFFFFF"/>
              <w:bottom w:val="single" w:sz="8" w:space="0" w:color="FFFFFF"/>
              <w:right w:val="single" w:sz="8" w:space="0" w:color="FFFFFF"/>
            </w:tcBorders>
            <w:shd w:val="clear" w:color="auto" w:fill="C6D2E6"/>
            <w:tcMar>
              <w:top w:w="72" w:type="dxa"/>
              <w:left w:w="144" w:type="dxa"/>
              <w:bottom w:w="72" w:type="dxa"/>
              <w:right w:w="144" w:type="dxa"/>
            </w:tcMar>
            <w:hideMark/>
          </w:tcPr>
          <w:p w:rsidR="00183C62" w:rsidRPr="004753F0" w:rsidRDefault="00183C62" w:rsidP="00183C62">
            <w:pPr>
              <w:pStyle w:val="Prrafodelista"/>
              <w:numPr>
                <w:ilvl w:val="0"/>
                <w:numId w:val="2"/>
              </w:numPr>
              <w:rPr>
                <w:rFonts w:eastAsia="Times New Roman" w:cs="Arial"/>
                <w:sz w:val="22"/>
                <w:szCs w:val="22"/>
                <w:lang w:eastAsia="es-SV"/>
              </w:rPr>
            </w:pPr>
            <w:r w:rsidRPr="004753F0">
              <w:rPr>
                <w:rFonts w:eastAsia="Times New Roman" w:cs="Arial"/>
                <w:sz w:val="22"/>
                <w:szCs w:val="22"/>
                <w:lang w:eastAsia="es-SV"/>
              </w:rPr>
              <w:t>DESCRIPCION DEL FONDO DOCUMENTAL</w:t>
            </w:r>
          </w:p>
        </w:tc>
      </w:tr>
      <w:tr w:rsidR="004753F0"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4753F0" w:rsidRPr="005C70FD" w:rsidRDefault="004753F0" w:rsidP="004753F0">
            <w:pPr>
              <w:rPr>
                <w:rFonts w:eastAsia="Times New Roman" w:cs="Times New Roman"/>
                <w:sz w:val="22"/>
                <w:szCs w:val="22"/>
                <w:lang w:eastAsia="es-SV"/>
              </w:rPr>
            </w:pPr>
            <w:r w:rsidRPr="004753F0">
              <w:rPr>
                <w:rFonts w:cs="Calibri"/>
                <w:color w:val="000000"/>
                <w:sz w:val="22"/>
                <w:szCs w:val="22"/>
              </w:rPr>
              <w:t>3.1 Historia de la Institución que custodia los fondos documentales.</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4753F0" w:rsidRPr="004753F0" w:rsidRDefault="004753F0" w:rsidP="004753F0">
            <w:pPr>
              <w:jc w:val="both"/>
              <w:outlineLvl w:val="0"/>
              <w:rPr>
                <w:rFonts w:cs="Calibri"/>
                <w:color w:val="000000"/>
                <w:sz w:val="22"/>
                <w:szCs w:val="22"/>
              </w:rPr>
            </w:pPr>
            <w:r w:rsidRPr="004753F0">
              <w:rPr>
                <w:rFonts w:cs="Calibri"/>
                <w:color w:val="000000"/>
                <w:sz w:val="22"/>
                <w:szCs w:val="22"/>
              </w:rPr>
              <w:t>El Banco de Desarrollo de El Salvador - BANDESAL, nace por Ministerio de Ley mediante el Decreto Legislativo número 847 de fecha 21 de octubre de 2011, producto de la transformación del Banco Multisectorial de Inversiones - BMI, como una institución pública de crédito con facultades y competencias más amplias e incluyentes en materia de Banca de Desarrollo, que permite acompañar con recursos financieros a las políticas públicas establecidas para promover el desarrollo de la micro, pequeña y mediana empresa, las exportaciones y la generación de empleo y en consecuencia, el desarrollo económico y social del país, a través del apoyo financiero, de mediano y largo plazo de proyectos productivos pertenecientes a los diversos sectores de la economía salvadoreña.</w:t>
            </w:r>
          </w:p>
        </w:tc>
      </w:tr>
      <w:tr w:rsidR="004753F0"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4753F0" w:rsidRPr="005C70FD" w:rsidRDefault="004753F0" w:rsidP="004753F0">
            <w:pPr>
              <w:rPr>
                <w:rFonts w:eastAsia="Times New Roman" w:cs="Times New Roman"/>
                <w:sz w:val="22"/>
                <w:szCs w:val="22"/>
                <w:lang w:eastAsia="es-SV"/>
              </w:rPr>
            </w:pPr>
            <w:r w:rsidRPr="004753F0">
              <w:rPr>
                <w:rFonts w:eastAsia="Times New Roman" w:cs="Times New Roman"/>
                <w:sz w:val="22"/>
                <w:szCs w:val="22"/>
                <w:lang w:eastAsia="es-SV"/>
              </w:rPr>
              <w:lastRenderedPageBreak/>
              <w:t>3.2 Contexto cultural geográfico.</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4753F0" w:rsidRDefault="004753F0" w:rsidP="001758AF">
            <w:pPr>
              <w:jc w:val="both"/>
              <w:rPr>
                <w:rFonts w:eastAsia="Times New Roman" w:cs="Times New Roman"/>
                <w:sz w:val="22"/>
                <w:szCs w:val="22"/>
                <w:lang w:eastAsia="es-SV"/>
              </w:rPr>
            </w:pPr>
            <w:r>
              <w:rPr>
                <w:rFonts w:eastAsia="Times New Roman" w:cs="Times New Roman"/>
                <w:sz w:val="22"/>
                <w:szCs w:val="22"/>
                <w:lang w:eastAsia="es-SV"/>
              </w:rPr>
              <w:t>Bandesal cuenta con oficinas centrales, además en 2016 aperturó una oficina de atención al cliente directo y centro de formación con el objetivo de contar con un mayor acercamiento al micro y pequeño empresario que es uno de los principales clientes meta que le permiten lograr los objetivos para los que fue creado.</w:t>
            </w:r>
          </w:p>
          <w:p w:rsidR="004753F0" w:rsidRDefault="004753F0" w:rsidP="001758AF">
            <w:pPr>
              <w:jc w:val="both"/>
              <w:rPr>
                <w:rFonts w:eastAsia="Times New Roman" w:cs="Times New Roman"/>
                <w:sz w:val="22"/>
                <w:szCs w:val="22"/>
                <w:lang w:eastAsia="es-SV"/>
              </w:rPr>
            </w:pPr>
          </w:p>
          <w:p w:rsidR="004753F0" w:rsidRDefault="004753F0" w:rsidP="001758AF">
            <w:pPr>
              <w:jc w:val="both"/>
              <w:rPr>
                <w:rFonts w:eastAsia="Times New Roman" w:cs="Times New Roman"/>
                <w:sz w:val="22"/>
                <w:szCs w:val="22"/>
                <w:lang w:eastAsia="es-SV"/>
              </w:rPr>
            </w:pPr>
          </w:p>
          <w:p w:rsidR="004753F0" w:rsidRDefault="004753F0" w:rsidP="001758AF">
            <w:pPr>
              <w:jc w:val="both"/>
              <w:rPr>
                <w:rFonts w:eastAsia="Times New Roman" w:cs="Times New Roman"/>
                <w:sz w:val="22"/>
                <w:szCs w:val="22"/>
                <w:lang w:eastAsia="es-SV"/>
              </w:rPr>
            </w:pPr>
            <w:r>
              <w:rPr>
                <w:rFonts w:eastAsia="Times New Roman" w:cs="Times New Roman"/>
                <w:sz w:val="22"/>
                <w:szCs w:val="22"/>
                <w:lang w:eastAsia="es-SV"/>
              </w:rPr>
              <w:t xml:space="preserve">Es una banca de desarrollo que busca incentivar mediante el crédito </w:t>
            </w:r>
            <w:r w:rsidR="001758AF">
              <w:rPr>
                <w:rFonts w:eastAsia="Times New Roman" w:cs="Times New Roman"/>
                <w:sz w:val="22"/>
                <w:szCs w:val="22"/>
                <w:lang w:eastAsia="es-SV"/>
              </w:rPr>
              <w:t xml:space="preserve">productivo </w:t>
            </w:r>
            <w:r>
              <w:rPr>
                <w:rFonts w:eastAsia="Times New Roman" w:cs="Times New Roman"/>
                <w:sz w:val="22"/>
                <w:szCs w:val="22"/>
                <w:lang w:eastAsia="es-SV"/>
              </w:rPr>
              <w:t>y la asistencia técnica a los diferentes sectores del país.</w:t>
            </w:r>
          </w:p>
          <w:p w:rsidR="001758AF" w:rsidRDefault="001758AF" w:rsidP="001758AF">
            <w:pPr>
              <w:jc w:val="both"/>
              <w:rPr>
                <w:rFonts w:eastAsia="Times New Roman" w:cs="Times New Roman"/>
                <w:sz w:val="22"/>
                <w:szCs w:val="22"/>
                <w:lang w:eastAsia="es-SV"/>
              </w:rPr>
            </w:pPr>
          </w:p>
          <w:p w:rsidR="001758AF" w:rsidRPr="001758AF" w:rsidRDefault="001758AF" w:rsidP="001758AF">
            <w:pPr>
              <w:jc w:val="both"/>
              <w:rPr>
                <w:rFonts w:eastAsia="Times New Roman" w:cs="Times New Roman"/>
                <w:sz w:val="22"/>
                <w:szCs w:val="22"/>
                <w:lang w:eastAsia="es-SV"/>
              </w:rPr>
            </w:pPr>
            <w:r>
              <w:rPr>
                <w:rFonts w:eastAsia="Times New Roman" w:cs="Times New Roman"/>
                <w:sz w:val="22"/>
                <w:szCs w:val="22"/>
                <w:lang w:eastAsia="es-SV"/>
              </w:rPr>
              <w:t xml:space="preserve">Su principal </w:t>
            </w:r>
            <w:r w:rsidRPr="001758AF">
              <w:rPr>
                <w:rFonts w:eastAsia="Times New Roman" w:cs="Times New Roman"/>
                <w:sz w:val="22"/>
                <w:szCs w:val="22"/>
                <w:lang w:eastAsia="es-SV"/>
              </w:rPr>
              <w:t xml:space="preserve">objetivo </w:t>
            </w:r>
            <w:r>
              <w:rPr>
                <w:rFonts w:eastAsia="Times New Roman" w:cs="Times New Roman"/>
                <w:sz w:val="22"/>
                <w:szCs w:val="22"/>
                <w:lang w:eastAsia="es-SV"/>
              </w:rPr>
              <w:t xml:space="preserve">es </w:t>
            </w:r>
            <w:r w:rsidRPr="001758AF">
              <w:rPr>
                <w:rFonts w:eastAsia="Times New Roman" w:cs="Times New Roman"/>
                <w:sz w:val="22"/>
                <w:szCs w:val="22"/>
                <w:lang w:eastAsia="es-SV"/>
              </w:rPr>
              <w:t xml:space="preserve">promover, con apoyo financiero y técnico, el desarrollo de proyectos de inversión viables y rentables de los sectores productivos del país, a fin de contribuir a: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a) Promover el crecimiento y desarrollo de todos los sectores productivos;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b) Promover el desarrollo y competitividad de los empresarios;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c) Propiciar el desarrollo de la micro, pequeña y mediana empresa;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d) Promover el desarrollo de las exportaciones del país;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e) La generación de empleo; y, </w:t>
            </w:r>
          </w:p>
          <w:p w:rsidR="001758AF" w:rsidRPr="005C70FD"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f) Mejorar los servicios de educación y salud</w:t>
            </w:r>
          </w:p>
        </w:tc>
      </w:tr>
      <w:tr w:rsidR="004753F0"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4753F0" w:rsidRPr="005C70FD" w:rsidRDefault="001758AF" w:rsidP="004753F0">
            <w:pPr>
              <w:rPr>
                <w:rFonts w:eastAsia="Times New Roman" w:cs="Times New Roman"/>
                <w:sz w:val="22"/>
                <w:szCs w:val="22"/>
                <w:lang w:eastAsia="es-SV"/>
              </w:rPr>
            </w:pPr>
            <w:r w:rsidRPr="001758AF">
              <w:rPr>
                <w:rFonts w:eastAsia="Times New Roman" w:cs="Times New Roman"/>
                <w:sz w:val="22"/>
                <w:szCs w:val="22"/>
                <w:lang w:eastAsia="es-SV"/>
              </w:rPr>
              <w:t>3.3 Atribuciones y fuentes legales.</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Las funciones principales de la institución son las siguientes</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a) Otorgar créditos y realizar otras operaciones financieras directamente a sujetos elegibles, para el financiamiento de proyectos de inversión del sector privado a desarrollarse en el territorio nacional;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b) Otorgar créditos a través de instituciones elegibles, para el financiamiento de proyectos de inversión del sector privado a desarrollarse en el territorio nacional;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c) Otorgar créditos y realizar operaciones financieras en moneda extranjera a través de instituciones elegibles o directamente con la garantía de éstas, a personas naturales o jurídicas para financiar en los países de destino, la importación y comercialización de bienes y servicios de origen salvadoreño;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d) Avalar obligaciones en moneda extranjera contraídas por las instituciones elegibles o sujetos elegibles con el propósito de obtener financiamiento para los objetivos del Banco;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e) Desarrollar productos financieros para apoyar la regionalización de empresas salvadoreñas;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f) Desarrollar programas de capacitación, asesoría y asistencia técnica orientados a aumentar y mejorar el acceso al financiamiento, la competitividad y productividad de las empresas;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g) Financiar, realizar o contratar estudios técnicos, jurídicos y financieros para el análisis sectorial, estudios de pre inversión o estructuración de proyectos y dictar las políticas aplicables a éstos;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h) Administrar los recursos del Fondo de Desarrollo Económico y del Fondo Salvadoreño de Garantías, establecidos en esta Ley, pudiendo </w:t>
            </w:r>
            <w:r w:rsidRPr="001758AF">
              <w:rPr>
                <w:rFonts w:eastAsia="Times New Roman" w:cs="Times New Roman"/>
                <w:sz w:val="22"/>
                <w:szCs w:val="22"/>
                <w:lang w:eastAsia="es-SV"/>
              </w:rPr>
              <w:lastRenderedPageBreak/>
              <w:t>realizar, con cargo a los mismos, los actos y contratos necesarios para el logro de sus finalidades.</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i) Invertir en títulos valores o valores emitidos por bancos y otras entidades financieras, siempre que los recursos así captados se destinen para cumplir los objetivos del Banco.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j) Invertir en títulos valores o valores emitidos por el Banco Central.</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k) Mantener depósitos en el Banco Central, bancos y en otros intermediarios financieros autorizados para captar depósitos.</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l) Mantener depósitos en dólares y en otras monedas extranjeras, en Bancos extranjeros de primera línea, de conformidad a lo que determine la Junta Directiva a través de votación calificada.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m) Obtener créditos de instituciones nacionales o internacionales, de acuerdo con lo establecido en su programa financiero anual.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n) Emitir y obtener obligaciones negociables de acuerdo con lo establecido en su programa financiero anual</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o) Administrar fondos de garantía.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p) Constituir, administrar y/o participar en titula rizadoras, almacenes generales de depósito y en instrumentos y mecanismos financieros, tales como fondos de garantía, de inversión, de titularización, de capital de riesgo, deuda subordinada, créditos sindicados, fideicomisos y otros instrumentos y estructuras financieras que cumplan con los objetivos del Banco, para lo cual podrá aportar recursos propios de su patrimonio o de terceros.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Con relación a los casos de deuda subordinada en que el Banco sea el acreedor, el intermediario financiero contratante podrá contabilizar dentro de su capital complementario la deuda subordinada que se tenga con el Banco, de conformidad a la ley que rige a dicho intermediario.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q) Ceder o dar en administración créditos de acuerdo a lo que determine la Junta Directiva. </w:t>
            </w:r>
          </w:p>
          <w:p w:rsidR="001758AF" w:rsidRPr="001758AF"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 xml:space="preserve">r) Suscribir Convenios de Cooperación con instituciones o entidades nacionales e internacionales que cumplan con los objetivos del Banco; así como, actuar como agentes de entidades financieras extranjeras. </w:t>
            </w:r>
          </w:p>
          <w:p w:rsidR="004753F0" w:rsidRPr="005C70FD" w:rsidRDefault="001758AF" w:rsidP="001758AF">
            <w:pPr>
              <w:jc w:val="both"/>
              <w:rPr>
                <w:rFonts w:eastAsia="Times New Roman" w:cs="Times New Roman"/>
                <w:sz w:val="22"/>
                <w:szCs w:val="22"/>
                <w:lang w:eastAsia="es-SV"/>
              </w:rPr>
            </w:pPr>
            <w:r w:rsidRPr="001758AF">
              <w:rPr>
                <w:rFonts w:eastAsia="Times New Roman" w:cs="Times New Roman"/>
                <w:sz w:val="22"/>
                <w:szCs w:val="22"/>
                <w:lang w:eastAsia="es-SV"/>
              </w:rPr>
              <w:t>s) Efectuar otras operaciones financieras necesarias para lograr su objetivo principal.</w:t>
            </w:r>
          </w:p>
        </w:tc>
      </w:tr>
      <w:tr w:rsidR="004753F0"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4753F0" w:rsidRPr="004753F0" w:rsidRDefault="001758AF" w:rsidP="004753F0">
            <w:pPr>
              <w:rPr>
                <w:rFonts w:eastAsia="Times New Roman" w:cs="Times New Roman"/>
                <w:sz w:val="22"/>
                <w:szCs w:val="22"/>
                <w:lang w:eastAsia="es-SV"/>
              </w:rPr>
            </w:pPr>
            <w:r w:rsidRPr="001758AF">
              <w:rPr>
                <w:rFonts w:eastAsia="Times New Roman" w:cs="Times New Roman"/>
                <w:sz w:val="22"/>
                <w:szCs w:val="22"/>
                <w:lang w:eastAsia="es-SV"/>
              </w:rPr>
              <w:lastRenderedPageBreak/>
              <w:t>3.4 Estructura Organizativa.</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4753F0" w:rsidRDefault="001758AF" w:rsidP="000F763D">
            <w:pPr>
              <w:jc w:val="both"/>
              <w:rPr>
                <w:rFonts w:eastAsia="Times New Roman" w:cs="Times New Roman"/>
                <w:sz w:val="22"/>
                <w:szCs w:val="22"/>
                <w:lang w:eastAsia="es-SV"/>
              </w:rPr>
            </w:pPr>
            <w:r>
              <w:rPr>
                <w:rFonts w:eastAsia="Times New Roman" w:cs="Times New Roman"/>
                <w:b/>
                <w:sz w:val="22"/>
                <w:szCs w:val="22"/>
                <w:lang w:eastAsia="es-SV"/>
              </w:rPr>
              <w:t>Nivel Superior:</w:t>
            </w:r>
            <w:r>
              <w:rPr>
                <w:rFonts w:eastAsia="Times New Roman" w:cs="Times New Roman"/>
                <w:sz w:val="22"/>
                <w:szCs w:val="22"/>
                <w:lang w:eastAsia="es-SV"/>
              </w:rPr>
              <w:t xml:space="preserve"> Asamblea de Gobernadores, Junta Directiva y Presidencia</w:t>
            </w:r>
          </w:p>
          <w:p w:rsidR="001758AF" w:rsidRDefault="001758AF" w:rsidP="000F763D">
            <w:pPr>
              <w:jc w:val="both"/>
              <w:rPr>
                <w:rFonts w:eastAsia="Times New Roman" w:cs="Times New Roman"/>
                <w:sz w:val="22"/>
                <w:szCs w:val="22"/>
                <w:lang w:eastAsia="es-SV"/>
              </w:rPr>
            </w:pPr>
          </w:p>
          <w:p w:rsidR="001758AF" w:rsidRDefault="001758AF" w:rsidP="000F763D">
            <w:pPr>
              <w:jc w:val="both"/>
              <w:rPr>
                <w:rFonts w:eastAsia="Times New Roman" w:cs="Times New Roman"/>
                <w:sz w:val="22"/>
                <w:szCs w:val="22"/>
                <w:lang w:eastAsia="es-SV"/>
              </w:rPr>
            </w:pPr>
            <w:r>
              <w:rPr>
                <w:rFonts w:eastAsia="Times New Roman" w:cs="Times New Roman"/>
                <w:b/>
                <w:sz w:val="22"/>
                <w:szCs w:val="22"/>
                <w:lang w:eastAsia="es-SV"/>
              </w:rPr>
              <w:t xml:space="preserve">Nivel Direccional:  </w:t>
            </w:r>
            <w:r>
              <w:rPr>
                <w:rFonts w:eastAsia="Times New Roman" w:cs="Times New Roman"/>
                <w:sz w:val="22"/>
                <w:szCs w:val="22"/>
                <w:lang w:eastAsia="es-SV"/>
              </w:rPr>
              <w:t>Dirección de Negocios y Desarrollo, Dirección de Gestión, Dirección Legal y Dirección de Riesgos</w:t>
            </w:r>
          </w:p>
          <w:p w:rsidR="001758AF" w:rsidRPr="001758AF" w:rsidRDefault="001758AF" w:rsidP="000F763D">
            <w:pPr>
              <w:jc w:val="both"/>
              <w:rPr>
                <w:rFonts w:eastAsia="Times New Roman" w:cs="Times New Roman"/>
                <w:sz w:val="22"/>
                <w:szCs w:val="22"/>
                <w:lang w:eastAsia="es-SV"/>
              </w:rPr>
            </w:pPr>
          </w:p>
          <w:p w:rsidR="001758AF" w:rsidRDefault="001758AF" w:rsidP="000F763D">
            <w:pPr>
              <w:jc w:val="both"/>
              <w:rPr>
                <w:rFonts w:eastAsia="Times New Roman" w:cs="Times New Roman"/>
                <w:sz w:val="22"/>
                <w:szCs w:val="22"/>
                <w:lang w:eastAsia="es-SV"/>
              </w:rPr>
            </w:pPr>
            <w:r>
              <w:rPr>
                <w:rFonts w:eastAsia="Times New Roman" w:cs="Times New Roman"/>
                <w:b/>
                <w:sz w:val="22"/>
                <w:szCs w:val="22"/>
                <w:lang w:eastAsia="es-SV"/>
              </w:rPr>
              <w:t>Nivel de Staff o Apoyo:</w:t>
            </w:r>
            <w:r>
              <w:rPr>
                <w:rFonts w:eastAsia="Times New Roman" w:cs="Times New Roman"/>
                <w:sz w:val="22"/>
                <w:szCs w:val="22"/>
                <w:lang w:eastAsia="es-SV"/>
              </w:rPr>
              <w:t xml:space="preserve"> Oficina de Cumplimiento, Gerencia de Auditoría y Control, Unidad Ambiental, Unidad de Género y Centro de Formación, Unidad de Planificación, </w:t>
            </w:r>
            <w:r w:rsidR="00A4396E">
              <w:rPr>
                <w:rFonts w:eastAsia="Times New Roman" w:cs="Times New Roman"/>
                <w:sz w:val="22"/>
                <w:szCs w:val="22"/>
                <w:lang w:eastAsia="es-SV"/>
              </w:rPr>
              <w:t>Proyectos</w:t>
            </w:r>
            <w:r>
              <w:rPr>
                <w:rFonts w:eastAsia="Times New Roman" w:cs="Times New Roman"/>
                <w:sz w:val="22"/>
                <w:szCs w:val="22"/>
                <w:lang w:eastAsia="es-SV"/>
              </w:rPr>
              <w:t>, Crédito Directo, Unidad de Adquisiciones y Contrataciones, Unidad de Acceso a la Información Pública.</w:t>
            </w:r>
          </w:p>
          <w:p w:rsidR="001758AF" w:rsidRDefault="001758AF" w:rsidP="000F763D">
            <w:pPr>
              <w:jc w:val="both"/>
              <w:rPr>
                <w:rFonts w:eastAsia="Times New Roman" w:cs="Times New Roman"/>
                <w:sz w:val="22"/>
                <w:szCs w:val="22"/>
                <w:lang w:eastAsia="es-SV"/>
              </w:rPr>
            </w:pPr>
          </w:p>
          <w:p w:rsidR="001758AF" w:rsidRPr="001758AF" w:rsidRDefault="001758AF" w:rsidP="002741D7">
            <w:pPr>
              <w:jc w:val="both"/>
              <w:rPr>
                <w:rFonts w:eastAsia="Times New Roman" w:cs="Times New Roman"/>
                <w:sz w:val="22"/>
                <w:szCs w:val="22"/>
                <w:lang w:eastAsia="es-SV"/>
              </w:rPr>
            </w:pPr>
            <w:r>
              <w:rPr>
                <w:rFonts w:eastAsia="Times New Roman" w:cs="Times New Roman"/>
                <w:b/>
                <w:sz w:val="22"/>
                <w:szCs w:val="22"/>
                <w:lang w:eastAsia="es-SV"/>
              </w:rPr>
              <w:t>Nivel Funcional</w:t>
            </w:r>
            <w:r>
              <w:rPr>
                <w:rFonts w:eastAsia="Times New Roman" w:cs="Times New Roman"/>
                <w:sz w:val="22"/>
                <w:szCs w:val="22"/>
                <w:lang w:eastAsia="es-SV"/>
              </w:rPr>
              <w:t>: Gerencia de In</w:t>
            </w:r>
            <w:r w:rsidR="002741D7">
              <w:rPr>
                <w:rFonts w:eastAsia="Times New Roman" w:cs="Times New Roman"/>
                <w:sz w:val="22"/>
                <w:szCs w:val="22"/>
                <w:lang w:eastAsia="es-SV"/>
              </w:rPr>
              <w:t xml:space="preserve">stituciones Financieras </w:t>
            </w:r>
            <w:r>
              <w:rPr>
                <w:rFonts w:eastAsia="Times New Roman" w:cs="Times New Roman"/>
                <w:sz w:val="22"/>
                <w:szCs w:val="22"/>
                <w:lang w:eastAsia="es-SV"/>
              </w:rPr>
              <w:t xml:space="preserve">, Gerencia </w:t>
            </w:r>
            <w:r w:rsidR="00A4396E">
              <w:rPr>
                <w:rFonts w:eastAsia="Times New Roman" w:cs="Times New Roman"/>
                <w:sz w:val="22"/>
                <w:szCs w:val="22"/>
                <w:lang w:eastAsia="es-SV"/>
              </w:rPr>
              <w:t>Comercial</w:t>
            </w:r>
            <w:r>
              <w:rPr>
                <w:rFonts w:eastAsia="Times New Roman" w:cs="Times New Roman"/>
                <w:sz w:val="22"/>
                <w:szCs w:val="22"/>
                <w:lang w:eastAsia="es-SV"/>
              </w:rPr>
              <w:t>, Gerencia de Garantía</w:t>
            </w:r>
            <w:r w:rsidR="00A4396E">
              <w:rPr>
                <w:rFonts w:eastAsia="Times New Roman" w:cs="Times New Roman"/>
                <w:sz w:val="22"/>
                <w:szCs w:val="22"/>
                <w:lang w:eastAsia="es-SV"/>
              </w:rPr>
              <w:t>s</w:t>
            </w:r>
            <w:r>
              <w:rPr>
                <w:rFonts w:eastAsia="Times New Roman" w:cs="Times New Roman"/>
                <w:sz w:val="22"/>
                <w:szCs w:val="22"/>
                <w:lang w:eastAsia="es-SV"/>
              </w:rPr>
              <w:t xml:space="preserve">, Gerencia de Finanzas, Gerencia de Tecnología, Gerencia de Operaciones, </w:t>
            </w:r>
            <w:r w:rsidR="00A4396E">
              <w:rPr>
                <w:rFonts w:eastAsia="Times New Roman" w:cs="Times New Roman"/>
                <w:sz w:val="22"/>
                <w:szCs w:val="22"/>
                <w:lang w:eastAsia="es-SV"/>
              </w:rPr>
              <w:t xml:space="preserve">Gerencia de Riesgos, Gerencia de Créditos y Garantías, </w:t>
            </w:r>
            <w:r>
              <w:rPr>
                <w:rFonts w:eastAsia="Times New Roman" w:cs="Times New Roman"/>
                <w:sz w:val="22"/>
                <w:szCs w:val="22"/>
                <w:lang w:eastAsia="es-SV"/>
              </w:rPr>
              <w:t>Gerencia de Gestión Documental y Administración, Gerencia de Fideicomisos, Gerencia Legal</w:t>
            </w:r>
          </w:p>
        </w:tc>
      </w:tr>
      <w:tr w:rsidR="004753F0"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4753F0" w:rsidRPr="004753F0" w:rsidRDefault="000F763D" w:rsidP="004753F0">
            <w:pPr>
              <w:rPr>
                <w:rFonts w:eastAsia="Times New Roman" w:cs="Times New Roman"/>
                <w:sz w:val="22"/>
                <w:szCs w:val="22"/>
                <w:lang w:eastAsia="es-SV"/>
              </w:rPr>
            </w:pPr>
            <w:r w:rsidRPr="000F763D">
              <w:rPr>
                <w:rFonts w:eastAsia="Times New Roman" w:cs="Times New Roman"/>
                <w:sz w:val="22"/>
                <w:szCs w:val="22"/>
                <w:lang w:eastAsia="es-SV"/>
              </w:rPr>
              <w:lastRenderedPageBreak/>
              <w:t>3.5 Gestión de documentos y políticas de ingreso</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4753F0" w:rsidRPr="004753F0" w:rsidRDefault="000F763D" w:rsidP="004753F0">
            <w:pPr>
              <w:rPr>
                <w:rFonts w:eastAsia="Times New Roman" w:cs="Times New Roman"/>
                <w:sz w:val="22"/>
                <w:szCs w:val="22"/>
                <w:lang w:eastAsia="es-SV"/>
              </w:rPr>
            </w:pPr>
            <w:r>
              <w:rPr>
                <w:rFonts w:eastAsia="Times New Roman" w:cs="Times New Roman"/>
                <w:sz w:val="22"/>
                <w:szCs w:val="22"/>
                <w:lang w:eastAsia="es-SV"/>
              </w:rPr>
              <w:t xml:space="preserve">El Banco </w:t>
            </w:r>
            <w:r w:rsidR="00A4396E">
              <w:rPr>
                <w:rFonts w:eastAsia="Times New Roman" w:cs="Times New Roman"/>
                <w:sz w:val="22"/>
                <w:szCs w:val="22"/>
                <w:lang w:eastAsia="es-SV"/>
              </w:rPr>
              <w:t xml:space="preserve">cuenta con la Política de Gestión Documental que </w:t>
            </w:r>
            <w:r w:rsidR="00712680">
              <w:rPr>
                <w:rFonts w:eastAsia="Times New Roman" w:cs="Times New Roman"/>
                <w:sz w:val="22"/>
                <w:szCs w:val="22"/>
                <w:lang w:eastAsia="es-SV"/>
              </w:rPr>
              <w:t>se encuentra aprobada a partir de diciembre de 2017 y se encuentra publicada en nuestro portal de transparencia.</w:t>
            </w:r>
          </w:p>
        </w:tc>
      </w:tr>
      <w:tr w:rsidR="00FD5B1C"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FD5B1C" w:rsidRPr="004753F0" w:rsidRDefault="00FD5B1C" w:rsidP="00FD5B1C">
            <w:pPr>
              <w:rPr>
                <w:rFonts w:eastAsia="Times New Roman" w:cs="Times New Roman"/>
                <w:sz w:val="22"/>
                <w:szCs w:val="22"/>
                <w:lang w:eastAsia="es-SV"/>
              </w:rPr>
            </w:pPr>
            <w:r w:rsidRPr="00D51620">
              <w:rPr>
                <w:rFonts w:cs="Calibri"/>
                <w:color w:val="000000"/>
              </w:rPr>
              <w:t>3.6  Edificio (s)</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AE1ADE" w:rsidRDefault="00AE1ADE" w:rsidP="00FD5B1C">
            <w:pPr>
              <w:jc w:val="both"/>
              <w:outlineLvl w:val="0"/>
              <w:rPr>
                <w:rFonts w:cs="Calibri"/>
                <w:color w:val="000000"/>
              </w:rPr>
            </w:pPr>
            <w:r>
              <w:rPr>
                <w:rFonts w:cs="Calibri"/>
                <w:color w:val="000000"/>
              </w:rPr>
              <w:t xml:space="preserve">Bandesal cuenta con dos </w:t>
            </w:r>
            <w:r w:rsidR="00841825">
              <w:rPr>
                <w:rFonts w:cs="Calibri"/>
                <w:color w:val="000000"/>
              </w:rPr>
              <w:t>ubicaciones</w:t>
            </w:r>
            <w:r>
              <w:rPr>
                <w:rFonts w:cs="Calibri"/>
                <w:color w:val="000000"/>
              </w:rPr>
              <w:t xml:space="preserve">: </w:t>
            </w:r>
          </w:p>
          <w:p w:rsidR="00AE1ADE" w:rsidRDefault="00AE1ADE" w:rsidP="00FD5B1C">
            <w:pPr>
              <w:jc w:val="both"/>
              <w:outlineLvl w:val="0"/>
              <w:rPr>
                <w:rFonts w:cs="Calibri"/>
                <w:color w:val="000000"/>
              </w:rPr>
            </w:pPr>
            <w:r>
              <w:rPr>
                <w:rFonts w:cs="Calibri"/>
                <w:color w:val="000000"/>
              </w:rPr>
              <w:t xml:space="preserve">Oficinas Centrales en World Trade Center Torre II, Nivel 4, 89 Avenida Norte y Calle El </w:t>
            </w:r>
            <w:r w:rsidR="00841825">
              <w:rPr>
                <w:rFonts w:cs="Calibri"/>
                <w:color w:val="000000"/>
              </w:rPr>
              <w:t xml:space="preserve">Mirador, Colonia Escalón, San Salvador. </w:t>
            </w:r>
          </w:p>
          <w:p w:rsidR="00841825" w:rsidRDefault="00841825" w:rsidP="00FD5B1C">
            <w:pPr>
              <w:jc w:val="both"/>
              <w:outlineLvl w:val="0"/>
              <w:rPr>
                <w:rFonts w:cs="Calibri"/>
                <w:color w:val="000000"/>
              </w:rPr>
            </w:pPr>
            <w:r>
              <w:rPr>
                <w:rFonts w:cs="Calibri"/>
                <w:color w:val="000000"/>
              </w:rPr>
              <w:t xml:space="preserve">Se mantienen en esta ubicación la mayoría de archivos de gestión y Archivo Central, con la documentación de </w:t>
            </w:r>
            <w:r w:rsidR="00972032" w:rsidRPr="00972032">
              <w:rPr>
                <w:rFonts w:cs="Calibri"/>
              </w:rPr>
              <w:t>dos</w:t>
            </w:r>
            <w:r w:rsidR="00D422DD">
              <w:rPr>
                <w:rFonts w:cs="Calibri"/>
                <w:color w:val="000000"/>
              </w:rPr>
              <w:t xml:space="preserve"> </w:t>
            </w:r>
            <w:r>
              <w:rPr>
                <w:rFonts w:cs="Calibri"/>
                <w:color w:val="000000"/>
              </w:rPr>
              <w:t xml:space="preserve">a </w:t>
            </w:r>
            <w:r w:rsidR="00972032">
              <w:rPr>
                <w:rFonts w:cs="Calibri"/>
                <w:color w:val="000000"/>
              </w:rPr>
              <w:t>tres</w:t>
            </w:r>
            <w:r>
              <w:rPr>
                <w:rFonts w:cs="Calibri"/>
                <w:color w:val="000000"/>
              </w:rPr>
              <w:t xml:space="preserve"> año</w:t>
            </w:r>
            <w:r w:rsidR="00D422DD">
              <w:rPr>
                <w:rFonts w:cs="Calibri"/>
                <w:color w:val="000000"/>
              </w:rPr>
              <w:t>s</w:t>
            </w:r>
            <w:r>
              <w:rPr>
                <w:rFonts w:cs="Calibri"/>
                <w:color w:val="000000"/>
              </w:rPr>
              <w:t xml:space="preserve"> aproximadamente.</w:t>
            </w:r>
          </w:p>
          <w:p w:rsidR="00841825" w:rsidRDefault="00841825" w:rsidP="00FD5B1C">
            <w:pPr>
              <w:jc w:val="both"/>
              <w:outlineLvl w:val="0"/>
              <w:rPr>
                <w:rFonts w:cs="Calibri"/>
                <w:color w:val="000000"/>
              </w:rPr>
            </w:pPr>
          </w:p>
          <w:p w:rsidR="00841825" w:rsidRDefault="00841825" w:rsidP="00FD5B1C">
            <w:pPr>
              <w:jc w:val="both"/>
              <w:outlineLvl w:val="0"/>
              <w:rPr>
                <w:rFonts w:cs="Calibri"/>
                <w:color w:val="000000"/>
              </w:rPr>
            </w:pPr>
            <w:r>
              <w:rPr>
                <w:rFonts w:cs="Calibri"/>
                <w:color w:val="000000"/>
              </w:rPr>
              <w:t xml:space="preserve">Edificio Roosevelt, Oficinas de Centro de Atención del FDE y Centro de Formación, en 51 Avenida Sur y Alameda Roosevelt, San Salvador, donde se encuentra el depósito documental de archivo histórico institucional. </w:t>
            </w:r>
          </w:p>
          <w:p w:rsidR="00FD5B1C" w:rsidRPr="004753F0" w:rsidRDefault="00FD5B1C" w:rsidP="00FD5B1C">
            <w:pPr>
              <w:rPr>
                <w:rFonts w:eastAsia="Times New Roman" w:cs="Times New Roman"/>
                <w:sz w:val="22"/>
                <w:szCs w:val="22"/>
                <w:lang w:eastAsia="es-SV"/>
              </w:rPr>
            </w:pPr>
            <w:r w:rsidRPr="00D51620">
              <w:rPr>
                <w:rFonts w:cs="Calibri"/>
                <w:color w:val="000000"/>
              </w:rPr>
              <w:t xml:space="preserve"> </w:t>
            </w:r>
          </w:p>
        </w:tc>
      </w:tr>
      <w:tr w:rsidR="00FD5B1C"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FD5B1C" w:rsidRDefault="001F14C6" w:rsidP="00FD5B1C">
            <w:pPr>
              <w:rPr>
                <w:rFonts w:eastAsia="Times New Roman" w:cs="Times New Roman"/>
                <w:sz w:val="22"/>
                <w:szCs w:val="22"/>
                <w:lang w:eastAsia="es-SV"/>
              </w:rPr>
            </w:pPr>
            <w:r>
              <w:rPr>
                <w:rFonts w:eastAsia="Times New Roman" w:cs="Times New Roman"/>
                <w:sz w:val="22"/>
                <w:szCs w:val="22"/>
                <w:lang w:eastAsia="es-SV"/>
              </w:rPr>
              <w:t>3.7 Fondos y colecciones custodiadas</w:t>
            </w:r>
          </w:p>
          <w:p w:rsidR="001F14C6" w:rsidRPr="004753F0" w:rsidRDefault="001F14C6" w:rsidP="00FD5B1C">
            <w:pPr>
              <w:rPr>
                <w:rFonts w:eastAsia="Times New Roman" w:cs="Times New Roman"/>
                <w:sz w:val="22"/>
                <w:szCs w:val="22"/>
                <w:lang w:eastAsia="es-SV"/>
              </w:rPr>
            </w:pP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FD5B1C" w:rsidRDefault="0012457D" w:rsidP="00B924FF">
            <w:pPr>
              <w:jc w:val="both"/>
              <w:rPr>
                <w:rFonts w:eastAsia="Times New Roman" w:cs="Times New Roman"/>
                <w:sz w:val="22"/>
                <w:szCs w:val="22"/>
                <w:lang w:eastAsia="es-SV"/>
              </w:rPr>
            </w:pPr>
            <w:r>
              <w:rPr>
                <w:rFonts w:eastAsia="Times New Roman" w:cs="Times New Roman"/>
                <w:sz w:val="22"/>
                <w:szCs w:val="22"/>
                <w:lang w:eastAsia="es-SV"/>
              </w:rPr>
              <w:t>Se cuenta con único fondo documental, el cual está compuesto de la siguiente manera:</w:t>
            </w:r>
          </w:p>
          <w:p w:rsidR="0012457D" w:rsidRDefault="0012457D" w:rsidP="00B924FF">
            <w:pPr>
              <w:jc w:val="both"/>
              <w:rPr>
                <w:rFonts w:eastAsia="Times New Roman" w:cs="Times New Roman"/>
                <w:sz w:val="22"/>
                <w:szCs w:val="22"/>
                <w:lang w:eastAsia="es-SV"/>
              </w:rPr>
            </w:pPr>
          </w:p>
          <w:p w:rsidR="0012457D" w:rsidRDefault="0012457D" w:rsidP="00B924FF">
            <w:pPr>
              <w:jc w:val="both"/>
              <w:rPr>
                <w:rFonts w:eastAsia="Times New Roman" w:cs="Times New Roman"/>
                <w:sz w:val="22"/>
                <w:szCs w:val="22"/>
                <w:lang w:eastAsia="es-SV"/>
              </w:rPr>
            </w:pPr>
            <w:r>
              <w:rPr>
                <w:rFonts w:eastAsia="Times New Roman" w:cs="Times New Roman"/>
                <w:b/>
                <w:sz w:val="22"/>
                <w:szCs w:val="22"/>
                <w:lang w:eastAsia="es-SV"/>
              </w:rPr>
              <w:t>Sección Gobierno Corporativo:</w:t>
            </w:r>
            <w:r>
              <w:rPr>
                <w:rFonts w:eastAsia="Times New Roman" w:cs="Times New Roman"/>
                <w:sz w:val="22"/>
                <w:szCs w:val="22"/>
                <w:lang w:eastAsia="es-SV"/>
              </w:rPr>
              <w:t xml:space="preserve"> Información generada a partir de los entes colegiados para la toma de decisiones institucionales.</w:t>
            </w:r>
          </w:p>
          <w:p w:rsidR="0012457D" w:rsidRDefault="0012457D" w:rsidP="00B924FF">
            <w:pPr>
              <w:jc w:val="both"/>
              <w:rPr>
                <w:rFonts w:eastAsia="Times New Roman" w:cs="Times New Roman"/>
                <w:sz w:val="22"/>
                <w:szCs w:val="22"/>
                <w:lang w:eastAsia="es-SV"/>
              </w:rPr>
            </w:pPr>
          </w:p>
          <w:p w:rsidR="0012457D" w:rsidRDefault="0012457D" w:rsidP="00B924FF">
            <w:pPr>
              <w:jc w:val="both"/>
              <w:rPr>
                <w:rFonts w:eastAsia="Times New Roman" w:cs="Times New Roman"/>
                <w:sz w:val="22"/>
                <w:szCs w:val="22"/>
                <w:lang w:eastAsia="es-SV"/>
              </w:rPr>
            </w:pPr>
            <w:r>
              <w:rPr>
                <w:rFonts w:eastAsia="Times New Roman" w:cs="Times New Roman"/>
                <w:b/>
                <w:sz w:val="22"/>
                <w:szCs w:val="22"/>
                <w:lang w:eastAsia="es-SV"/>
              </w:rPr>
              <w:t>Sección Servicios:</w:t>
            </w:r>
            <w:r>
              <w:rPr>
                <w:rFonts w:eastAsia="Times New Roman" w:cs="Times New Roman"/>
                <w:sz w:val="22"/>
                <w:szCs w:val="22"/>
                <w:lang w:eastAsia="es-SV"/>
              </w:rPr>
              <w:t xml:space="preserve"> Documentación relacionada con las operaciones con clientes (Operaciones de Primer Piso, Operaciones de Segundo Piso, Fideicomisos y Garantías) y Actividades de Formación y Desarrollo de micros y pequeños empresarios.</w:t>
            </w:r>
          </w:p>
          <w:p w:rsidR="0012457D" w:rsidRDefault="0012457D" w:rsidP="00B924FF">
            <w:pPr>
              <w:jc w:val="both"/>
              <w:rPr>
                <w:rFonts w:eastAsia="Times New Roman" w:cs="Times New Roman"/>
                <w:sz w:val="22"/>
                <w:szCs w:val="22"/>
                <w:lang w:eastAsia="es-SV"/>
              </w:rPr>
            </w:pPr>
          </w:p>
          <w:p w:rsidR="0012457D" w:rsidRDefault="0012457D" w:rsidP="00B924FF">
            <w:pPr>
              <w:jc w:val="both"/>
              <w:rPr>
                <w:rFonts w:eastAsia="Times New Roman" w:cs="Times New Roman"/>
                <w:sz w:val="22"/>
                <w:szCs w:val="22"/>
                <w:lang w:eastAsia="es-SV"/>
              </w:rPr>
            </w:pPr>
            <w:r>
              <w:rPr>
                <w:rFonts w:eastAsia="Times New Roman" w:cs="Times New Roman"/>
                <w:b/>
                <w:sz w:val="22"/>
                <w:szCs w:val="22"/>
                <w:lang w:eastAsia="es-SV"/>
              </w:rPr>
              <w:t>Sección Finanzas:</w:t>
            </w:r>
            <w:r>
              <w:rPr>
                <w:rFonts w:eastAsia="Times New Roman" w:cs="Times New Roman"/>
                <w:sz w:val="22"/>
                <w:szCs w:val="22"/>
                <w:lang w:eastAsia="es-SV"/>
              </w:rPr>
              <w:t xml:space="preserve"> Documentación de actividades de Fondeo, Presupuesto, Contabilidad y Pagaduría.</w:t>
            </w:r>
          </w:p>
          <w:p w:rsidR="0012457D" w:rsidRDefault="0012457D" w:rsidP="00B924FF">
            <w:pPr>
              <w:jc w:val="both"/>
              <w:rPr>
                <w:rFonts w:eastAsia="Times New Roman" w:cs="Times New Roman"/>
                <w:sz w:val="22"/>
                <w:szCs w:val="22"/>
                <w:lang w:eastAsia="es-SV"/>
              </w:rPr>
            </w:pPr>
          </w:p>
          <w:p w:rsidR="0012457D" w:rsidRPr="0012457D" w:rsidRDefault="0012457D" w:rsidP="00B924FF">
            <w:pPr>
              <w:jc w:val="both"/>
              <w:rPr>
                <w:rFonts w:eastAsia="Times New Roman" w:cs="Times New Roman"/>
                <w:sz w:val="22"/>
                <w:szCs w:val="22"/>
                <w:lang w:eastAsia="es-SV"/>
              </w:rPr>
            </w:pPr>
            <w:r>
              <w:rPr>
                <w:rFonts w:eastAsia="Times New Roman" w:cs="Times New Roman"/>
                <w:b/>
                <w:sz w:val="22"/>
                <w:szCs w:val="22"/>
                <w:lang w:eastAsia="es-SV"/>
              </w:rPr>
              <w:t>Sección de Funciones de Apoyo:</w:t>
            </w:r>
            <w:r>
              <w:rPr>
                <w:rFonts w:eastAsia="Times New Roman" w:cs="Times New Roman"/>
                <w:sz w:val="22"/>
                <w:szCs w:val="22"/>
                <w:lang w:eastAsia="es-SV"/>
              </w:rPr>
              <w:t xml:space="preserve"> </w:t>
            </w:r>
            <w:r w:rsidR="00D213DC">
              <w:rPr>
                <w:rFonts w:eastAsia="Times New Roman" w:cs="Times New Roman"/>
                <w:sz w:val="22"/>
                <w:szCs w:val="22"/>
                <w:lang w:eastAsia="es-SV"/>
              </w:rPr>
              <w:t>Información generada por la</w:t>
            </w:r>
            <w:r w:rsidR="003E1A14">
              <w:rPr>
                <w:rFonts w:eastAsia="Times New Roman" w:cs="Times New Roman"/>
                <w:sz w:val="22"/>
                <w:szCs w:val="22"/>
                <w:lang w:eastAsia="es-SV"/>
              </w:rPr>
              <w:t>s funciones control Ambiental</w:t>
            </w:r>
            <w:r w:rsidR="00D213DC">
              <w:rPr>
                <w:rFonts w:eastAsia="Times New Roman" w:cs="Times New Roman"/>
                <w:sz w:val="22"/>
                <w:szCs w:val="22"/>
                <w:lang w:eastAsia="es-SV"/>
              </w:rPr>
              <w:t>, de Cumplimiento, Control Interno, C</w:t>
            </w:r>
            <w:r w:rsidR="003E1A14">
              <w:rPr>
                <w:rFonts w:eastAsia="Times New Roman" w:cs="Times New Roman"/>
                <w:sz w:val="22"/>
                <w:szCs w:val="22"/>
                <w:lang w:eastAsia="es-SV"/>
              </w:rPr>
              <w:t>omunicación Institucional, Riesgos, Planificación, Tecnología, Legal, Recursos Humanos, Gestión Documental y Administrativo</w:t>
            </w:r>
            <w:r w:rsidR="002741D7">
              <w:rPr>
                <w:rFonts w:eastAsia="Times New Roman" w:cs="Times New Roman"/>
                <w:sz w:val="22"/>
                <w:szCs w:val="22"/>
                <w:lang w:eastAsia="es-SV"/>
              </w:rPr>
              <w:t>.</w:t>
            </w:r>
          </w:p>
          <w:p w:rsidR="0012457D" w:rsidRDefault="0012457D" w:rsidP="00FD5B1C">
            <w:pPr>
              <w:rPr>
                <w:rFonts w:eastAsia="Times New Roman" w:cs="Times New Roman"/>
                <w:sz w:val="22"/>
                <w:szCs w:val="22"/>
                <w:lang w:eastAsia="es-SV"/>
              </w:rPr>
            </w:pPr>
          </w:p>
          <w:p w:rsidR="006B6267" w:rsidRPr="004753F0" w:rsidRDefault="006B6267" w:rsidP="00FD5B1C">
            <w:pPr>
              <w:rPr>
                <w:rFonts w:eastAsia="Times New Roman" w:cs="Times New Roman"/>
                <w:sz w:val="22"/>
                <w:szCs w:val="22"/>
                <w:lang w:eastAsia="es-SV"/>
              </w:rPr>
            </w:pPr>
          </w:p>
        </w:tc>
      </w:tr>
      <w:tr w:rsidR="00FD5B1C" w:rsidRPr="004753F0" w:rsidTr="001758AF">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FD5B1C" w:rsidRPr="004753F0" w:rsidRDefault="00FD5B1C" w:rsidP="00FD5B1C">
            <w:pPr>
              <w:rPr>
                <w:rFonts w:eastAsia="Times New Roman" w:cs="Times New Roman"/>
                <w:sz w:val="22"/>
                <w:szCs w:val="22"/>
                <w:lang w:eastAsia="es-SV"/>
              </w:rPr>
            </w:pP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FD5B1C" w:rsidRPr="004753F0" w:rsidRDefault="00FD5B1C" w:rsidP="00FD5B1C">
            <w:pPr>
              <w:rPr>
                <w:rFonts w:eastAsia="Times New Roman" w:cs="Times New Roman"/>
                <w:sz w:val="22"/>
                <w:szCs w:val="22"/>
                <w:lang w:eastAsia="es-SV"/>
              </w:rPr>
            </w:pPr>
          </w:p>
        </w:tc>
      </w:tr>
    </w:tbl>
    <w:p w:rsidR="00183C62" w:rsidRDefault="00183C62" w:rsidP="005C70FD">
      <w:pPr>
        <w:pStyle w:val="Prrafodelista"/>
      </w:pPr>
    </w:p>
    <w:tbl>
      <w:tblPr>
        <w:tblW w:w="8818" w:type="dxa"/>
        <w:tblCellMar>
          <w:left w:w="0" w:type="dxa"/>
          <w:right w:w="0" w:type="dxa"/>
        </w:tblCellMar>
        <w:tblLook w:val="0420" w:firstRow="1" w:lastRow="0" w:firstColumn="0" w:lastColumn="0" w:noHBand="0" w:noVBand="1"/>
      </w:tblPr>
      <w:tblGrid>
        <w:gridCol w:w="2400"/>
        <w:gridCol w:w="6418"/>
      </w:tblGrid>
      <w:tr w:rsidR="003E1A14" w:rsidRPr="000F763D" w:rsidTr="006B6267">
        <w:trPr>
          <w:trHeight w:val="192"/>
        </w:trPr>
        <w:tc>
          <w:tcPr>
            <w:tcW w:w="2400"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3E1A14" w:rsidRPr="005C70FD" w:rsidRDefault="003E1A14" w:rsidP="007908CE">
            <w:pPr>
              <w:jc w:val="center"/>
              <w:rPr>
                <w:rFonts w:eastAsia="Times New Roman" w:cs="Arial"/>
                <w:sz w:val="20"/>
                <w:szCs w:val="20"/>
                <w:lang w:eastAsia="es-SV"/>
              </w:rPr>
            </w:pPr>
          </w:p>
        </w:tc>
        <w:tc>
          <w:tcPr>
            <w:tcW w:w="6418"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3E1A14" w:rsidRPr="005C70FD" w:rsidRDefault="003E1A14" w:rsidP="007908CE">
            <w:pPr>
              <w:jc w:val="center"/>
              <w:rPr>
                <w:rFonts w:eastAsia="Times New Roman" w:cs="Arial"/>
                <w:sz w:val="20"/>
                <w:szCs w:val="20"/>
                <w:lang w:eastAsia="es-SV"/>
              </w:rPr>
            </w:pPr>
          </w:p>
        </w:tc>
      </w:tr>
      <w:tr w:rsidR="003E1A14" w:rsidRPr="000F763D" w:rsidTr="006B6267">
        <w:trPr>
          <w:trHeight w:val="295"/>
        </w:trPr>
        <w:tc>
          <w:tcPr>
            <w:tcW w:w="8818" w:type="dxa"/>
            <w:gridSpan w:val="2"/>
            <w:tcBorders>
              <w:top w:val="single" w:sz="24" w:space="0" w:color="FFFFFF"/>
              <w:left w:val="single" w:sz="8" w:space="0" w:color="FFFFFF"/>
              <w:bottom w:val="single" w:sz="8" w:space="0" w:color="FFFFFF"/>
              <w:right w:val="single" w:sz="8" w:space="0" w:color="FFFFFF"/>
            </w:tcBorders>
            <w:shd w:val="clear" w:color="auto" w:fill="C6D2E6"/>
            <w:tcMar>
              <w:top w:w="72" w:type="dxa"/>
              <w:left w:w="144" w:type="dxa"/>
              <w:bottom w:w="72" w:type="dxa"/>
              <w:right w:w="144" w:type="dxa"/>
            </w:tcMar>
            <w:hideMark/>
          </w:tcPr>
          <w:p w:rsidR="003E1A14" w:rsidRPr="000F763D" w:rsidRDefault="003E1A14" w:rsidP="003E1A14">
            <w:pPr>
              <w:pStyle w:val="Prrafodelista"/>
              <w:numPr>
                <w:ilvl w:val="0"/>
                <w:numId w:val="2"/>
              </w:numPr>
              <w:rPr>
                <w:rFonts w:eastAsia="Times New Roman" w:cs="Arial"/>
                <w:sz w:val="20"/>
                <w:szCs w:val="20"/>
                <w:lang w:eastAsia="es-SV"/>
              </w:rPr>
            </w:pPr>
            <w:r>
              <w:rPr>
                <w:rFonts w:eastAsia="Times New Roman" w:cs="Arial"/>
                <w:sz w:val="20"/>
                <w:szCs w:val="20"/>
                <w:lang w:eastAsia="es-SV"/>
              </w:rPr>
              <w:t>ACCESO</w:t>
            </w:r>
          </w:p>
        </w:tc>
      </w:tr>
      <w:tr w:rsidR="00F868FD"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F868FD" w:rsidRPr="00B924FF" w:rsidRDefault="00F868FD" w:rsidP="00F868FD">
            <w:pPr>
              <w:rPr>
                <w:rFonts w:eastAsia="Times New Roman" w:cs="Times New Roman"/>
                <w:sz w:val="22"/>
                <w:szCs w:val="22"/>
                <w:lang w:eastAsia="es-SV"/>
              </w:rPr>
            </w:pPr>
            <w:r w:rsidRPr="00B924FF">
              <w:rPr>
                <w:rFonts w:cs="Calibri"/>
                <w:color w:val="000000"/>
                <w:sz w:val="22"/>
                <w:szCs w:val="22"/>
              </w:rPr>
              <w:t>4.1 Horario de apertura y accesibilidad.</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F868FD" w:rsidRPr="00B924FF" w:rsidRDefault="00F868FD" w:rsidP="00F868FD">
            <w:pPr>
              <w:outlineLvl w:val="0"/>
              <w:rPr>
                <w:rFonts w:cs="Calibri"/>
                <w:color w:val="000000"/>
                <w:sz w:val="22"/>
                <w:szCs w:val="22"/>
              </w:rPr>
            </w:pPr>
            <w:r w:rsidRPr="00B924FF">
              <w:rPr>
                <w:rFonts w:cs="Calibri"/>
                <w:color w:val="000000"/>
                <w:sz w:val="22"/>
                <w:szCs w:val="22"/>
              </w:rPr>
              <w:t>Horario de Lunes a Viernes de 8:30 a 12:00 y de las 12:45 a las 16:30</w:t>
            </w:r>
          </w:p>
          <w:p w:rsidR="00F868FD" w:rsidRPr="00B924FF" w:rsidRDefault="00F868FD" w:rsidP="00F868FD">
            <w:pPr>
              <w:outlineLvl w:val="0"/>
              <w:rPr>
                <w:rFonts w:cs="Calibri"/>
                <w:color w:val="000000"/>
                <w:sz w:val="22"/>
                <w:szCs w:val="22"/>
              </w:rPr>
            </w:pPr>
            <w:r w:rsidRPr="00B924FF">
              <w:rPr>
                <w:rFonts w:cs="Calibri"/>
                <w:color w:val="000000"/>
                <w:sz w:val="22"/>
                <w:szCs w:val="22"/>
              </w:rPr>
              <w:t>Cerrado al público los días sábado, domingo y días de asueto.</w:t>
            </w:r>
          </w:p>
          <w:p w:rsidR="00F868FD" w:rsidRPr="00B924FF" w:rsidRDefault="00F868FD" w:rsidP="006B6267">
            <w:pPr>
              <w:outlineLvl w:val="0"/>
              <w:rPr>
                <w:rFonts w:eastAsia="Times New Roman" w:cs="Times New Roman"/>
                <w:sz w:val="22"/>
                <w:szCs w:val="22"/>
                <w:lang w:eastAsia="es-SV"/>
              </w:rPr>
            </w:pPr>
          </w:p>
        </w:tc>
      </w:tr>
      <w:tr w:rsidR="00F868FD"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F868FD" w:rsidRPr="00B924FF" w:rsidRDefault="00B924FF" w:rsidP="00F868FD">
            <w:pPr>
              <w:rPr>
                <w:rFonts w:eastAsia="Times New Roman" w:cs="Times New Roman"/>
                <w:sz w:val="22"/>
                <w:szCs w:val="22"/>
                <w:lang w:eastAsia="es-SV"/>
              </w:rPr>
            </w:pPr>
            <w:r w:rsidRPr="00B924FF">
              <w:rPr>
                <w:rFonts w:cs="Calibri"/>
                <w:color w:val="000000"/>
                <w:sz w:val="22"/>
                <w:szCs w:val="22"/>
              </w:rPr>
              <w:t>4.2 Condiciones y requisitos para el uso y acceso</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B924FF" w:rsidRPr="00B924FF" w:rsidRDefault="00B924FF" w:rsidP="00B924FF">
            <w:pPr>
              <w:jc w:val="both"/>
              <w:outlineLvl w:val="0"/>
              <w:rPr>
                <w:rFonts w:cs="Calibri"/>
                <w:color w:val="000000"/>
                <w:sz w:val="22"/>
                <w:szCs w:val="22"/>
              </w:rPr>
            </w:pPr>
            <w:r w:rsidRPr="00B924FF">
              <w:rPr>
                <w:rFonts w:cs="Calibri"/>
                <w:color w:val="000000"/>
                <w:sz w:val="22"/>
                <w:szCs w:val="22"/>
              </w:rPr>
              <w:t xml:space="preserve">La solicitud de Información se presenta al Oficial de Información Institucional, en dicha solicitud se indica qué tipo de información se solicita. Posteriormente el Oficial de información gestiona internamente con las diferentes instancias, dicha petición. </w:t>
            </w:r>
          </w:p>
          <w:p w:rsidR="00F868FD" w:rsidRPr="00B924FF" w:rsidRDefault="00B924FF" w:rsidP="00B924FF">
            <w:pPr>
              <w:jc w:val="both"/>
              <w:rPr>
                <w:rFonts w:cs="Calibri"/>
                <w:color w:val="000000"/>
                <w:sz w:val="22"/>
                <w:szCs w:val="22"/>
              </w:rPr>
            </w:pPr>
            <w:r w:rsidRPr="00B924FF">
              <w:rPr>
                <w:rFonts w:cs="Calibri"/>
                <w:color w:val="000000"/>
                <w:sz w:val="22"/>
                <w:szCs w:val="22"/>
              </w:rPr>
              <w:t>El acceso a la información es libre y gratuito bajo los términos que establece LAIP y previa presentación del Documento Único de Identidad (DUI) o pasaporte, carne de minoridad, carne de residencia en el caso de usuarios extranjeros que soliciten la información</w:t>
            </w:r>
          </w:p>
          <w:p w:rsidR="00B924FF" w:rsidRDefault="00B924FF" w:rsidP="00B924FF">
            <w:pPr>
              <w:jc w:val="both"/>
              <w:rPr>
                <w:rFonts w:cs="Calibri"/>
                <w:color w:val="000000"/>
                <w:sz w:val="22"/>
                <w:szCs w:val="22"/>
              </w:rPr>
            </w:pPr>
          </w:p>
          <w:p w:rsidR="00B924FF" w:rsidRDefault="00B924FF" w:rsidP="00B924FF">
            <w:pPr>
              <w:jc w:val="both"/>
              <w:rPr>
                <w:rFonts w:cs="Calibri"/>
                <w:color w:val="000000"/>
                <w:sz w:val="22"/>
                <w:szCs w:val="22"/>
              </w:rPr>
            </w:pPr>
            <w:r w:rsidRPr="00B924FF">
              <w:rPr>
                <w:rFonts w:cs="Calibri"/>
                <w:color w:val="000000"/>
                <w:sz w:val="22"/>
                <w:szCs w:val="22"/>
              </w:rPr>
              <w:t xml:space="preserve">Las restricciones de acceso a la información son aquellas contenidas en la Ley de Acceso a la Información Pública en lo referente a datos personales, información reservada o confidencial y aquellas en donde aplique </w:t>
            </w:r>
            <w:r>
              <w:rPr>
                <w:rFonts w:cs="Calibri"/>
                <w:color w:val="000000"/>
                <w:sz w:val="22"/>
                <w:szCs w:val="22"/>
              </w:rPr>
              <w:t>el secreto bancario, fiduciario, entre otros.</w:t>
            </w:r>
          </w:p>
          <w:p w:rsidR="00B924FF" w:rsidRPr="00B924FF" w:rsidRDefault="00B924FF" w:rsidP="00B924FF">
            <w:pPr>
              <w:jc w:val="both"/>
              <w:rPr>
                <w:rFonts w:cs="Calibri"/>
                <w:color w:val="000000"/>
                <w:sz w:val="22"/>
                <w:szCs w:val="22"/>
              </w:rPr>
            </w:pPr>
          </w:p>
        </w:tc>
      </w:tr>
      <w:tr w:rsidR="00F868FD"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F868FD" w:rsidRPr="00B924FF" w:rsidRDefault="00B924FF" w:rsidP="00F868FD">
            <w:pPr>
              <w:rPr>
                <w:rFonts w:eastAsia="Times New Roman" w:cs="Times New Roman"/>
                <w:sz w:val="22"/>
                <w:szCs w:val="20"/>
                <w:lang w:eastAsia="es-SV"/>
              </w:rPr>
            </w:pPr>
            <w:r w:rsidRPr="00B924FF">
              <w:rPr>
                <w:rFonts w:eastAsia="Times New Roman" w:cs="Times New Roman"/>
                <w:sz w:val="22"/>
                <w:szCs w:val="20"/>
                <w:lang w:eastAsia="es-SV"/>
              </w:rPr>
              <w:t>4.3 Accesibilidad</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F868FD" w:rsidRPr="00B924FF" w:rsidRDefault="00B924FF" w:rsidP="00B924FF">
            <w:pPr>
              <w:jc w:val="both"/>
              <w:rPr>
                <w:rFonts w:eastAsia="Times New Roman" w:cs="Times New Roman"/>
                <w:sz w:val="22"/>
                <w:szCs w:val="20"/>
                <w:lang w:eastAsia="es-SV"/>
              </w:rPr>
            </w:pPr>
            <w:r w:rsidRPr="00B924FF">
              <w:rPr>
                <w:rFonts w:eastAsia="Times New Roman" w:cs="Times New Roman"/>
                <w:sz w:val="22"/>
                <w:szCs w:val="20"/>
                <w:lang w:eastAsia="es-SV"/>
              </w:rPr>
              <w:t>Alrededor de las instalaciones del Banco de Desarrollo de El Salvador se puede llegar a través de la ruta 52 buses y microbuses vía hotel que prestan el servicio en la modalidad urbano.</w:t>
            </w:r>
          </w:p>
          <w:p w:rsidR="00B924FF" w:rsidRPr="00B924FF" w:rsidRDefault="00B924FF" w:rsidP="00B924FF">
            <w:pPr>
              <w:jc w:val="both"/>
              <w:rPr>
                <w:rFonts w:eastAsia="Times New Roman" w:cs="Times New Roman"/>
                <w:sz w:val="22"/>
                <w:szCs w:val="20"/>
                <w:lang w:eastAsia="es-SV"/>
              </w:rPr>
            </w:pPr>
          </w:p>
          <w:p w:rsidR="00B924FF" w:rsidRPr="005C70FD" w:rsidRDefault="00B924FF" w:rsidP="00B924FF">
            <w:pPr>
              <w:jc w:val="both"/>
              <w:rPr>
                <w:rFonts w:eastAsia="Times New Roman" w:cs="Times New Roman"/>
                <w:sz w:val="20"/>
                <w:szCs w:val="20"/>
                <w:lang w:eastAsia="es-SV"/>
              </w:rPr>
            </w:pPr>
            <w:r w:rsidRPr="00B924FF">
              <w:rPr>
                <w:rFonts w:eastAsia="Times New Roman" w:cs="Times New Roman"/>
                <w:sz w:val="22"/>
                <w:szCs w:val="20"/>
                <w:lang w:eastAsia="es-SV"/>
              </w:rPr>
              <w:t>Las instalaciones se encuentran accesibles para personas en sillas de ruedas.</w:t>
            </w:r>
          </w:p>
        </w:tc>
      </w:tr>
    </w:tbl>
    <w:p w:rsidR="006B6267" w:rsidRDefault="006B6267" w:rsidP="005C70FD">
      <w:pPr>
        <w:pStyle w:val="Prrafodelista"/>
      </w:pPr>
    </w:p>
    <w:p w:rsidR="006B6267" w:rsidRDefault="006B6267" w:rsidP="005C70FD">
      <w:pPr>
        <w:pStyle w:val="Prrafodelista"/>
      </w:pPr>
    </w:p>
    <w:p w:rsidR="006B6267" w:rsidRDefault="006B6267" w:rsidP="005C70FD">
      <w:pPr>
        <w:pStyle w:val="Prrafodelista"/>
      </w:pPr>
    </w:p>
    <w:p w:rsidR="006B6267" w:rsidRDefault="006B6267" w:rsidP="005C70FD">
      <w:pPr>
        <w:pStyle w:val="Prrafodelista"/>
      </w:pPr>
      <w:r>
        <w:rPr>
          <w:noProof/>
          <w:lang w:eastAsia="es-SV"/>
        </w:rPr>
        <w:drawing>
          <wp:inline distT="0" distB="0" distL="0" distR="0" wp14:anchorId="04AE61CA" wp14:editId="3B09BA67">
            <wp:extent cx="4801468" cy="2833654"/>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0529" cy="2850805"/>
                    </a:xfrm>
                    <a:prstGeom prst="rect">
                      <a:avLst/>
                    </a:prstGeom>
                    <a:noFill/>
                    <a:ln>
                      <a:noFill/>
                    </a:ln>
                  </pic:spPr>
                </pic:pic>
              </a:graphicData>
            </a:graphic>
          </wp:inline>
        </w:drawing>
      </w:r>
    </w:p>
    <w:p w:rsidR="006B6267" w:rsidRDefault="006B6267" w:rsidP="005C70FD">
      <w:pPr>
        <w:pStyle w:val="Prrafodelista"/>
      </w:pPr>
    </w:p>
    <w:tbl>
      <w:tblPr>
        <w:tblW w:w="8818" w:type="dxa"/>
        <w:tblCellMar>
          <w:left w:w="0" w:type="dxa"/>
          <w:right w:w="0" w:type="dxa"/>
        </w:tblCellMar>
        <w:tblLook w:val="0420" w:firstRow="1" w:lastRow="0" w:firstColumn="0" w:lastColumn="0" w:noHBand="0" w:noVBand="1"/>
      </w:tblPr>
      <w:tblGrid>
        <w:gridCol w:w="2400"/>
        <w:gridCol w:w="6418"/>
      </w:tblGrid>
      <w:tr w:rsidR="006B6267" w:rsidRPr="000F763D" w:rsidTr="007908CE">
        <w:trPr>
          <w:trHeight w:val="192"/>
        </w:trPr>
        <w:tc>
          <w:tcPr>
            <w:tcW w:w="2400"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6B6267" w:rsidRPr="005C70FD" w:rsidRDefault="006B6267" w:rsidP="007908CE">
            <w:pPr>
              <w:jc w:val="center"/>
              <w:rPr>
                <w:rFonts w:eastAsia="Times New Roman" w:cs="Arial"/>
                <w:sz w:val="20"/>
                <w:szCs w:val="20"/>
                <w:lang w:eastAsia="es-SV"/>
              </w:rPr>
            </w:pPr>
          </w:p>
        </w:tc>
        <w:tc>
          <w:tcPr>
            <w:tcW w:w="6418"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6B6267" w:rsidRPr="005C70FD" w:rsidRDefault="006B6267" w:rsidP="007908CE">
            <w:pPr>
              <w:jc w:val="center"/>
              <w:rPr>
                <w:rFonts w:eastAsia="Times New Roman" w:cs="Arial"/>
                <w:sz w:val="20"/>
                <w:szCs w:val="20"/>
                <w:lang w:eastAsia="es-SV"/>
              </w:rPr>
            </w:pPr>
          </w:p>
        </w:tc>
      </w:tr>
      <w:tr w:rsidR="006B6267" w:rsidRPr="000F763D" w:rsidTr="007908CE">
        <w:trPr>
          <w:trHeight w:val="295"/>
        </w:trPr>
        <w:tc>
          <w:tcPr>
            <w:tcW w:w="8818" w:type="dxa"/>
            <w:gridSpan w:val="2"/>
            <w:tcBorders>
              <w:top w:val="single" w:sz="24" w:space="0" w:color="FFFFFF"/>
              <w:left w:val="single" w:sz="8" w:space="0" w:color="FFFFFF"/>
              <w:bottom w:val="single" w:sz="8" w:space="0" w:color="FFFFFF"/>
              <w:right w:val="single" w:sz="8" w:space="0" w:color="FFFFFF"/>
            </w:tcBorders>
            <w:shd w:val="clear" w:color="auto" w:fill="C6D2E6"/>
            <w:tcMar>
              <w:top w:w="72" w:type="dxa"/>
              <w:left w:w="144" w:type="dxa"/>
              <w:bottom w:w="72" w:type="dxa"/>
              <w:right w:w="144" w:type="dxa"/>
            </w:tcMar>
            <w:hideMark/>
          </w:tcPr>
          <w:p w:rsidR="006B6267" w:rsidRPr="000F763D" w:rsidRDefault="006B6267" w:rsidP="007908CE">
            <w:pPr>
              <w:pStyle w:val="Prrafodelista"/>
              <w:numPr>
                <w:ilvl w:val="0"/>
                <w:numId w:val="2"/>
              </w:numPr>
              <w:rPr>
                <w:rFonts w:eastAsia="Times New Roman" w:cs="Arial"/>
                <w:sz w:val="20"/>
                <w:szCs w:val="20"/>
                <w:lang w:eastAsia="es-SV"/>
              </w:rPr>
            </w:pPr>
            <w:r>
              <w:rPr>
                <w:rFonts w:eastAsia="Times New Roman" w:cs="Arial"/>
                <w:sz w:val="20"/>
                <w:szCs w:val="20"/>
                <w:lang w:eastAsia="es-SV"/>
              </w:rPr>
              <w:t>SERVICIOS</w:t>
            </w:r>
          </w:p>
        </w:tc>
      </w:tr>
      <w:tr w:rsidR="006B6267"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6B6267" w:rsidRPr="00B924FF" w:rsidRDefault="006B6267" w:rsidP="007908CE">
            <w:pPr>
              <w:rPr>
                <w:rFonts w:eastAsia="Times New Roman" w:cs="Times New Roman"/>
                <w:sz w:val="22"/>
                <w:szCs w:val="22"/>
                <w:lang w:eastAsia="es-SV"/>
              </w:rPr>
            </w:pPr>
            <w:r w:rsidRPr="006B6267">
              <w:rPr>
                <w:rFonts w:eastAsia="Times New Roman" w:cs="Times New Roman"/>
                <w:sz w:val="22"/>
                <w:szCs w:val="22"/>
                <w:lang w:eastAsia="es-SV"/>
              </w:rPr>
              <w:t>5.1 Servicios de ayuda a la investigación</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6B6267" w:rsidRPr="006B6267" w:rsidRDefault="006B6267" w:rsidP="006B6267">
            <w:pPr>
              <w:pStyle w:val="Default"/>
              <w:jc w:val="both"/>
              <w:rPr>
                <w:rFonts w:asciiTheme="majorHAnsi" w:eastAsia="Times New Roman" w:hAnsiTheme="majorHAnsi" w:cs="Times New Roman"/>
                <w:color w:val="auto"/>
                <w:sz w:val="22"/>
                <w:szCs w:val="20"/>
                <w:lang w:eastAsia="es-SV"/>
              </w:rPr>
            </w:pPr>
            <w:r w:rsidRPr="006B6267">
              <w:rPr>
                <w:rFonts w:asciiTheme="majorHAnsi" w:eastAsia="Times New Roman" w:hAnsiTheme="majorHAnsi" w:cs="Times New Roman"/>
                <w:color w:val="auto"/>
                <w:sz w:val="22"/>
                <w:szCs w:val="20"/>
                <w:lang w:eastAsia="es-SV"/>
              </w:rPr>
              <w:t xml:space="preserve">El Archivo a través de las solicitudes dirigidas a la Unidad de Acceso a la Información facilita el asesoramiento en la búsqueda y localización de documentos: brinda una orientación inmediata y personalizada al investigador sobre los fondos documentales del archivo. A través del Oficial de Información se resuelven las consultas por correo electrónico y toda aquella solicitud de información la cual tendrá una resolución y tiempo de respuesta. </w:t>
            </w:r>
          </w:p>
          <w:p w:rsidR="006B6267" w:rsidRPr="00B924FF" w:rsidRDefault="006B6267" w:rsidP="007908CE">
            <w:pPr>
              <w:outlineLvl w:val="0"/>
              <w:rPr>
                <w:rFonts w:eastAsia="Times New Roman" w:cs="Times New Roman"/>
                <w:sz w:val="22"/>
                <w:szCs w:val="22"/>
                <w:lang w:eastAsia="es-SV"/>
              </w:rPr>
            </w:pPr>
          </w:p>
        </w:tc>
      </w:tr>
      <w:tr w:rsidR="006B6267"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6B6267" w:rsidRPr="00B924FF" w:rsidRDefault="00F356A3" w:rsidP="007908CE">
            <w:pPr>
              <w:rPr>
                <w:rFonts w:eastAsia="Times New Roman" w:cs="Times New Roman"/>
                <w:sz w:val="22"/>
                <w:szCs w:val="22"/>
                <w:lang w:eastAsia="es-SV"/>
              </w:rPr>
            </w:pPr>
            <w:r>
              <w:rPr>
                <w:rFonts w:eastAsia="Times New Roman" w:cs="Times New Roman"/>
                <w:sz w:val="22"/>
                <w:szCs w:val="22"/>
                <w:lang w:eastAsia="es-SV"/>
              </w:rPr>
              <w:t>5.2 Espacios públicos</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6B6267" w:rsidRPr="00B924FF" w:rsidRDefault="00F356A3" w:rsidP="00222F7C">
            <w:pPr>
              <w:jc w:val="both"/>
              <w:rPr>
                <w:rFonts w:cs="Calibri"/>
                <w:color w:val="000000"/>
                <w:sz w:val="22"/>
                <w:szCs w:val="22"/>
              </w:rPr>
            </w:pPr>
            <w:r w:rsidRPr="00F356A3">
              <w:rPr>
                <w:rFonts w:cs="Calibri"/>
                <w:color w:val="000000"/>
                <w:sz w:val="22"/>
                <w:szCs w:val="22"/>
              </w:rPr>
              <w:t>Dentro de las instalaciones se cuenta con baños  para personas que visitan y consultan información.</w:t>
            </w:r>
          </w:p>
        </w:tc>
      </w:tr>
      <w:tr w:rsidR="006B6267"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6B6267" w:rsidRPr="00B924FF" w:rsidRDefault="006B6267" w:rsidP="007908CE">
            <w:pPr>
              <w:rPr>
                <w:rFonts w:eastAsia="Times New Roman" w:cs="Times New Roman"/>
                <w:sz w:val="22"/>
                <w:szCs w:val="20"/>
                <w:lang w:eastAsia="es-SV"/>
              </w:rPr>
            </w:pP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6B6267" w:rsidRPr="005C70FD" w:rsidRDefault="006B6267" w:rsidP="007908CE">
            <w:pPr>
              <w:jc w:val="both"/>
              <w:rPr>
                <w:rFonts w:eastAsia="Times New Roman" w:cs="Times New Roman"/>
                <w:sz w:val="20"/>
                <w:szCs w:val="20"/>
                <w:lang w:eastAsia="es-SV"/>
              </w:rPr>
            </w:pPr>
          </w:p>
        </w:tc>
      </w:tr>
    </w:tbl>
    <w:p w:rsidR="003E1A14" w:rsidRDefault="003E1A14" w:rsidP="005C70FD">
      <w:pPr>
        <w:pStyle w:val="Prrafodelista"/>
      </w:pPr>
    </w:p>
    <w:tbl>
      <w:tblPr>
        <w:tblW w:w="8818" w:type="dxa"/>
        <w:tblCellMar>
          <w:left w:w="0" w:type="dxa"/>
          <w:right w:w="0" w:type="dxa"/>
        </w:tblCellMar>
        <w:tblLook w:val="0420" w:firstRow="1" w:lastRow="0" w:firstColumn="0" w:lastColumn="0" w:noHBand="0" w:noVBand="1"/>
      </w:tblPr>
      <w:tblGrid>
        <w:gridCol w:w="2400"/>
        <w:gridCol w:w="6418"/>
      </w:tblGrid>
      <w:tr w:rsidR="00F356A3" w:rsidRPr="000F763D" w:rsidTr="007908CE">
        <w:trPr>
          <w:trHeight w:val="192"/>
        </w:trPr>
        <w:tc>
          <w:tcPr>
            <w:tcW w:w="2400"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F356A3" w:rsidRPr="005C70FD" w:rsidRDefault="00F356A3" w:rsidP="007908CE">
            <w:pPr>
              <w:jc w:val="center"/>
              <w:rPr>
                <w:rFonts w:eastAsia="Times New Roman" w:cs="Arial"/>
                <w:sz w:val="20"/>
                <w:szCs w:val="20"/>
                <w:lang w:eastAsia="es-SV"/>
              </w:rPr>
            </w:pPr>
          </w:p>
        </w:tc>
        <w:tc>
          <w:tcPr>
            <w:tcW w:w="6418" w:type="dxa"/>
            <w:tcBorders>
              <w:top w:val="single" w:sz="8" w:space="0" w:color="FFFFFF"/>
              <w:left w:val="single" w:sz="8" w:space="0" w:color="FFFFFF"/>
              <w:bottom w:val="single" w:sz="24" w:space="0" w:color="FFFFFF"/>
              <w:right w:val="single" w:sz="8" w:space="0" w:color="FFFFFF"/>
            </w:tcBorders>
            <w:shd w:val="clear" w:color="auto" w:fill="011B37"/>
            <w:tcMar>
              <w:top w:w="72" w:type="dxa"/>
              <w:left w:w="144" w:type="dxa"/>
              <w:bottom w:w="72" w:type="dxa"/>
              <w:right w:w="144" w:type="dxa"/>
            </w:tcMar>
          </w:tcPr>
          <w:p w:rsidR="00F356A3" w:rsidRPr="005C70FD" w:rsidRDefault="00F356A3" w:rsidP="007908CE">
            <w:pPr>
              <w:jc w:val="center"/>
              <w:rPr>
                <w:rFonts w:eastAsia="Times New Roman" w:cs="Arial"/>
                <w:sz w:val="20"/>
                <w:szCs w:val="20"/>
                <w:lang w:eastAsia="es-SV"/>
              </w:rPr>
            </w:pPr>
          </w:p>
        </w:tc>
      </w:tr>
      <w:tr w:rsidR="00F356A3" w:rsidRPr="000F763D" w:rsidTr="007908CE">
        <w:trPr>
          <w:trHeight w:val="295"/>
        </w:trPr>
        <w:tc>
          <w:tcPr>
            <w:tcW w:w="8818" w:type="dxa"/>
            <w:gridSpan w:val="2"/>
            <w:tcBorders>
              <w:top w:val="single" w:sz="24" w:space="0" w:color="FFFFFF"/>
              <w:left w:val="single" w:sz="8" w:space="0" w:color="FFFFFF"/>
              <w:bottom w:val="single" w:sz="8" w:space="0" w:color="FFFFFF"/>
              <w:right w:val="single" w:sz="8" w:space="0" w:color="FFFFFF"/>
            </w:tcBorders>
            <w:shd w:val="clear" w:color="auto" w:fill="C6D2E6"/>
            <w:tcMar>
              <w:top w:w="72" w:type="dxa"/>
              <w:left w:w="144" w:type="dxa"/>
              <w:bottom w:w="72" w:type="dxa"/>
              <w:right w:w="144" w:type="dxa"/>
            </w:tcMar>
            <w:hideMark/>
          </w:tcPr>
          <w:p w:rsidR="00F356A3" w:rsidRPr="000F763D" w:rsidRDefault="00F356A3" w:rsidP="00F356A3">
            <w:pPr>
              <w:pStyle w:val="Prrafodelista"/>
              <w:numPr>
                <w:ilvl w:val="0"/>
                <w:numId w:val="2"/>
              </w:numPr>
              <w:rPr>
                <w:rFonts w:eastAsia="Times New Roman" w:cs="Arial"/>
                <w:sz w:val="20"/>
                <w:szCs w:val="20"/>
                <w:lang w:eastAsia="es-SV"/>
              </w:rPr>
            </w:pPr>
            <w:r>
              <w:rPr>
                <w:rFonts w:eastAsia="Times New Roman" w:cs="Arial"/>
                <w:sz w:val="20"/>
                <w:szCs w:val="20"/>
                <w:lang w:eastAsia="es-SV"/>
              </w:rPr>
              <w:t>CONTROL</w:t>
            </w:r>
          </w:p>
        </w:tc>
      </w:tr>
      <w:tr w:rsidR="00F356A3"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F356A3" w:rsidRPr="00F356A3" w:rsidRDefault="00F356A3" w:rsidP="00F356A3">
            <w:pPr>
              <w:rPr>
                <w:rFonts w:eastAsia="Times New Roman" w:cs="Times New Roman"/>
                <w:sz w:val="22"/>
                <w:szCs w:val="22"/>
                <w:lang w:eastAsia="es-SV"/>
              </w:rPr>
            </w:pPr>
            <w:r>
              <w:rPr>
                <w:rFonts w:cs="Calibri"/>
                <w:color w:val="000000"/>
                <w:sz w:val="22"/>
              </w:rPr>
              <w:t>6.1</w:t>
            </w:r>
            <w:r w:rsidRPr="00F356A3">
              <w:rPr>
                <w:rFonts w:cs="Calibri"/>
                <w:color w:val="000000"/>
                <w:sz w:val="22"/>
              </w:rPr>
              <w:t xml:space="preserve">  Identificador de La Institución</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F356A3" w:rsidRDefault="00F356A3" w:rsidP="00F356A3">
            <w:pPr>
              <w:outlineLvl w:val="0"/>
              <w:rPr>
                <w:rFonts w:cs="Calibri"/>
                <w:color w:val="000000"/>
                <w:sz w:val="22"/>
              </w:rPr>
            </w:pPr>
            <w:r>
              <w:rPr>
                <w:rFonts w:cs="Calibri"/>
                <w:color w:val="000000"/>
                <w:sz w:val="22"/>
              </w:rPr>
              <w:t>Banco de Desarrollo de El Salvador</w:t>
            </w:r>
          </w:p>
          <w:p w:rsidR="00F356A3" w:rsidRPr="00F356A3" w:rsidRDefault="00F356A3" w:rsidP="00F356A3">
            <w:pPr>
              <w:outlineLvl w:val="0"/>
              <w:rPr>
                <w:rFonts w:eastAsia="Times New Roman" w:cs="Times New Roman"/>
                <w:sz w:val="22"/>
                <w:szCs w:val="22"/>
                <w:lang w:eastAsia="es-SV"/>
              </w:rPr>
            </w:pPr>
            <w:r>
              <w:rPr>
                <w:rFonts w:cs="Calibri"/>
                <w:color w:val="000000"/>
                <w:sz w:val="22"/>
              </w:rPr>
              <w:t>Gerencia de Gestión Documental y Administración</w:t>
            </w:r>
          </w:p>
        </w:tc>
      </w:tr>
      <w:tr w:rsidR="00F356A3"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F356A3" w:rsidRPr="00F356A3" w:rsidRDefault="00F356A3" w:rsidP="00F356A3">
            <w:pPr>
              <w:rPr>
                <w:rFonts w:eastAsia="Times New Roman" w:cs="Times New Roman"/>
                <w:sz w:val="22"/>
                <w:szCs w:val="22"/>
                <w:lang w:eastAsia="es-SV"/>
              </w:rPr>
            </w:pPr>
            <w:r w:rsidRPr="00F356A3">
              <w:rPr>
                <w:rFonts w:cs="Calibri"/>
                <w:color w:val="000000"/>
                <w:sz w:val="22"/>
              </w:rPr>
              <w:t>6.</w:t>
            </w:r>
            <w:r>
              <w:rPr>
                <w:rFonts w:cs="Calibri"/>
                <w:color w:val="000000"/>
                <w:sz w:val="22"/>
              </w:rPr>
              <w:t>2</w:t>
            </w:r>
            <w:r w:rsidRPr="00F356A3">
              <w:rPr>
                <w:rFonts w:cs="Calibri"/>
                <w:color w:val="000000"/>
                <w:sz w:val="22"/>
              </w:rPr>
              <w:t xml:space="preserve"> Reglas de construcción de la guía</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F356A3" w:rsidRPr="00F356A3" w:rsidRDefault="00F356A3" w:rsidP="00F356A3">
            <w:pPr>
              <w:jc w:val="both"/>
              <w:outlineLvl w:val="0"/>
              <w:rPr>
                <w:rFonts w:cs="Calibri"/>
                <w:color w:val="000000"/>
                <w:sz w:val="22"/>
              </w:rPr>
            </w:pPr>
            <w:r w:rsidRPr="00F356A3">
              <w:rPr>
                <w:rFonts w:cs="Calibri"/>
                <w:color w:val="000000"/>
                <w:sz w:val="22"/>
              </w:rPr>
              <w:t>La elaboración de esta guía es bajo el protocolo y reglas de la norma ISD</w:t>
            </w:r>
            <w:r>
              <w:rPr>
                <w:rFonts w:cs="Calibri"/>
                <w:color w:val="000000"/>
                <w:sz w:val="22"/>
              </w:rPr>
              <w:t>I</w:t>
            </w:r>
            <w:r w:rsidRPr="00F356A3">
              <w:rPr>
                <w:rFonts w:cs="Calibri"/>
                <w:color w:val="000000"/>
                <w:sz w:val="22"/>
              </w:rPr>
              <w:t>AH, Norma Internacional para la Descripción de Instituciones que Custodia Fondos de Archivo ISO 8601</w:t>
            </w:r>
          </w:p>
          <w:p w:rsidR="00F356A3" w:rsidRPr="00F356A3" w:rsidRDefault="00F356A3" w:rsidP="00F356A3">
            <w:pPr>
              <w:jc w:val="both"/>
              <w:rPr>
                <w:rFonts w:cs="Calibri"/>
                <w:color w:val="000000"/>
                <w:sz w:val="22"/>
                <w:szCs w:val="22"/>
              </w:rPr>
            </w:pPr>
          </w:p>
        </w:tc>
      </w:tr>
      <w:tr w:rsidR="00F356A3"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F356A3" w:rsidRPr="00F356A3" w:rsidRDefault="00F356A3" w:rsidP="00F356A3">
            <w:pPr>
              <w:rPr>
                <w:rFonts w:eastAsia="Times New Roman" w:cs="Times New Roman"/>
                <w:sz w:val="22"/>
                <w:szCs w:val="20"/>
                <w:lang w:eastAsia="es-SV"/>
              </w:rPr>
            </w:pPr>
            <w:r w:rsidRPr="00F356A3">
              <w:rPr>
                <w:rFonts w:cs="Calibri"/>
                <w:color w:val="000000"/>
                <w:sz w:val="22"/>
              </w:rPr>
              <w:t>6.</w:t>
            </w:r>
            <w:r>
              <w:rPr>
                <w:rFonts w:cs="Calibri"/>
                <w:color w:val="000000"/>
                <w:sz w:val="22"/>
              </w:rPr>
              <w:t>3</w:t>
            </w:r>
            <w:r w:rsidRPr="00F356A3">
              <w:rPr>
                <w:rFonts w:cs="Calibri"/>
                <w:color w:val="000000"/>
                <w:sz w:val="22"/>
              </w:rPr>
              <w:t xml:space="preserve"> Fechas de Creación y revisiones.</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F356A3" w:rsidRPr="00F356A3" w:rsidRDefault="00F356A3" w:rsidP="00F356A3">
            <w:pPr>
              <w:jc w:val="both"/>
              <w:outlineLvl w:val="0"/>
              <w:rPr>
                <w:rFonts w:cs="Calibri"/>
                <w:color w:val="000000"/>
                <w:sz w:val="22"/>
              </w:rPr>
            </w:pPr>
            <w:r w:rsidRPr="00F356A3">
              <w:rPr>
                <w:rFonts w:cs="Calibri"/>
                <w:color w:val="000000"/>
                <w:sz w:val="22"/>
              </w:rPr>
              <w:t>El primer borrador se elaboró en junio de 2012.</w:t>
            </w:r>
          </w:p>
          <w:p w:rsidR="00F356A3" w:rsidRPr="00222F7C" w:rsidRDefault="00F356A3" w:rsidP="00F356A3">
            <w:pPr>
              <w:jc w:val="both"/>
              <w:outlineLvl w:val="0"/>
              <w:rPr>
                <w:rFonts w:cs="Calibri"/>
                <w:sz w:val="22"/>
              </w:rPr>
            </w:pPr>
          </w:p>
          <w:p w:rsidR="00F356A3" w:rsidRPr="00222F7C" w:rsidRDefault="00F356A3" w:rsidP="00F356A3">
            <w:pPr>
              <w:jc w:val="both"/>
              <w:outlineLvl w:val="0"/>
              <w:rPr>
                <w:rFonts w:cs="Calibri"/>
                <w:sz w:val="22"/>
              </w:rPr>
            </w:pPr>
            <w:r w:rsidRPr="00222F7C">
              <w:rPr>
                <w:rFonts w:cs="Calibri"/>
                <w:sz w:val="22"/>
              </w:rPr>
              <w:t>Última versión: 201</w:t>
            </w:r>
            <w:r w:rsidR="00D422DD" w:rsidRPr="00222F7C">
              <w:rPr>
                <w:rFonts w:cs="Calibri"/>
                <w:sz w:val="22"/>
              </w:rPr>
              <w:t>8</w:t>
            </w:r>
            <w:r w:rsidRPr="00222F7C">
              <w:rPr>
                <w:rFonts w:cs="Calibri"/>
                <w:sz w:val="22"/>
              </w:rPr>
              <w:t>-</w:t>
            </w:r>
            <w:r w:rsidR="00712680" w:rsidRPr="00222F7C">
              <w:rPr>
                <w:rFonts w:cs="Calibri"/>
                <w:sz w:val="22"/>
              </w:rPr>
              <w:t>junio</w:t>
            </w:r>
          </w:p>
          <w:p w:rsidR="00F356A3" w:rsidRPr="00F356A3" w:rsidRDefault="00F356A3" w:rsidP="00F356A3">
            <w:pPr>
              <w:jc w:val="both"/>
              <w:rPr>
                <w:rFonts w:eastAsia="Times New Roman" w:cs="Times New Roman"/>
                <w:sz w:val="22"/>
                <w:szCs w:val="20"/>
                <w:lang w:eastAsia="es-SV"/>
              </w:rPr>
            </w:pPr>
          </w:p>
        </w:tc>
      </w:tr>
      <w:tr w:rsidR="00F356A3" w:rsidRPr="000F763D" w:rsidTr="00F356A3">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auto"/>
            <w:tcMar>
              <w:top w:w="72" w:type="dxa"/>
              <w:left w:w="144" w:type="dxa"/>
              <w:bottom w:w="72" w:type="dxa"/>
              <w:right w:w="144" w:type="dxa"/>
            </w:tcMar>
          </w:tcPr>
          <w:p w:rsidR="00F356A3" w:rsidRPr="00F356A3" w:rsidRDefault="00F356A3" w:rsidP="00F356A3">
            <w:pPr>
              <w:rPr>
                <w:rFonts w:eastAsia="Times New Roman" w:cs="Times New Roman"/>
                <w:sz w:val="22"/>
                <w:szCs w:val="20"/>
                <w:lang w:eastAsia="es-SV"/>
              </w:rPr>
            </w:pPr>
            <w:r w:rsidRPr="00F356A3">
              <w:rPr>
                <w:rFonts w:cs="Calibri"/>
                <w:color w:val="000000"/>
                <w:sz w:val="22"/>
              </w:rPr>
              <w:t>6.</w:t>
            </w:r>
            <w:r>
              <w:rPr>
                <w:rFonts w:cs="Calibri"/>
                <w:color w:val="000000"/>
                <w:sz w:val="22"/>
              </w:rPr>
              <w:t>4</w:t>
            </w:r>
            <w:r w:rsidRPr="00F356A3">
              <w:rPr>
                <w:rFonts w:cs="Calibri"/>
                <w:color w:val="000000"/>
                <w:sz w:val="22"/>
              </w:rPr>
              <w:t xml:space="preserve"> Responsable de Mantenimiento</w:t>
            </w: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auto"/>
            <w:tcMar>
              <w:top w:w="72" w:type="dxa"/>
              <w:left w:w="144" w:type="dxa"/>
              <w:bottom w:w="72" w:type="dxa"/>
              <w:right w:w="144" w:type="dxa"/>
            </w:tcMar>
          </w:tcPr>
          <w:p w:rsidR="00F356A3" w:rsidRPr="00F356A3" w:rsidRDefault="00F356A3" w:rsidP="00F356A3">
            <w:pPr>
              <w:jc w:val="both"/>
              <w:outlineLvl w:val="0"/>
              <w:rPr>
                <w:rFonts w:cs="Calibri"/>
                <w:color w:val="000000"/>
                <w:sz w:val="22"/>
              </w:rPr>
            </w:pPr>
            <w:r>
              <w:rPr>
                <w:rFonts w:cs="Calibri"/>
                <w:color w:val="000000"/>
                <w:sz w:val="22"/>
              </w:rPr>
              <w:t>Miriam Fernández, Gerente de Gestión Documental y Administración</w:t>
            </w:r>
          </w:p>
          <w:p w:rsidR="00F356A3" w:rsidRPr="00F356A3" w:rsidRDefault="00F356A3" w:rsidP="00F356A3">
            <w:pPr>
              <w:jc w:val="both"/>
              <w:outlineLvl w:val="0"/>
              <w:rPr>
                <w:rFonts w:cs="Calibri"/>
                <w:color w:val="000000"/>
                <w:sz w:val="22"/>
              </w:rPr>
            </w:pPr>
            <w:r w:rsidRPr="00F356A3">
              <w:rPr>
                <w:rFonts w:cs="Calibri"/>
                <w:color w:val="000000"/>
                <w:sz w:val="22"/>
              </w:rPr>
              <w:t xml:space="preserve"> </w:t>
            </w:r>
          </w:p>
          <w:p w:rsidR="00F356A3" w:rsidRPr="00F356A3" w:rsidRDefault="00F356A3" w:rsidP="00F356A3">
            <w:pPr>
              <w:jc w:val="both"/>
              <w:rPr>
                <w:rFonts w:eastAsia="Times New Roman" w:cs="Times New Roman"/>
                <w:sz w:val="22"/>
                <w:szCs w:val="20"/>
                <w:lang w:eastAsia="es-SV"/>
              </w:rPr>
            </w:pPr>
          </w:p>
        </w:tc>
      </w:tr>
      <w:tr w:rsidR="00F356A3" w:rsidRPr="000F763D" w:rsidTr="007908CE">
        <w:trPr>
          <w:trHeight w:val="330"/>
        </w:trPr>
        <w:tc>
          <w:tcPr>
            <w:tcW w:w="2400" w:type="dxa"/>
            <w:tcBorders>
              <w:top w:val="single" w:sz="8" w:space="0" w:color="FFFFFF"/>
              <w:left w:val="single" w:sz="8" w:space="0" w:color="FFFFFF"/>
              <w:bottom w:val="single" w:sz="8" w:space="0" w:color="FFFFFF"/>
              <w:right w:val="single" w:sz="4" w:space="0" w:color="A6A6A6" w:themeColor="background1" w:themeShade="A6"/>
            </w:tcBorders>
            <w:shd w:val="clear" w:color="auto" w:fill="F2F2F2"/>
            <w:tcMar>
              <w:top w:w="72" w:type="dxa"/>
              <w:left w:w="144" w:type="dxa"/>
              <w:bottom w:w="72" w:type="dxa"/>
              <w:right w:w="144" w:type="dxa"/>
            </w:tcMar>
          </w:tcPr>
          <w:p w:rsidR="00F356A3" w:rsidRPr="00B924FF" w:rsidRDefault="00F356A3" w:rsidP="00F356A3">
            <w:pPr>
              <w:rPr>
                <w:rFonts w:eastAsia="Times New Roman" w:cs="Times New Roman"/>
                <w:sz w:val="22"/>
                <w:szCs w:val="20"/>
                <w:lang w:eastAsia="es-SV"/>
              </w:rPr>
            </w:pPr>
          </w:p>
        </w:tc>
        <w:tc>
          <w:tcPr>
            <w:tcW w:w="6418" w:type="dxa"/>
            <w:tcBorders>
              <w:top w:val="single" w:sz="8" w:space="0" w:color="FFFFFF"/>
              <w:left w:val="single" w:sz="4" w:space="0" w:color="A6A6A6" w:themeColor="background1" w:themeShade="A6"/>
              <w:bottom w:val="single" w:sz="8" w:space="0" w:color="FFFFFF"/>
              <w:right w:val="single" w:sz="8" w:space="0" w:color="FFFFFF"/>
            </w:tcBorders>
            <w:shd w:val="clear" w:color="auto" w:fill="F2F2F2"/>
            <w:tcMar>
              <w:top w:w="72" w:type="dxa"/>
              <w:left w:w="144" w:type="dxa"/>
              <w:bottom w:w="72" w:type="dxa"/>
              <w:right w:w="144" w:type="dxa"/>
            </w:tcMar>
          </w:tcPr>
          <w:p w:rsidR="00F356A3" w:rsidRPr="005C70FD" w:rsidRDefault="00F356A3" w:rsidP="00F356A3">
            <w:pPr>
              <w:jc w:val="both"/>
              <w:rPr>
                <w:rFonts w:eastAsia="Times New Roman" w:cs="Times New Roman"/>
                <w:sz w:val="20"/>
                <w:szCs w:val="20"/>
                <w:lang w:eastAsia="es-SV"/>
              </w:rPr>
            </w:pPr>
          </w:p>
        </w:tc>
      </w:tr>
    </w:tbl>
    <w:p w:rsidR="00B924FF" w:rsidRDefault="00B924FF" w:rsidP="005C70FD">
      <w:pPr>
        <w:pStyle w:val="Prrafodelista"/>
      </w:pPr>
    </w:p>
    <w:p w:rsidR="00B924FF" w:rsidRDefault="00B924FF" w:rsidP="005C70FD">
      <w:pPr>
        <w:pStyle w:val="Prrafodelista"/>
      </w:pPr>
    </w:p>
    <w:p w:rsidR="00B924FF" w:rsidRDefault="00B924FF" w:rsidP="005C70FD">
      <w:pPr>
        <w:pStyle w:val="Prrafodelista"/>
      </w:pPr>
    </w:p>
    <w:p w:rsidR="00B924FF" w:rsidRDefault="00B924FF" w:rsidP="005C70FD">
      <w:pPr>
        <w:pStyle w:val="Prrafodelista"/>
      </w:pPr>
    </w:p>
    <w:p w:rsidR="00B924FF" w:rsidRPr="005C70FD" w:rsidRDefault="00B924FF" w:rsidP="005C70FD">
      <w:pPr>
        <w:pStyle w:val="Prrafodelista"/>
      </w:pPr>
    </w:p>
    <w:sectPr w:rsidR="00B924FF" w:rsidRPr="005C70FD" w:rsidSect="00A46118">
      <w:headerReference w:type="even" r:id="rId14"/>
      <w:headerReference w:type="default" r:id="rId15"/>
      <w:footerReference w:type="even" r:id="rId16"/>
      <w:footerReference w:type="default" r:id="rId17"/>
      <w:head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D31" w:rsidRDefault="00DE1D31" w:rsidP="006062A7">
      <w:r>
        <w:separator/>
      </w:r>
    </w:p>
  </w:endnote>
  <w:endnote w:type="continuationSeparator" w:id="0">
    <w:p w:rsidR="00DE1D31" w:rsidRDefault="00DE1D31" w:rsidP="0060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99" w:rsidRPr="00D85C82" w:rsidRDefault="00AF3099" w:rsidP="00335B71">
    <w:pPr>
      <w:pStyle w:val="Piedepgina"/>
      <w:framePr w:w="1434" w:h="468" w:hRule="exact" w:wrap="around" w:vAnchor="text" w:hAnchor="page" w:x="10342" w:y="-103"/>
      <w:jc w:val="right"/>
      <w:rPr>
        <w:rStyle w:val="Nmerodepgina"/>
        <w:rFonts w:ascii="Calibri" w:hAnsi="Calibri"/>
        <w:color w:val="FFFFFF" w:themeColor="background1"/>
      </w:rPr>
    </w:pPr>
    <w:r w:rsidRPr="00D85C82">
      <w:rPr>
        <w:rStyle w:val="Nmerodepgina"/>
        <w:rFonts w:ascii="Calibri" w:hAnsi="Calibri"/>
        <w:color w:val="FFFFFF" w:themeColor="background1"/>
      </w:rPr>
      <w:fldChar w:fldCharType="begin"/>
    </w:r>
    <w:r w:rsidRPr="00D85C82">
      <w:rPr>
        <w:rStyle w:val="Nmerodepgina"/>
        <w:rFonts w:ascii="Calibri" w:hAnsi="Calibri"/>
        <w:color w:val="FFFFFF" w:themeColor="background1"/>
      </w:rPr>
      <w:instrText xml:space="preserve">PAGE  </w:instrText>
    </w:r>
    <w:r w:rsidRPr="00D85C82">
      <w:rPr>
        <w:rStyle w:val="Nmerodepgina"/>
        <w:rFonts w:ascii="Calibri" w:hAnsi="Calibri"/>
        <w:color w:val="FFFFFF" w:themeColor="background1"/>
      </w:rPr>
      <w:fldChar w:fldCharType="separate"/>
    </w:r>
    <w:r w:rsidR="008D7715">
      <w:rPr>
        <w:rStyle w:val="Nmerodepgina"/>
        <w:rFonts w:ascii="Calibri" w:hAnsi="Calibri"/>
        <w:noProof/>
        <w:color w:val="FFFFFF" w:themeColor="background1"/>
      </w:rPr>
      <w:t>8</w:t>
    </w:r>
    <w:r w:rsidRPr="00D85C82">
      <w:rPr>
        <w:rStyle w:val="Nmerodepgina"/>
        <w:rFonts w:ascii="Calibri" w:hAnsi="Calibri"/>
        <w:color w:val="FFFFFF" w:themeColor="background1"/>
      </w:rPr>
      <w:fldChar w:fldCharType="end"/>
    </w:r>
  </w:p>
  <w:p w:rsidR="00AF3099" w:rsidRDefault="00AF3099" w:rsidP="00AF309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99" w:rsidRPr="00AF3099" w:rsidRDefault="00AF3099" w:rsidP="00335B71">
    <w:pPr>
      <w:pStyle w:val="Piedepgina"/>
      <w:framePr w:w="1434" w:h="518" w:hRule="exact" w:wrap="around" w:vAnchor="text" w:hAnchor="page" w:x="10342" w:y="-103"/>
      <w:jc w:val="right"/>
      <w:rPr>
        <w:rStyle w:val="Nmerodepgina"/>
        <w:color w:val="FFFFFF" w:themeColor="background1"/>
      </w:rPr>
    </w:pPr>
    <w:r w:rsidRPr="00AF3099">
      <w:rPr>
        <w:rStyle w:val="Nmerodepgina"/>
        <w:color w:val="FFFFFF" w:themeColor="background1"/>
      </w:rPr>
      <w:fldChar w:fldCharType="begin"/>
    </w:r>
    <w:r w:rsidRPr="00AF3099">
      <w:rPr>
        <w:rStyle w:val="Nmerodepgina"/>
        <w:color w:val="FFFFFF" w:themeColor="background1"/>
      </w:rPr>
      <w:instrText xml:space="preserve">PAGE  </w:instrText>
    </w:r>
    <w:r w:rsidRPr="00AF3099">
      <w:rPr>
        <w:rStyle w:val="Nmerodepgina"/>
        <w:color w:val="FFFFFF" w:themeColor="background1"/>
      </w:rPr>
      <w:fldChar w:fldCharType="separate"/>
    </w:r>
    <w:r w:rsidR="008D7715">
      <w:rPr>
        <w:rStyle w:val="Nmerodepgina"/>
        <w:noProof/>
        <w:color w:val="FFFFFF" w:themeColor="background1"/>
      </w:rPr>
      <w:t>7</w:t>
    </w:r>
    <w:r w:rsidRPr="00AF3099">
      <w:rPr>
        <w:rStyle w:val="Nmerodepgina"/>
        <w:color w:val="FFFFFF" w:themeColor="background1"/>
      </w:rPr>
      <w:fldChar w:fldCharType="end"/>
    </w:r>
  </w:p>
  <w:p w:rsidR="00AF3099" w:rsidRDefault="00AF3099" w:rsidP="00AF309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D31" w:rsidRDefault="00DE1D31" w:rsidP="006062A7">
      <w:r>
        <w:separator/>
      </w:r>
    </w:p>
  </w:footnote>
  <w:footnote w:type="continuationSeparator" w:id="0">
    <w:p w:rsidR="00DE1D31" w:rsidRDefault="00DE1D31" w:rsidP="0060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0D" w:rsidRDefault="00E321AE">
    <w:pPr>
      <w:pStyle w:val="Encabezado"/>
    </w:pPr>
    <w:r>
      <w:rPr>
        <w:noProof/>
        <w:lang w:eastAsia="es-SV"/>
      </w:rPr>
      <w:drawing>
        <wp:anchor distT="0" distB="0" distL="114300" distR="114300" simplePos="0" relativeHeight="251662336" behindDoc="1" locked="0" layoutInCell="1" allowOverlap="1" wp14:anchorId="75CECB5C" wp14:editId="64778005">
          <wp:simplePos x="0" y="0"/>
          <wp:positionH relativeFrom="margin">
            <wp:align>center</wp:align>
          </wp:positionH>
          <wp:positionV relativeFrom="margin">
            <wp:align>center</wp:align>
          </wp:positionV>
          <wp:extent cx="7622265" cy="98640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 word-02.png"/>
                  <pic:cNvPicPr/>
                </pic:nvPicPr>
                <pic:blipFill>
                  <a:blip r:embed="rId1" cstate="screen">
                    <a:extLst>
                      <a:ext uri="{28A0092B-C50C-407E-A947-70E740481C1C}">
                        <a14:useLocalDpi xmlns:a14="http://schemas.microsoft.com/office/drawing/2010/main"/>
                      </a:ext>
                    </a:extLst>
                  </a:blip>
                  <a:stretch>
                    <a:fillRect/>
                  </a:stretch>
                </pic:blipFill>
                <pic:spPr>
                  <a:xfrm>
                    <a:off x="0" y="0"/>
                    <a:ext cx="7622265" cy="9864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A7" w:rsidRDefault="006062A7">
    <w:pPr>
      <w:pStyle w:val="Encabezado"/>
    </w:pPr>
    <w:r>
      <w:rPr>
        <w:noProof/>
        <w:lang w:eastAsia="es-SV"/>
      </w:rPr>
      <w:drawing>
        <wp:anchor distT="0" distB="0" distL="114300" distR="114300" simplePos="0" relativeHeight="251658240" behindDoc="1" locked="0" layoutInCell="1" allowOverlap="1" wp14:anchorId="14FFF2B1" wp14:editId="72713B48">
          <wp:simplePos x="0" y="0"/>
          <wp:positionH relativeFrom="margin">
            <wp:align>center</wp:align>
          </wp:positionH>
          <wp:positionV relativeFrom="margin">
            <wp:align>center</wp:align>
          </wp:positionV>
          <wp:extent cx="7622456" cy="986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 word-02.png"/>
                  <pic:cNvPicPr/>
                </pic:nvPicPr>
                <pic:blipFill>
                  <a:blip r:embed="rId1" cstate="screen">
                    <a:extLst>
                      <a:ext uri="{28A0092B-C50C-407E-A947-70E740481C1C}">
                        <a14:useLocalDpi xmlns:a14="http://schemas.microsoft.com/office/drawing/2010/main"/>
                      </a:ext>
                    </a:extLst>
                  </a:blip>
                  <a:stretch>
                    <a:fillRect/>
                  </a:stretch>
                </pic:blipFill>
                <pic:spPr>
                  <a:xfrm>
                    <a:off x="0" y="0"/>
                    <a:ext cx="7622456" cy="9864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0D" w:rsidRDefault="008B6A0D">
    <w:pPr>
      <w:pStyle w:val="Encabezado"/>
    </w:pPr>
    <w:r>
      <w:rPr>
        <w:noProof/>
        <w:lang w:eastAsia="es-SV"/>
      </w:rPr>
      <w:drawing>
        <wp:anchor distT="0" distB="0" distL="114300" distR="114300" simplePos="0" relativeHeight="251660288" behindDoc="0" locked="0" layoutInCell="1" allowOverlap="1" wp14:anchorId="3E7BEFEB" wp14:editId="33AFE243">
          <wp:simplePos x="0" y="0"/>
          <wp:positionH relativeFrom="margin">
            <wp:posOffset>-1029335</wp:posOffset>
          </wp:positionH>
          <wp:positionV relativeFrom="margin">
            <wp:posOffset>-830580</wp:posOffset>
          </wp:positionV>
          <wp:extent cx="7665892" cy="9920567"/>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01.png"/>
                  <pic:cNvPicPr/>
                </pic:nvPicPr>
                <pic:blipFill>
                  <a:blip r:embed="rId1" cstate="screen">
                    <a:extLst>
                      <a:ext uri="{28A0092B-C50C-407E-A947-70E740481C1C}">
                        <a14:useLocalDpi xmlns:a14="http://schemas.microsoft.com/office/drawing/2010/main"/>
                      </a:ext>
                    </a:extLst>
                  </a:blip>
                  <a:stretch>
                    <a:fillRect/>
                  </a:stretch>
                </pic:blipFill>
                <pic:spPr>
                  <a:xfrm>
                    <a:off x="0" y="0"/>
                    <a:ext cx="7665892" cy="9920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0174"/>
    <w:multiLevelType w:val="multilevel"/>
    <w:tmpl w:val="F74CAB8A"/>
    <w:lvl w:ilvl="0">
      <w:start w:val="1"/>
      <w:numFmt w:val="decimal"/>
      <w:lvlText w:val="%1."/>
      <w:lvlJc w:val="left"/>
      <w:pPr>
        <w:ind w:left="720" w:hanging="360"/>
      </w:pPr>
      <w:rPr>
        <w:rFonts w:ascii="Calibri" w:hAnsi="Calibri" w:hint="default"/>
        <w:b/>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34BCD"/>
    <w:multiLevelType w:val="hybridMultilevel"/>
    <w:tmpl w:val="6BAE7C1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4C3497"/>
    <w:multiLevelType w:val="hybridMultilevel"/>
    <w:tmpl w:val="F064CFC0"/>
    <w:lvl w:ilvl="0" w:tplc="790886DA">
      <w:start w:val="1"/>
      <w:numFmt w:val="decimal"/>
      <w:lvlText w:val="%1."/>
      <w:lvlJc w:val="left"/>
      <w:pPr>
        <w:ind w:left="720" w:hanging="360"/>
      </w:pPr>
      <w:rPr>
        <w:rFonts w:ascii="Calibri" w:hAnsi="Calibri"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78C620B"/>
    <w:multiLevelType w:val="hybridMultilevel"/>
    <w:tmpl w:val="766EBD78"/>
    <w:lvl w:ilvl="0" w:tplc="1756BA02">
      <w:start w:val="1"/>
      <w:numFmt w:val="decimal"/>
      <w:lvlText w:val="%1."/>
      <w:lvlJc w:val="left"/>
      <w:pPr>
        <w:ind w:left="720" w:hanging="360"/>
      </w:pPr>
      <w:rPr>
        <w:rFonts w:ascii="Calibri" w:hAnsi="Calibri"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C4C1AFA"/>
    <w:multiLevelType w:val="multilevel"/>
    <w:tmpl w:val="F74CAB8A"/>
    <w:lvl w:ilvl="0">
      <w:start w:val="1"/>
      <w:numFmt w:val="decimal"/>
      <w:lvlText w:val="%1."/>
      <w:lvlJc w:val="left"/>
      <w:pPr>
        <w:ind w:left="720" w:hanging="360"/>
      </w:pPr>
      <w:rPr>
        <w:rFonts w:ascii="Calibri" w:hAnsi="Calibri" w:hint="default"/>
        <w:b/>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8F6653"/>
    <w:multiLevelType w:val="hybridMultilevel"/>
    <w:tmpl w:val="B4D4B80E"/>
    <w:lvl w:ilvl="0" w:tplc="CD469E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32C7531"/>
    <w:multiLevelType w:val="hybridMultilevel"/>
    <w:tmpl w:val="87786B18"/>
    <w:lvl w:ilvl="0" w:tplc="41C222AC">
      <w:start w:val="1"/>
      <w:numFmt w:val="decimal"/>
      <w:lvlText w:val="%1."/>
      <w:lvlJc w:val="left"/>
      <w:pPr>
        <w:ind w:left="720" w:hanging="360"/>
      </w:pPr>
      <w:rPr>
        <w:rFonts w:ascii="Calibri" w:hAnsi="Calibri"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1CD03CF"/>
    <w:multiLevelType w:val="multilevel"/>
    <w:tmpl w:val="F74CAB8A"/>
    <w:lvl w:ilvl="0">
      <w:start w:val="1"/>
      <w:numFmt w:val="decimal"/>
      <w:lvlText w:val="%1."/>
      <w:lvlJc w:val="left"/>
      <w:pPr>
        <w:ind w:left="720" w:hanging="360"/>
      </w:pPr>
      <w:rPr>
        <w:rFonts w:ascii="Calibri" w:hAnsi="Calibri" w:hint="default"/>
        <w:b/>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6"/>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ED"/>
    <w:rsid w:val="000A1EED"/>
    <w:rsid w:val="000E5949"/>
    <w:rsid w:val="000F763D"/>
    <w:rsid w:val="0012457D"/>
    <w:rsid w:val="001758AF"/>
    <w:rsid w:val="00183C62"/>
    <w:rsid w:val="001D661A"/>
    <w:rsid w:val="001F14C6"/>
    <w:rsid w:val="00222F7C"/>
    <w:rsid w:val="002741D7"/>
    <w:rsid w:val="002C17C3"/>
    <w:rsid w:val="00335B71"/>
    <w:rsid w:val="003E1A14"/>
    <w:rsid w:val="004753F0"/>
    <w:rsid w:val="004C2975"/>
    <w:rsid w:val="00543CB3"/>
    <w:rsid w:val="005871E8"/>
    <w:rsid w:val="005A1985"/>
    <w:rsid w:val="005C70FD"/>
    <w:rsid w:val="006062A7"/>
    <w:rsid w:val="00623CCC"/>
    <w:rsid w:val="006940A7"/>
    <w:rsid w:val="006B6267"/>
    <w:rsid w:val="006D77B3"/>
    <w:rsid w:val="00712680"/>
    <w:rsid w:val="00816041"/>
    <w:rsid w:val="00841825"/>
    <w:rsid w:val="008B6A0D"/>
    <w:rsid w:val="008D7715"/>
    <w:rsid w:val="00937C24"/>
    <w:rsid w:val="00972032"/>
    <w:rsid w:val="009821BE"/>
    <w:rsid w:val="009C1931"/>
    <w:rsid w:val="00A26CA4"/>
    <w:rsid w:val="00A37EAB"/>
    <w:rsid w:val="00A4396E"/>
    <w:rsid w:val="00A46118"/>
    <w:rsid w:val="00AB6C2C"/>
    <w:rsid w:val="00AE1ADE"/>
    <w:rsid w:val="00AE24C1"/>
    <w:rsid w:val="00AF3099"/>
    <w:rsid w:val="00B21418"/>
    <w:rsid w:val="00B4174D"/>
    <w:rsid w:val="00B924FF"/>
    <w:rsid w:val="00CF1A04"/>
    <w:rsid w:val="00D213DC"/>
    <w:rsid w:val="00D22EB2"/>
    <w:rsid w:val="00D422DD"/>
    <w:rsid w:val="00D7529C"/>
    <w:rsid w:val="00D756B5"/>
    <w:rsid w:val="00D85C82"/>
    <w:rsid w:val="00DB5C0A"/>
    <w:rsid w:val="00DE1D31"/>
    <w:rsid w:val="00E13751"/>
    <w:rsid w:val="00E321AE"/>
    <w:rsid w:val="00F356A3"/>
    <w:rsid w:val="00F868FD"/>
    <w:rsid w:val="00FD5B1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D112BE9-B08A-4FC7-BDC9-00D760CB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SV"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118"/>
    <w:rPr>
      <w:rFonts w:asciiTheme="majorHAnsi" w:hAnsiTheme="majorHAnsi"/>
    </w:rPr>
  </w:style>
  <w:style w:type="paragraph" w:styleId="Ttulo1">
    <w:name w:val="heading 1"/>
    <w:basedOn w:val="Normal"/>
    <w:next w:val="Normal"/>
    <w:link w:val="Ttulo1Car"/>
    <w:uiPriority w:val="9"/>
    <w:qFormat/>
    <w:rsid w:val="00AB6C2C"/>
    <w:pPr>
      <w:keepNext/>
      <w:keepLines/>
      <w:spacing w:before="240"/>
      <w:outlineLvl w:val="0"/>
    </w:pPr>
    <w:rPr>
      <w:rFonts w:eastAsiaTheme="majorEastAsia"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2A7"/>
    <w:pPr>
      <w:tabs>
        <w:tab w:val="center" w:pos="4252"/>
        <w:tab w:val="right" w:pos="8504"/>
      </w:tabs>
    </w:pPr>
  </w:style>
  <w:style w:type="character" w:customStyle="1" w:styleId="EncabezadoCar">
    <w:name w:val="Encabezado Car"/>
    <w:basedOn w:val="Fuentedeprrafopredeter"/>
    <w:link w:val="Encabezado"/>
    <w:uiPriority w:val="99"/>
    <w:rsid w:val="006062A7"/>
  </w:style>
  <w:style w:type="paragraph" w:styleId="Piedepgina">
    <w:name w:val="footer"/>
    <w:basedOn w:val="Normal"/>
    <w:link w:val="PiedepginaCar"/>
    <w:uiPriority w:val="99"/>
    <w:unhideWhenUsed/>
    <w:rsid w:val="006062A7"/>
    <w:pPr>
      <w:tabs>
        <w:tab w:val="center" w:pos="4252"/>
        <w:tab w:val="right" w:pos="8504"/>
      </w:tabs>
    </w:pPr>
  </w:style>
  <w:style w:type="character" w:customStyle="1" w:styleId="PiedepginaCar">
    <w:name w:val="Pie de página Car"/>
    <w:basedOn w:val="Fuentedeprrafopredeter"/>
    <w:link w:val="Piedepgina"/>
    <w:uiPriority w:val="99"/>
    <w:rsid w:val="006062A7"/>
  </w:style>
  <w:style w:type="paragraph" w:styleId="Textodeglobo">
    <w:name w:val="Balloon Text"/>
    <w:basedOn w:val="Normal"/>
    <w:link w:val="TextodegloboCar"/>
    <w:uiPriority w:val="99"/>
    <w:semiHidden/>
    <w:unhideWhenUsed/>
    <w:rsid w:val="006062A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062A7"/>
    <w:rPr>
      <w:rFonts w:ascii="Lucida Grande" w:hAnsi="Lucida Grande"/>
      <w:sz w:val="18"/>
      <w:szCs w:val="18"/>
    </w:rPr>
  </w:style>
  <w:style w:type="character" w:styleId="Nmerodepgina">
    <w:name w:val="page number"/>
    <w:basedOn w:val="Fuentedeprrafopredeter"/>
    <w:uiPriority w:val="99"/>
    <w:semiHidden/>
    <w:unhideWhenUsed/>
    <w:rsid w:val="00AF3099"/>
  </w:style>
  <w:style w:type="character" w:customStyle="1" w:styleId="Ttulo1Car">
    <w:name w:val="Título 1 Car"/>
    <w:basedOn w:val="Fuentedeprrafopredeter"/>
    <w:link w:val="Ttulo1"/>
    <w:uiPriority w:val="9"/>
    <w:rsid w:val="00AB6C2C"/>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34"/>
    <w:qFormat/>
    <w:rsid w:val="005C70FD"/>
    <w:pPr>
      <w:ind w:left="720"/>
      <w:contextualSpacing/>
    </w:pPr>
  </w:style>
  <w:style w:type="character" w:styleId="Hipervnculo">
    <w:name w:val="Hyperlink"/>
    <w:basedOn w:val="Fuentedeprrafopredeter"/>
    <w:uiPriority w:val="99"/>
    <w:unhideWhenUsed/>
    <w:rsid w:val="009C1931"/>
    <w:rPr>
      <w:color w:val="0000FF" w:themeColor="hyperlink"/>
      <w:u w:val="single"/>
    </w:rPr>
  </w:style>
  <w:style w:type="character" w:customStyle="1" w:styleId="Mencionar1">
    <w:name w:val="Mencionar1"/>
    <w:basedOn w:val="Fuentedeprrafopredeter"/>
    <w:uiPriority w:val="99"/>
    <w:semiHidden/>
    <w:unhideWhenUsed/>
    <w:rsid w:val="009C1931"/>
    <w:rPr>
      <w:color w:val="2B579A"/>
      <w:shd w:val="clear" w:color="auto" w:fill="E6E6E6"/>
    </w:rPr>
  </w:style>
  <w:style w:type="paragraph" w:customStyle="1" w:styleId="Default">
    <w:name w:val="Default"/>
    <w:rsid w:val="00B924F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497728">
      <w:bodyDiv w:val="1"/>
      <w:marLeft w:val="0"/>
      <w:marRight w:val="0"/>
      <w:marTop w:val="0"/>
      <w:marBottom w:val="0"/>
      <w:divBdr>
        <w:top w:val="none" w:sz="0" w:space="0" w:color="auto"/>
        <w:left w:val="none" w:sz="0" w:space="0" w:color="auto"/>
        <w:bottom w:val="none" w:sz="0" w:space="0" w:color="auto"/>
        <w:right w:val="none" w:sz="0" w:space="0" w:color="auto"/>
      </w:divBdr>
    </w:div>
    <w:div w:id="1958754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esal.gob.sv"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nuel.polanco@bandesal.gob.s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menia.magana@bandesal.gob.s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riam.fernandez@bandesal.gob.s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erto.mendez@bandesal.gob.s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2022</Words>
  <Characters>11122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BANDESAL</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bandesal bandesal</dc:creator>
  <cp:keywords/>
  <dc:description/>
  <cp:lastModifiedBy>Roberto Méndez</cp:lastModifiedBy>
  <cp:revision>2</cp:revision>
  <cp:lastPrinted>2017-09-07T14:52:00Z</cp:lastPrinted>
  <dcterms:created xsi:type="dcterms:W3CDTF">2018-06-05T15:43:00Z</dcterms:created>
  <dcterms:modified xsi:type="dcterms:W3CDTF">2018-06-05T15:43:00Z</dcterms:modified>
</cp:coreProperties>
</file>