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33" w:rsidRPr="005F3496" w:rsidRDefault="00C51233" w:rsidP="00C51233">
      <w:pPr>
        <w:pStyle w:val="Encabezado"/>
        <w:jc w:val="center"/>
        <w:rPr>
          <w:rFonts w:ascii="Constantia" w:hAnsi="Constantia"/>
          <w:sz w:val="28"/>
          <w:szCs w:val="28"/>
        </w:rPr>
      </w:pP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1312" behindDoc="1" locked="0" layoutInCell="1" allowOverlap="1" wp14:anchorId="4178EAF1" wp14:editId="56DA06CD">
            <wp:simplePos x="0" y="0"/>
            <wp:positionH relativeFrom="margin">
              <wp:align>right</wp:align>
            </wp:positionH>
            <wp:positionV relativeFrom="paragraph">
              <wp:posOffset>-185273</wp:posOffset>
            </wp:positionV>
            <wp:extent cx="476885" cy="626165"/>
            <wp:effectExtent l="0" t="0" r="0" b="2540"/>
            <wp:wrapNone/>
            <wp:docPr id="7" name="Imagen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0288" behindDoc="0" locked="0" layoutInCell="1" allowOverlap="1" wp14:anchorId="0543CBDB" wp14:editId="14F03AD2">
            <wp:simplePos x="0" y="0"/>
            <wp:positionH relativeFrom="margin">
              <wp:align>left</wp:align>
            </wp:positionH>
            <wp:positionV relativeFrom="paragraph">
              <wp:posOffset>-123728</wp:posOffset>
            </wp:positionV>
            <wp:extent cx="405975" cy="483577"/>
            <wp:effectExtent l="0" t="0" r="0" b="0"/>
            <wp:wrapNone/>
            <wp:docPr id="5" name="Imagen 5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5" cy="48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496">
        <w:rPr>
          <w:rFonts w:ascii="Constantia" w:hAnsi="Constantia"/>
          <w:sz w:val="28"/>
          <w:szCs w:val="28"/>
        </w:rPr>
        <w:t>ALCALDIA MUNICIPAL DE SANTA ROSA DE LIMA</w:t>
      </w:r>
    </w:p>
    <w:p w:rsidR="00C51233" w:rsidRPr="00B65B53" w:rsidRDefault="00C51233" w:rsidP="00C51233">
      <w:pPr>
        <w:pStyle w:val="Encabezado"/>
        <w:jc w:val="center"/>
        <w:rPr>
          <w:rFonts w:ascii="Constantia" w:hAnsi="Constantia"/>
          <w:sz w:val="24"/>
          <w:szCs w:val="24"/>
        </w:rPr>
      </w:pPr>
      <w:r w:rsidRPr="005F3496">
        <w:rPr>
          <w:rFonts w:ascii="Constantia" w:hAnsi="Constantia"/>
          <w:sz w:val="24"/>
          <w:szCs w:val="24"/>
        </w:rPr>
        <w:t xml:space="preserve">UNIDAD DE ACCESO A LA INFORMACION </w:t>
      </w:r>
      <w:proofErr w:type="gramStart"/>
      <w:r w:rsidRPr="005F3496">
        <w:rPr>
          <w:rFonts w:ascii="Constantia" w:hAnsi="Constantia"/>
          <w:sz w:val="24"/>
          <w:szCs w:val="24"/>
        </w:rPr>
        <w:t>PUBLICA</w:t>
      </w:r>
      <w:proofErr w:type="gramEnd"/>
    </w:p>
    <w:p w:rsidR="00C51233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eastAsia="es-SV"/>
        </w:rPr>
      </w:pPr>
    </w:p>
    <w:p w:rsidR="00C51233" w:rsidRPr="00124A41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eastAsia="es-SV"/>
        </w:rPr>
      </w:pPr>
      <w:r>
        <w:rPr>
          <w:rFonts w:ascii="Arial" w:eastAsia="Calibri" w:hAnsi="Arial" w:cs="Arial"/>
          <w:b/>
          <w:lang w:eastAsia="es-SV"/>
        </w:rPr>
        <w:t>N° de Solicitud: AMSRL-DAIP-0004</w:t>
      </w:r>
      <w:r w:rsidRPr="00124A41">
        <w:rPr>
          <w:rFonts w:ascii="Arial" w:eastAsia="Calibri" w:hAnsi="Arial" w:cs="Arial"/>
          <w:b/>
          <w:lang w:eastAsia="es-SV"/>
        </w:rPr>
        <w:t>-2020                  RESOLUCION DEFINITIVA</w:t>
      </w:r>
    </w:p>
    <w:p w:rsidR="00C51233" w:rsidRPr="00124A41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lang w:eastAsia="es-SV"/>
        </w:rPr>
      </w:pPr>
    </w:p>
    <w:p w:rsidR="00C51233" w:rsidRPr="00124A41" w:rsidRDefault="00C51233" w:rsidP="00C512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val="es-419" w:eastAsia="es-SV"/>
        </w:rPr>
      </w:pPr>
      <w:r w:rsidRPr="00124A41">
        <w:rPr>
          <w:rFonts w:ascii="Arial" w:eastAsia="Times New Roman" w:hAnsi="Arial" w:cs="Arial"/>
          <w:b/>
          <w:lang w:eastAsia="es-SV"/>
        </w:rPr>
        <w:t xml:space="preserve">ALCALDIA MUNICIPAL DE SANTA ROSA DE LIMA: </w:t>
      </w:r>
      <w:r w:rsidRPr="00124A41">
        <w:rPr>
          <w:rFonts w:ascii="Arial" w:eastAsia="Times New Roman" w:hAnsi="Arial" w:cs="Arial"/>
          <w:b/>
          <w:lang w:val="es-419" w:eastAsia="es-SV"/>
        </w:rPr>
        <w:t>UNIDAD DE ACCESO A LA INFORMACIÓN PÚBLICA</w:t>
      </w:r>
      <w:r w:rsidRPr="00124A41">
        <w:rPr>
          <w:rFonts w:ascii="Arial" w:eastAsia="Times New Roman" w:hAnsi="Arial" w:cs="Arial"/>
          <w:lang w:eastAsia="es-SV"/>
        </w:rPr>
        <w:t xml:space="preserve">. En la Ciudad de Santa Rosa de Lima, </w:t>
      </w:r>
      <w:r>
        <w:rPr>
          <w:rFonts w:ascii="Arial" w:eastAsia="Calibri" w:hAnsi="Arial" w:cs="Arial"/>
          <w:color w:val="000000"/>
          <w:lang w:val="es-419" w:eastAsia="es-SV"/>
        </w:rPr>
        <w:t>a las trece horas con cincuenta y cinco minutos, del día treinta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de</w:t>
      </w:r>
      <w:r>
        <w:rPr>
          <w:rFonts w:ascii="Arial" w:eastAsia="Calibri" w:hAnsi="Arial" w:cs="Arial"/>
          <w:color w:val="000000"/>
          <w:lang w:val="es-419" w:eastAsia="es-SV"/>
        </w:rPr>
        <w:t xml:space="preserve"> junio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del dos mil veinte.</w:t>
      </w:r>
    </w:p>
    <w:p w:rsidR="00C51233" w:rsidRDefault="00C51233" w:rsidP="00C5123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SV"/>
        </w:rPr>
      </w:pPr>
      <w:r w:rsidRPr="00124A41">
        <w:rPr>
          <w:rFonts w:ascii="Arial" w:eastAsia="Times New Roman" w:hAnsi="Arial" w:cs="Arial"/>
          <w:b/>
          <w:color w:val="000000"/>
          <w:lang w:eastAsia="es-SV"/>
        </w:rPr>
        <w:t>CONSIDERANDOS:</w:t>
      </w:r>
    </w:p>
    <w:p w:rsidR="00C51233" w:rsidRDefault="00C51233" w:rsidP="00C51233">
      <w:pPr>
        <w:spacing w:after="0" w:line="360" w:lineRule="auto"/>
        <w:ind w:left="360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9A5C88">
        <w:rPr>
          <w:rFonts w:ascii="Arial" w:eastAsia="Times New Roman" w:hAnsi="Arial" w:cs="Arial"/>
          <w:color w:val="000000"/>
          <w:lang w:eastAsia="es-SV"/>
        </w:rPr>
        <w:t>A las</w:t>
      </w:r>
      <w:r>
        <w:rPr>
          <w:rFonts w:ascii="Arial" w:eastAsia="Times New Roman" w:hAnsi="Arial" w:cs="Arial"/>
          <w:b/>
          <w:color w:val="000000"/>
          <w:lang w:eastAsia="es-SV"/>
        </w:rPr>
        <w:t xml:space="preserve"> </w:t>
      </w:r>
      <w:r w:rsidRPr="00646BE1">
        <w:rPr>
          <w:rFonts w:ascii="Arial" w:eastAsia="Times New Roman" w:hAnsi="Arial" w:cs="Arial"/>
          <w:color w:val="000000"/>
          <w:lang w:eastAsia="es-SV"/>
        </w:rPr>
        <w:t>10 horas con 51 minutos del día 14 de abril del 2020</w:t>
      </w:r>
      <w:r>
        <w:rPr>
          <w:rFonts w:ascii="Arial" w:eastAsia="Times New Roman" w:hAnsi="Arial" w:cs="Arial"/>
          <w:b/>
          <w:color w:val="000000"/>
          <w:lang w:eastAsia="es-SV"/>
        </w:rPr>
        <w:t xml:space="preserve"> </w:t>
      </w:r>
      <w:r w:rsidRPr="009A5C88">
        <w:rPr>
          <w:rFonts w:ascii="Arial" w:eastAsia="Calibri" w:hAnsi="Arial" w:cs="Arial"/>
          <w:lang w:val="es-419" w:eastAsia="es-SV"/>
        </w:rPr>
        <w:t xml:space="preserve">fue presentada a la Unidad de Acceso a la Información Pública  </w:t>
      </w:r>
      <w:r w:rsidRPr="009A5C88">
        <w:rPr>
          <w:rFonts w:ascii="Arial" w:eastAsia="Calibri" w:hAnsi="Arial" w:cs="Arial"/>
          <w:bCs/>
          <w:w w:val="102"/>
          <w:lang w:eastAsia="es-SV"/>
        </w:rPr>
        <w:t>vía correo electrónico por los señores</w:t>
      </w:r>
      <w:r w:rsidRPr="009A5C88"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>XXXXXXX XXXXXXXX XXXXXXX XXXXXXXX, XXXXXXX XXXXXXXXX XXXXXXXX XXXXXX  y XXX XXXXX XXXXXXX XXXXX</w:t>
      </w:r>
      <w:r w:rsidRPr="009A5C88">
        <w:rPr>
          <w:rFonts w:ascii="Arial" w:eastAsia="Calibri" w:hAnsi="Arial" w:cs="Arial"/>
          <w:lang w:val="es-419" w:eastAsia="es-SV"/>
        </w:rPr>
        <w:t xml:space="preserve"> </w:t>
      </w:r>
      <w:r w:rsidRPr="009A5C88">
        <w:rPr>
          <w:rFonts w:ascii="Arial" w:eastAsia="Calibri" w:hAnsi="Arial" w:cs="Arial"/>
          <w:color w:val="000000"/>
          <w:lang w:val="es-419" w:eastAsia="es-SV"/>
        </w:rPr>
        <w:t>en su calidad de persona natural</w:t>
      </w:r>
      <w:r w:rsidRPr="009A5C88">
        <w:rPr>
          <w:rFonts w:ascii="Arial" w:eastAsia="Calibri" w:hAnsi="Arial" w:cs="Arial"/>
          <w:lang w:eastAsia="es-SV"/>
        </w:rPr>
        <w:t xml:space="preserve">, </w:t>
      </w:r>
      <w:r w:rsidRPr="009A5C88">
        <w:rPr>
          <w:rFonts w:ascii="Arial" w:eastAsia="Calibri" w:hAnsi="Arial" w:cs="Arial"/>
          <w:lang w:val="es-419" w:eastAsia="es-SV"/>
        </w:rPr>
        <w:t xml:space="preserve">de generales antes expresadas, en el referido </w:t>
      </w:r>
      <w:r>
        <w:rPr>
          <w:rFonts w:ascii="Arial" w:eastAsia="Calibri" w:hAnsi="Arial" w:cs="Arial"/>
          <w:lang w:val="es-419" w:eastAsia="es-SV"/>
        </w:rPr>
        <w:t>proceso.</w:t>
      </w:r>
      <w:r>
        <w:rPr>
          <w:rFonts w:ascii="Arial" w:eastAsia="Times New Roman" w:hAnsi="Arial" w:cs="Arial"/>
          <w:b/>
          <w:color w:val="000000"/>
          <w:lang w:eastAsia="es-SV"/>
        </w:rPr>
        <w:t xml:space="preserve"> </w:t>
      </w:r>
      <w:r w:rsidRPr="00124A41">
        <w:rPr>
          <w:rFonts w:ascii="Arial" w:eastAsia="Calibri" w:hAnsi="Arial" w:cs="Arial"/>
          <w:color w:val="000000"/>
          <w:lang w:eastAsia="es-SV"/>
        </w:rPr>
        <w:t>E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n el cual han interpuesto una Solicitud de Acceso a la Información Pública,   solicitando la información </w:t>
      </w:r>
      <w:r w:rsidRPr="00124A41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F0D4ED9" wp14:editId="1C96BC64">
            <wp:simplePos x="0" y="0"/>
            <wp:positionH relativeFrom="column">
              <wp:posOffset>8201025</wp:posOffset>
            </wp:positionH>
            <wp:positionV relativeFrom="paragraph">
              <wp:posOffset>219710</wp:posOffset>
            </wp:positionV>
            <wp:extent cx="942975" cy="948690"/>
            <wp:effectExtent l="0" t="0" r="9525" b="3810"/>
            <wp:wrapNone/>
            <wp:docPr id="8" name="Imagen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siguiente: </w:t>
      </w:r>
    </w:p>
    <w:p w:rsidR="00C51233" w:rsidRPr="003673F6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Cs/>
          <w:w w:val="102"/>
          <w:lang w:eastAsia="es-SV"/>
        </w:rPr>
      </w:pPr>
      <w:r w:rsidRPr="002D4A92">
        <w:rPr>
          <w:rFonts w:ascii="Century Gothic" w:eastAsia="Calibri" w:hAnsi="Century Gothic" w:cs="Calibri"/>
          <w:b/>
          <w:bCs/>
          <w:w w:val="102"/>
          <w:lang w:eastAsia="es-SV"/>
        </w:rPr>
        <w:t>1)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 Los veinte mayores contratos por monto económico adjudicados anualmente 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por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la Alcaldía Municipal de Santa Rosa de Lima, po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r medio de los cuales se dio la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adquisición de bienes, la contratación de servic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ios, suministros, consultorías,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construcción de obra pública, concesiones y arrendamiento de inmuebles, desde</w:t>
      </w:r>
    </w:p>
    <w:p w:rsidR="00C51233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Cs/>
          <w:w w:val="102"/>
          <w:lang w:eastAsia="es-SV"/>
        </w:rPr>
      </w:pPr>
      <w:r w:rsidRPr="003673F6">
        <w:rPr>
          <w:rFonts w:ascii="Century Gothic" w:eastAsia="Calibri" w:hAnsi="Century Gothic" w:cs="Calibri"/>
          <w:bCs/>
          <w:w w:val="102"/>
          <w:lang w:eastAsia="es-SV"/>
        </w:rPr>
        <w:t>Enero de 2006 h</w:t>
      </w:r>
      <w:r>
        <w:rPr>
          <w:rFonts w:ascii="Century Gothic" w:eastAsia="Calibri" w:hAnsi="Century Gothic" w:cs="Calibri"/>
          <w:bCs/>
          <w:w w:val="102"/>
          <w:lang w:eastAsia="es-SV"/>
        </w:rPr>
        <w:t>asta D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iciembre de 2019. Deberá in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dicarse el nombre de la persona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natural o jurídica a la cual se adjudicó el contra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to, período de contratación, el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monto adjudicado, el objeto de la contratación, y l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a forma de contratación de cada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uno de ellos (licitación, libre gestión, contratación 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directa). La información deberá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entregarse desagregada por año.</w:t>
      </w:r>
    </w:p>
    <w:p w:rsidR="00C51233" w:rsidRPr="003673F6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Cs/>
          <w:w w:val="102"/>
          <w:lang w:eastAsia="es-SV"/>
        </w:rPr>
      </w:pPr>
    </w:p>
    <w:p w:rsidR="00C51233" w:rsidRPr="003673F6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Cs/>
          <w:w w:val="102"/>
          <w:lang w:eastAsia="es-SV"/>
        </w:rPr>
      </w:pPr>
      <w:r w:rsidRPr="002D4A92">
        <w:rPr>
          <w:rFonts w:ascii="Century Gothic" w:eastAsia="Calibri" w:hAnsi="Century Gothic" w:cs="Calibri"/>
          <w:b/>
          <w:bCs/>
          <w:w w:val="102"/>
          <w:lang w:eastAsia="es-SV"/>
        </w:rPr>
        <w:t>2)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 En el caso de los contratos que fueron adjudicados 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mediante licitación, indicar lo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siguiente: </w:t>
      </w:r>
      <w:r w:rsidRPr="006C2DDF">
        <w:rPr>
          <w:rFonts w:ascii="Century Gothic" w:eastAsia="Calibri" w:hAnsi="Century Gothic" w:cs="Calibri"/>
          <w:b/>
          <w:bCs/>
          <w:w w:val="102"/>
          <w:lang w:eastAsia="es-SV"/>
        </w:rPr>
        <w:t>a)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 la fecha de inicio y cierre de la convocatoria para licitación y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el plazo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para el retiro de las bases de licitación; </w:t>
      </w:r>
      <w:r w:rsidRPr="006C2DDF">
        <w:rPr>
          <w:rFonts w:ascii="Century Gothic" w:eastAsia="Calibri" w:hAnsi="Century Gothic" w:cs="Calibri"/>
          <w:b/>
          <w:bCs/>
          <w:w w:val="102"/>
          <w:lang w:eastAsia="es-SV"/>
        </w:rPr>
        <w:t>b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) el nom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bre de las personas naturales o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jurídicas que retiraron las bases de licitación; </w:t>
      </w:r>
      <w:r w:rsidRPr="006C2DDF">
        <w:rPr>
          <w:rFonts w:ascii="Century Gothic" w:eastAsia="Calibri" w:hAnsi="Century Gothic" w:cs="Calibri"/>
          <w:b/>
          <w:bCs/>
          <w:w w:val="102"/>
          <w:lang w:eastAsia="es-SV"/>
        </w:rPr>
        <w:t>c)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 el monto de la oferta económica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de los ofertantes que presentaron interés; </w:t>
      </w:r>
      <w:r w:rsidRPr="006C2DDF">
        <w:rPr>
          <w:rFonts w:ascii="Century Gothic" w:eastAsia="Calibri" w:hAnsi="Century Gothic" w:cs="Calibri"/>
          <w:b/>
          <w:bCs/>
          <w:w w:val="102"/>
          <w:lang w:eastAsia="es-SV"/>
        </w:rPr>
        <w:t>d)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 resultados de la precalificación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de los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ofertantes si se hubiese realizado; </w:t>
      </w:r>
      <w:r w:rsidRPr="006C2DDF">
        <w:rPr>
          <w:rFonts w:ascii="Century Gothic" w:eastAsia="Calibri" w:hAnsi="Century Gothic" w:cs="Calibri"/>
          <w:b/>
          <w:bCs/>
          <w:w w:val="102"/>
          <w:lang w:eastAsia="es-SV"/>
        </w:rPr>
        <w:t>e)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 resultados de 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la evaluación de los ofertantes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según lo estipulado en las bases de licitació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n; </w:t>
      </w:r>
      <w:r w:rsidRPr="006C2DDF">
        <w:rPr>
          <w:rFonts w:ascii="Century Gothic" w:eastAsia="Calibri" w:hAnsi="Century Gothic" w:cs="Calibri"/>
          <w:b/>
          <w:bCs/>
          <w:w w:val="102"/>
          <w:lang w:eastAsia="es-SV"/>
        </w:rPr>
        <w:t>f)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listado de los ofertantes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recomendados indicando la calificación obten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ida; </w:t>
      </w:r>
      <w:r w:rsidRPr="006C2DDF">
        <w:rPr>
          <w:rFonts w:ascii="Century Gothic" w:eastAsia="Calibri" w:hAnsi="Century Gothic" w:cs="Calibri"/>
          <w:b/>
          <w:bCs/>
          <w:w w:val="102"/>
          <w:lang w:eastAsia="es-SV"/>
        </w:rPr>
        <w:t>g)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el nombre del ofertante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>adjudicado</w:t>
      </w:r>
      <w:r>
        <w:rPr>
          <w:rFonts w:ascii="Century Gothic" w:eastAsia="Calibri" w:hAnsi="Century Gothic" w:cs="Calibri"/>
          <w:bCs/>
          <w:w w:val="102"/>
          <w:lang w:eastAsia="es-SV"/>
        </w:rPr>
        <w:t>.</w:t>
      </w:r>
    </w:p>
    <w:p w:rsidR="00C51233" w:rsidRPr="003673F6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Cs/>
          <w:w w:val="102"/>
          <w:lang w:eastAsia="es-SV"/>
        </w:rPr>
      </w:pPr>
    </w:p>
    <w:p w:rsidR="00C51233" w:rsidRPr="009A5C88" w:rsidRDefault="00C51233" w:rsidP="00C51233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color w:val="000000"/>
          <w:lang w:eastAsia="es-SV"/>
        </w:rPr>
      </w:pPr>
      <w:r w:rsidRPr="003673F6">
        <w:rPr>
          <w:rFonts w:ascii="Century Gothic" w:eastAsia="Calibri" w:hAnsi="Century Gothic" w:cs="Calibri"/>
          <w:bCs/>
          <w:w w:val="102"/>
          <w:lang w:eastAsia="es-SV"/>
        </w:rPr>
        <w:lastRenderedPageBreak/>
        <w:t>Toda la información de los literales anteriores se req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uiere en formato editable, como </w:t>
      </w:r>
      <w:r w:rsidRPr="003673F6">
        <w:rPr>
          <w:rFonts w:ascii="Century Gothic" w:eastAsia="Calibri" w:hAnsi="Century Gothic" w:cs="Calibri"/>
          <w:bCs/>
          <w:w w:val="102"/>
          <w:lang w:eastAsia="es-SV"/>
        </w:rPr>
        <w:t xml:space="preserve">por ejemplo hojas de cálculo de Excel. </w:t>
      </w:r>
    </w:p>
    <w:p w:rsidR="00C51233" w:rsidRPr="00124A41" w:rsidRDefault="00C51233" w:rsidP="00C5123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Con base a las funciones que le corresponde al Oficial de Información, de conformidad al art. 50 literales d), i), y j)</w:t>
      </w:r>
      <w:r w:rsidRPr="00124A41">
        <w:rPr>
          <w:rFonts w:ascii="Arial" w:eastAsia="Calibri" w:hAnsi="Arial" w:cs="Arial"/>
          <w:b/>
          <w:color w:val="000000"/>
          <w:lang w:eastAsia="es-SV"/>
        </w:rPr>
        <w:t xml:space="preserve"> 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124A41">
        <w:rPr>
          <w:rFonts w:ascii="Arial" w:eastAsia="Calibri" w:hAnsi="Arial" w:cs="Arial"/>
          <w:color w:val="000000"/>
          <w:lang w:val="es-419" w:eastAsia="es-SV"/>
        </w:rPr>
        <w:t>la requirente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de una manera oportuna y veraz. </w:t>
      </w:r>
    </w:p>
    <w:p w:rsidR="00C51233" w:rsidRPr="00124A41" w:rsidRDefault="00C51233" w:rsidP="00C51233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Es de aclarar que el Oficial de Información es el vínculo entre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el ente obligado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y la solicitante, realizando las gestiones necesarias, para facilitar el acceso a la información.</w:t>
      </w:r>
    </w:p>
    <w:p w:rsidR="00C51233" w:rsidRPr="00124A41" w:rsidRDefault="00C51233" w:rsidP="00C51233">
      <w:pP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</w:p>
    <w:p w:rsidR="00C51233" w:rsidRPr="00124A41" w:rsidRDefault="00C51233" w:rsidP="00C5123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b/>
          <w:color w:val="000000"/>
          <w:lang w:eastAsia="es-SV"/>
        </w:rPr>
        <w:t xml:space="preserve">FUNDAMENTACIÓN </w:t>
      </w:r>
    </w:p>
    <w:p w:rsidR="00C51233" w:rsidRPr="00124A41" w:rsidRDefault="00C51233" w:rsidP="00C51233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El 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124A41">
        <w:rPr>
          <w:rFonts w:ascii="Arial" w:eastAsia="Calibri" w:hAnsi="Arial" w:cs="Arial"/>
          <w:color w:val="000000"/>
          <w:lang w:eastAsia="es-SV"/>
        </w:rPr>
        <w:t>Cn</w:t>
      </w:r>
      <w:proofErr w:type="spellEnd"/>
      <w:r w:rsidRPr="00124A41">
        <w:rPr>
          <w:rFonts w:ascii="Arial" w:eastAsia="Calibri" w:hAnsi="Arial" w:cs="Arial"/>
          <w:color w:val="00000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124A41">
        <w:rPr>
          <w:rFonts w:ascii="Arial" w:eastAsia="Calibri" w:hAnsi="Arial" w:cs="Arial"/>
          <w:color w:val="000000"/>
          <w:lang w:eastAsia="es-SV"/>
        </w:rPr>
        <w:t>Cn</w:t>
      </w:r>
      <w:proofErr w:type="spellEnd"/>
      <w:r w:rsidRPr="00124A41">
        <w:rPr>
          <w:rFonts w:ascii="Arial" w:eastAsia="Calibri" w:hAnsi="Arial" w:cs="Arial"/>
          <w:color w:val="000000"/>
          <w:lang w:eastAsia="es-SV"/>
        </w:rPr>
        <w:t>.) que impone a los poderes públicos el deber de garantizar la transparencia y la publicidad en la administración.</w:t>
      </w:r>
    </w:p>
    <w:p w:rsidR="00C51233" w:rsidRDefault="00C51233" w:rsidP="00C51233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C51233" w:rsidRPr="00124A41" w:rsidRDefault="00C51233" w:rsidP="00C51233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D91F4F">
        <w:rPr>
          <w:rFonts w:ascii="Century Gothic" w:eastAsia="Calibri" w:hAnsi="Century Gothic" w:cs="Calibri"/>
          <w:bCs/>
          <w:w w:val="102"/>
          <w:lang w:eastAsia="es-SV"/>
        </w:rPr>
        <w:t>Además que por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/>
          <w:bCs/>
          <w:w w:val="102"/>
          <w:lang w:eastAsia="es-SV"/>
        </w:rPr>
        <w:t>Decreto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 Legislativo N° 593 del ESTADO DE EMERGENCIA NACIONALPOR LAPANDEMIA DEL COVID-19,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publicado en fecha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14 de marzo del 2020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,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que en su tenor literal en su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artículo 9 se suspenden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los plazos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legales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de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procedimientos administrativos y judiciales, por treinta días y prorrogándose los mismos por haberse cumplido el plazo de treinta días, por quince días más de conformidad al Decreto Legislativo N° 634 de la </w:t>
      </w:r>
      <w:r w:rsidRPr="00834F97">
        <w:rPr>
          <w:rFonts w:ascii="Century Gothic" w:eastAsia="Calibri" w:hAnsi="Century Gothic" w:cs="Calibri"/>
          <w:b/>
          <w:bCs/>
          <w:w w:val="102"/>
          <w:lang w:eastAsia="es-SV"/>
        </w:rPr>
        <w:t>PRORROGA DEL ESTADO DE EMERGENCIA NACIONAL POR LA PANDEMIA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 </w:t>
      </w:r>
      <w:r w:rsidRPr="00834F97">
        <w:rPr>
          <w:rFonts w:ascii="Century Gothic" w:eastAsia="Calibri" w:hAnsi="Century Gothic" w:cs="Calibri"/>
          <w:b/>
          <w:bCs/>
          <w:w w:val="102"/>
          <w:lang w:eastAsia="es-SV"/>
        </w:rPr>
        <w:t>DEL COVID-19</w:t>
      </w:r>
      <w:r>
        <w:rPr>
          <w:rFonts w:ascii="Century Gothic" w:eastAsia="Calibri" w:hAnsi="Century Gothic" w:cs="Calibri"/>
          <w:bCs/>
          <w:w w:val="102"/>
          <w:lang w:eastAsia="es-SV"/>
        </w:rPr>
        <w:t>, que hasta el día de hoy ha sido prorrogado hasta el día 16 de mayo por decreto legislativo publicado en fecha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 30 de Abril del </w:t>
      </w:r>
      <w:r w:rsidRPr="00834F97">
        <w:rPr>
          <w:rFonts w:ascii="Century Gothic" w:eastAsia="Calibri" w:hAnsi="Century Gothic" w:cs="Calibri"/>
          <w:b/>
          <w:bCs/>
          <w:w w:val="102"/>
          <w:lang w:eastAsia="es-SV"/>
        </w:rPr>
        <w:t>2020</w:t>
      </w:r>
      <w:r w:rsidRPr="00834F97">
        <w:rPr>
          <w:rFonts w:ascii="Century Gothic" w:eastAsia="Calibri" w:hAnsi="Century Gothic" w:cs="Calibri"/>
          <w:bCs/>
          <w:w w:val="102"/>
          <w:lang w:eastAsia="es-SV"/>
        </w:rPr>
        <w:t xml:space="preserve"> por tanto se interrumpe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el plazo de 10</w:t>
      </w:r>
      <w:r w:rsidRPr="00834F97">
        <w:rPr>
          <w:rFonts w:ascii="Century Gothic" w:eastAsia="Calibri" w:hAnsi="Century Gothic" w:cs="Calibri"/>
          <w:bCs/>
          <w:w w:val="102"/>
          <w:lang w:eastAsia="es-SV"/>
        </w:rPr>
        <w:t xml:space="preserve"> días para poder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dar respuesta a su solicitud, dicho plazo comenzara a computarse y </w:t>
      </w:r>
      <w:r w:rsidRPr="00834F97">
        <w:rPr>
          <w:rFonts w:ascii="Century Gothic" w:eastAsia="Calibri" w:hAnsi="Century Gothic" w:cs="Calibri"/>
          <w:bCs/>
          <w:w w:val="102"/>
          <w:lang w:eastAsia="es-SV"/>
        </w:rPr>
        <w:t>s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urtir efectos legales después de finalizado el presente 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>ESTADO DE EMERGENCIA NACIONAL POR LA PANDEMIA DEL COVID-19</w:t>
      </w:r>
      <w:r>
        <w:rPr>
          <w:rFonts w:ascii="Arial" w:eastAsia="Calibri" w:hAnsi="Arial" w:cs="Arial"/>
          <w:color w:val="000000"/>
          <w:lang w:eastAsia="es-SV"/>
        </w:rPr>
        <w:t>:</w:t>
      </w:r>
    </w:p>
    <w:p w:rsidR="00C51233" w:rsidRPr="00124A41" w:rsidRDefault="00C51233" w:rsidP="00C51233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</w:p>
    <w:p w:rsidR="00C51233" w:rsidRDefault="00C51233" w:rsidP="00C51233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lang w:val="es-419" w:eastAsia="es-SV"/>
        </w:rPr>
      </w:pPr>
    </w:p>
    <w:p w:rsidR="00C51233" w:rsidRDefault="00C51233" w:rsidP="00C51233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lang w:val="es-419" w:eastAsia="es-SV"/>
        </w:rPr>
      </w:pPr>
    </w:p>
    <w:p w:rsidR="00C51233" w:rsidRDefault="00C51233" w:rsidP="00C5123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124A41">
        <w:rPr>
          <w:rFonts w:ascii="Arial" w:eastAsia="Calibri" w:hAnsi="Arial" w:cs="Arial"/>
          <w:b/>
          <w:color w:val="000000"/>
          <w:lang w:val="es-419" w:eastAsia="es-SV"/>
        </w:rPr>
        <w:t>Como parte del procedimiento de acceso a información pública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, </w:t>
      </w:r>
      <w:r w:rsidRPr="00124A41">
        <w:rPr>
          <w:rFonts w:ascii="Arial" w:eastAsia="Calibri" w:hAnsi="Arial" w:cs="Arial"/>
          <w:color w:val="000000"/>
          <w:lang w:eastAsia="es-SV"/>
        </w:rPr>
        <w:t>e</w:t>
      </w:r>
      <w:r w:rsidRPr="00124A41">
        <w:rPr>
          <w:rFonts w:ascii="Arial" w:eastAsia="Calibri" w:hAnsi="Arial" w:cs="Arial"/>
          <w:color w:val="000000"/>
          <w:lang w:val="es-419" w:eastAsia="es-SV"/>
        </w:rPr>
        <w:t>l suscrito Oficial de Información, soli</w:t>
      </w:r>
      <w:r>
        <w:rPr>
          <w:rFonts w:ascii="Arial" w:eastAsia="Calibri" w:hAnsi="Arial" w:cs="Arial"/>
          <w:color w:val="000000"/>
          <w:lang w:val="es-419" w:eastAsia="es-SV"/>
        </w:rPr>
        <w:t>cito vía memorándum el día 11 de JUNIO a la Unidad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de </w:t>
      </w:r>
      <w:r>
        <w:rPr>
          <w:rFonts w:ascii="Arial" w:eastAsia="Calibri" w:hAnsi="Arial" w:cs="Arial"/>
          <w:color w:val="000000"/>
          <w:lang w:val="es-419" w:eastAsia="es-SV"/>
        </w:rPr>
        <w:t>Adquisiciones y Contrataciones Institucionales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, sobre la solitud de información. Se le dio tres días hábiles para responder y remitir la información solicitada siendo la fecha de respuesta el </w:t>
      </w:r>
      <w:r>
        <w:rPr>
          <w:rFonts w:ascii="Arial" w:eastAsia="Calibri" w:hAnsi="Arial" w:cs="Arial"/>
          <w:color w:val="000000"/>
          <w:lang w:val="es-419" w:eastAsia="es-SV"/>
        </w:rPr>
        <w:t>16 de junio</w:t>
      </w:r>
      <w:r w:rsidRPr="00124A41">
        <w:rPr>
          <w:rFonts w:ascii="Arial" w:eastAsia="Calibri" w:hAnsi="Arial" w:cs="Arial"/>
          <w:color w:val="000000"/>
          <w:lang w:val="es-419" w:eastAsia="es-SV"/>
        </w:rPr>
        <w:t>.</w:t>
      </w:r>
      <w:r>
        <w:rPr>
          <w:rFonts w:ascii="Arial" w:eastAsia="Calibri" w:hAnsi="Arial" w:cs="Arial"/>
          <w:color w:val="000000"/>
          <w:lang w:val="es-419" w:eastAsia="es-SV"/>
        </w:rPr>
        <w:t xml:space="preserve"> La UACI no remitió a esa fecha. </w:t>
      </w:r>
    </w:p>
    <w:p w:rsidR="00C51233" w:rsidRDefault="00C51233" w:rsidP="00C5123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>
        <w:rPr>
          <w:rFonts w:ascii="Arial" w:eastAsia="Calibri" w:hAnsi="Arial" w:cs="Arial"/>
          <w:color w:val="000000"/>
          <w:lang w:val="es-419" w:eastAsia="es-SV"/>
        </w:rPr>
        <w:t xml:space="preserve">El día 18 de junio </w:t>
      </w:r>
      <w:r w:rsidRPr="00124A41">
        <w:rPr>
          <w:rFonts w:ascii="Arial" w:eastAsia="Calibri" w:hAnsi="Arial" w:cs="Arial"/>
          <w:color w:val="000000"/>
          <w:lang w:eastAsia="es-SV"/>
        </w:rPr>
        <w:t>e</w:t>
      </w:r>
      <w:r>
        <w:rPr>
          <w:rFonts w:ascii="Arial" w:eastAsia="Calibri" w:hAnsi="Arial" w:cs="Arial"/>
          <w:color w:val="000000"/>
          <w:lang w:val="es-419" w:eastAsia="es-SV"/>
        </w:rPr>
        <w:t>l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Oficial de Información, soli</w:t>
      </w:r>
      <w:r>
        <w:rPr>
          <w:rFonts w:ascii="Arial" w:eastAsia="Calibri" w:hAnsi="Arial" w:cs="Arial"/>
          <w:color w:val="000000"/>
          <w:lang w:val="es-419" w:eastAsia="es-SV"/>
        </w:rPr>
        <w:t>cito vía memorándum por segunda vez a la Unidad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de </w:t>
      </w:r>
      <w:r>
        <w:rPr>
          <w:rFonts w:ascii="Arial" w:eastAsia="Calibri" w:hAnsi="Arial" w:cs="Arial"/>
          <w:color w:val="000000"/>
          <w:lang w:val="es-419" w:eastAsia="es-SV"/>
        </w:rPr>
        <w:t>Adquisiciones y Contrataciones Institucionales</w:t>
      </w:r>
      <w:r w:rsidRPr="00124A41">
        <w:rPr>
          <w:rFonts w:ascii="Arial" w:eastAsia="Calibri" w:hAnsi="Arial" w:cs="Arial"/>
          <w:color w:val="000000"/>
          <w:lang w:val="es-419" w:eastAsia="es-SV"/>
        </w:rPr>
        <w:t>,</w:t>
      </w:r>
      <w:r>
        <w:rPr>
          <w:rFonts w:ascii="Arial" w:eastAsia="Calibri" w:hAnsi="Arial" w:cs="Arial"/>
          <w:color w:val="000000"/>
          <w:lang w:val="es-419" w:eastAsia="es-SV"/>
        </w:rPr>
        <w:t xml:space="preserve"> 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sobre la solitud de información. Se le dio tres días hábiles para responder y remitir la información solicitada siendo la fecha de respuesta el </w:t>
      </w:r>
      <w:r>
        <w:rPr>
          <w:rFonts w:ascii="Arial" w:eastAsia="Calibri" w:hAnsi="Arial" w:cs="Arial"/>
          <w:color w:val="000000"/>
          <w:lang w:val="es-419" w:eastAsia="es-SV"/>
        </w:rPr>
        <w:t>23 de junio</w:t>
      </w:r>
      <w:r w:rsidRPr="00124A41">
        <w:rPr>
          <w:rFonts w:ascii="Arial" w:eastAsia="Calibri" w:hAnsi="Arial" w:cs="Arial"/>
          <w:color w:val="000000"/>
          <w:lang w:val="es-419" w:eastAsia="es-SV"/>
        </w:rPr>
        <w:t>.</w:t>
      </w:r>
      <w:r>
        <w:rPr>
          <w:rFonts w:ascii="Arial" w:eastAsia="Calibri" w:hAnsi="Arial" w:cs="Arial"/>
          <w:color w:val="000000"/>
          <w:lang w:val="es-419" w:eastAsia="es-SV"/>
        </w:rPr>
        <w:t xml:space="preserve"> La UACI no remitió a esa fecha.</w:t>
      </w:r>
    </w:p>
    <w:p w:rsidR="00C51233" w:rsidRPr="00124A41" w:rsidRDefault="00C51233" w:rsidP="00C5123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El</w:t>
      </w:r>
      <w:r>
        <w:rPr>
          <w:rFonts w:ascii="Arial" w:eastAsia="Calibri" w:hAnsi="Arial" w:cs="Arial"/>
          <w:color w:val="000000"/>
          <w:lang w:val="es-419" w:eastAsia="es-SV"/>
        </w:rPr>
        <w:t xml:space="preserve"> </w:t>
      </w:r>
      <w:r w:rsidRPr="00124A41">
        <w:rPr>
          <w:rFonts w:ascii="Arial" w:eastAsia="Calibri" w:hAnsi="Arial" w:cs="Arial"/>
          <w:color w:val="000000"/>
          <w:lang w:val="es-419" w:eastAsia="es-SV"/>
        </w:rPr>
        <w:t>Oficial de Información, soli</w:t>
      </w:r>
      <w:r>
        <w:rPr>
          <w:rFonts w:ascii="Arial" w:eastAsia="Calibri" w:hAnsi="Arial" w:cs="Arial"/>
          <w:color w:val="000000"/>
          <w:lang w:val="es-419" w:eastAsia="es-SV"/>
        </w:rPr>
        <w:t>cito vía memorándum el día 23 de JUNIO a la Unidad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de </w:t>
      </w:r>
      <w:r>
        <w:rPr>
          <w:rFonts w:ascii="Arial" w:eastAsia="Calibri" w:hAnsi="Arial" w:cs="Arial"/>
          <w:color w:val="000000"/>
          <w:lang w:val="es-419" w:eastAsia="es-SV"/>
        </w:rPr>
        <w:t>Adquisiciones y Contrataciones Institucionales</w:t>
      </w:r>
      <w:r w:rsidRPr="00124A41">
        <w:rPr>
          <w:rFonts w:ascii="Arial" w:eastAsia="Calibri" w:hAnsi="Arial" w:cs="Arial"/>
          <w:color w:val="000000"/>
          <w:lang w:val="es-419" w:eastAsia="es-SV"/>
        </w:rPr>
        <w:t>, sobre la solitu</w:t>
      </w:r>
      <w:r>
        <w:rPr>
          <w:rFonts w:ascii="Arial" w:eastAsia="Calibri" w:hAnsi="Arial" w:cs="Arial"/>
          <w:color w:val="000000"/>
          <w:lang w:val="es-419" w:eastAsia="es-SV"/>
        </w:rPr>
        <w:t>d de información. Se le dio dos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días hábiles para responder y remitir la información solicitada siendo la fecha de respuesta el </w:t>
      </w:r>
      <w:r>
        <w:rPr>
          <w:rFonts w:ascii="Arial" w:eastAsia="Calibri" w:hAnsi="Arial" w:cs="Arial"/>
          <w:color w:val="000000"/>
          <w:lang w:val="es-419" w:eastAsia="es-SV"/>
        </w:rPr>
        <w:t>25 de junio</w:t>
      </w:r>
      <w:r w:rsidRPr="00124A41">
        <w:rPr>
          <w:rFonts w:ascii="Arial" w:eastAsia="Calibri" w:hAnsi="Arial" w:cs="Arial"/>
          <w:color w:val="000000"/>
          <w:lang w:val="es-419" w:eastAsia="es-SV"/>
        </w:rPr>
        <w:t>.</w:t>
      </w:r>
    </w:p>
    <w:p w:rsidR="00C51233" w:rsidRDefault="00C51233" w:rsidP="00C5123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>
        <w:rPr>
          <w:rFonts w:ascii="Arial" w:eastAsia="Calibri" w:hAnsi="Arial" w:cs="Arial"/>
          <w:color w:val="000000"/>
          <w:lang w:val="es-419" w:eastAsia="es-SV"/>
        </w:rPr>
        <w:t>El día martes 25 de junio a las 10 horas y 45 minutos en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respuesta de la soli</w:t>
      </w:r>
      <w:r>
        <w:rPr>
          <w:rFonts w:ascii="Arial" w:eastAsia="Calibri" w:hAnsi="Arial" w:cs="Arial"/>
          <w:color w:val="000000"/>
          <w:lang w:val="es-419" w:eastAsia="es-SV"/>
        </w:rPr>
        <w:t xml:space="preserve">citud referencia AMSRL-DAIP-0005-2020   el 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jefe la Unida</w:t>
      </w:r>
      <w:r>
        <w:rPr>
          <w:rFonts w:ascii="Arial" w:eastAsia="Calibri" w:hAnsi="Arial" w:cs="Arial"/>
          <w:color w:val="000000"/>
          <w:lang w:val="es-419" w:eastAsia="es-SV"/>
        </w:rPr>
        <w:t>d de UACI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, remitió nota </w:t>
      </w:r>
      <w:r>
        <w:rPr>
          <w:rFonts w:ascii="Arial" w:eastAsia="Calibri" w:hAnsi="Arial" w:cs="Arial"/>
          <w:color w:val="000000"/>
          <w:lang w:val="es-419" w:eastAsia="es-SV"/>
        </w:rPr>
        <w:t>solicitando prórroga para la búsqueda de la información solicitada.</w:t>
      </w:r>
    </w:p>
    <w:p w:rsidR="00C51233" w:rsidRPr="00124A41" w:rsidRDefault="00C51233" w:rsidP="00C5123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>
        <w:rPr>
          <w:rFonts w:ascii="Arial" w:eastAsia="Calibri" w:hAnsi="Arial" w:cs="Arial"/>
          <w:color w:val="000000"/>
          <w:lang w:val="es-419" w:eastAsia="es-SV"/>
        </w:rPr>
        <w:t xml:space="preserve">El día 30 de junio a las once horas y veinte y tres minutos el Ingeniero Francisco Guzmán remitió Copia física con la información solicitada.  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</w:t>
      </w:r>
    </w:p>
    <w:p w:rsidR="00C51233" w:rsidRPr="00124A41" w:rsidRDefault="00C51233" w:rsidP="00C5123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b/>
          <w:color w:val="000000"/>
          <w:lang w:eastAsia="es-SV"/>
        </w:rPr>
        <w:t>RESOLUCIÓN</w:t>
      </w:r>
    </w:p>
    <w:p w:rsidR="00C51233" w:rsidRPr="00124A41" w:rsidRDefault="00C51233" w:rsidP="00C51233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 xml:space="preserve">De conformidad al art. 65, 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66, 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72 de la Ley de Acceso a la Información Pública, y art. 54 del Reglamento de la Ley de Acceso a la Información Pública; el suscrito Oficial de Información, </w:t>
      </w:r>
      <w:r w:rsidRPr="00124A41">
        <w:rPr>
          <w:rFonts w:ascii="Arial" w:eastAsia="Calibri" w:hAnsi="Arial" w:cs="Arial"/>
          <w:b/>
          <w:color w:val="000000"/>
          <w:lang w:eastAsia="es-SV"/>
        </w:rPr>
        <w:t>RESUELVE:</w:t>
      </w:r>
    </w:p>
    <w:p w:rsidR="00C51233" w:rsidRPr="00637216" w:rsidRDefault="00C51233" w:rsidP="00C51233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C51233" w:rsidRPr="00124A41" w:rsidRDefault="00C51233" w:rsidP="00C51233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Entréguese la información remitid</w:t>
      </w:r>
      <w:r>
        <w:rPr>
          <w:rFonts w:ascii="Arial" w:eastAsia="Calibri" w:hAnsi="Arial" w:cs="Arial"/>
          <w:color w:val="000000"/>
          <w:lang w:eastAsia="es-SV"/>
        </w:rPr>
        <w:t>a a esta unidad por parte de la unidad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Administrativas que posee la información solicitada.</w:t>
      </w:r>
    </w:p>
    <w:p w:rsidR="00C51233" w:rsidRPr="00124A41" w:rsidRDefault="00C51233" w:rsidP="00C51233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Notifíquese a la solicitante por el medio señalado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para tal efecto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. </w:t>
      </w:r>
    </w:p>
    <w:p w:rsidR="00C51233" w:rsidRPr="00124A41" w:rsidRDefault="00C51233" w:rsidP="00C5123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pacing w:val="2"/>
          <w:lang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>Archívese el expediente administrativo.</w:t>
      </w:r>
    </w:p>
    <w:p w:rsidR="00C51233" w:rsidRPr="00124A41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b/>
          <w:color w:val="000000"/>
          <w:spacing w:val="2"/>
          <w:lang w:eastAsia="es-SV"/>
        </w:rPr>
      </w:pPr>
    </w:p>
    <w:p w:rsidR="00C51233" w:rsidRPr="00124A41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pacing w:val="2"/>
          <w:lang w:eastAsia="es-SV"/>
        </w:rPr>
      </w:pPr>
    </w:p>
    <w:p w:rsidR="00C51233" w:rsidRPr="00124A41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pacing w:val="2"/>
          <w:lang w:eastAsia="es-SV"/>
        </w:rPr>
      </w:pPr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 xml:space="preserve">Licdo. Luis </w:t>
      </w:r>
      <w:proofErr w:type="spellStart"/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>Edenilson</w:t>
      </w:r>
      <w:proofErr w:type="spellEnd"/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 xml:space="preserve"> García Flores</w:t>
      </w:r>
    </w:p>
    <w:p w:rsidR="00C51233" w:rsidRPr="001D4CA9" w:rsidRDefault="00C51233" w:rsidP="00C512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lang w:eastAsia="es-SV"/>
        </w:rPr>
      </w:pPr>
      <w:r w:rsidRPr="001D4CA9">
        <w:rPr>
          <w:rFonts w:ascii="Arial" w:eastAsia="Calibri" w:hAnsi="Arial" w:cs="Arial"/>
          <w:color w:val="000000"/>
          <w:spacing w:val="2"/>
          <w:lang w:eastAsia="es-SV"/>
        </w:rPr>
        <w:t>O</w:t>
      </w:r>
      <w:r w:rsidRPr="001D4CA9">
        <w:rPr>
          <w:rFonts w:ascii="Arial" w:eastAsia="Calibri" w:hAnsi="Arial" w:cs="Arial"/>
          <w:color w:val="000000"/>
          <w:spacing w:val="-3"/>
          <w:lang w:eastAsia="es-SV"/>
        </w:rPr>
        <w:t>f</w:t>
      </w:r>
      <w:r w:rsidRPr="001D4CA9">
        <w:rPr>
          <w:rFonts w:ascii="Arial" w:eastAsia="Calibri" w:hAnsi="Arial" w:cs="Arial"/>
          <w:color w:val="000000"/>
          <w:spacing w:val="3"/>
          <w:lang w:eastAsia="es-SV"/>
        </w:rPr>
        <w:t>i</w:t>
      </w:r>
      <w:r w:rsidRPr="001D4CA9">
        <w:rPr>
          <w:rFonts w:ascii="Arial" w:eastAsia="Calibri" w:hAnsi="Arial" w:cs="Arial"/>
          <w:color w:val="000000"/>
          <w:spacing w:val="-2"/>
          <w:lang w:eastAsia="es-SV"/>
        </w:rPr>
        <w:t>c</w:t>
      </w:r>
      <w:r w:rsidRPr="001D4CA9">
        <w:rPr>
          <w:rFonts w:ascii="Arial" w:eastAsia="Calibri" w:hAnsi="Arial" w:cs="Arial"/>
          <w:color w:val="000000"/>
          <w:spacing w:val="1"/>
          <w:lang w:eastAsia="es-SV"/>
        </w:rPr>
        <w:t>i</w:t>
      </w:r>
      <w:r w:rsidRPr="001D4CA9">
        <w:rPr>
          <w:rFonts w:ascii="Arial" w:eastAsia="Calibri" w:hAnsi="Arial" w:cs="Arial"/>
          <w:color w:val="000000"/>
          <w:spacing w:val="-2"/>
          <w:lang w:eastAsia="es-SV"/>
        </w:rPr>
        <w:t>a</w:t>
      </w:r>
      <w:r w:rsidRPr="001D4CA9">
        <w:rPr>
          <w:rFonts w:ascii="Arial" w:eastAsia="Calibri" w:hAnsi="Arial" w:cs="Arial"/>
          <w:color w:val="000000"/>
          <w:lang w:eastAsia="es-SV"/>
        </w:rPr>
        <w:t>l</w:t>
      </w:r>
      <w:r w:rsidRPr="001D4CA9">
        <w:rPr>
          <w:rFonts w:ascii="Arial" w:eastAsia="Calibri" w:hAnsi="Arial" w:cs="Arial"/>
          <w:color w:val="000000"/>
          <w:spacing w:val="7"/>
          <w:lang w:eastAsia="es-SV"/>
        </w:rPr>
        <w:t xml:space="preserve"> </w:t>
      </w:r>
      <w:r w:rsidRPr="001D4CA9">
        <w:rPr>
          <w:rFonts w:ascii="Arial" w:eastAsia="Calibri" w:hAnsi="Arial" w:cs="Arial"/>
          <w:color w:val="000000"/>
          <w:lang w:eastAsia="es-SV"/>
        </w:rPr>
        <w:t>de</w:t>
      </w:r>
      <w:r w:rsidRPr="001D4CA9">
        <w:rPr>
          <w:rFonts w:ascii="Arial" w:eastAsia="Calibri" w:hAnsi="Arial" w:cs="Arial"/>
          <w:color w:val="000000"/>
          <w:spacing w:val="-2"/>
          <w:lang w:eastAsia="es-SV"/>
        </w:rPr>
        <w:t xml:space="preserve"> </w:t>
      </w:r>
      <w:r w:rsidRPr="001D4CA9">
        <w:rPr>
          <w:rFonts w:ascii="Arial" w:eastAsia="Calibri" w:hAnsi="Arial" w:cs="Arial"/>
          <w:color w:val="000000"/>
          <w:spacing w:val="1"/>
          <w:lang w:eastAsia="es-SV"/>
        </w:rPr>
        <w:t>I</w:t>
      </w:r>
      <w:r w:rsidRPr="001D4CA9">
        <w:rPr>
          <w:rFonts w:ascii="Arial" w:eastAsia="Calibri" w:hAnsi="Arial" w:cs="Arial"/>
          <w:color w:val="000000"/>
          <w:lang w:eastAsia="es-SV"/>
        </w:rPr>
        <w:t>n</w:t>
      </w:r>
      <w:r w:rsidRPr="001D4CA9">
        <w:rPr>
          <w:rFonts w:ascii="Arial" w:eastAsia="Calibri" w:hAnsi="Arial" w:cs="Arial"/>
          <w:color w:val="000000"/>
          <w:spacing w:val="-1"/>
          <w:lang w:eastAsia="es-SV"/>
        </w:rPr>
        <w:t>fo</w:t>
      </w:r>
      <w:r w:rsidRPr="001D4CA9">
        <w:rPr>
          <w:rFonts w:ascii="Arial" w:eastAsia="Calibri" w:hAnsi="Arial" w:cs="Arial"/>
          <w:color w:val="000000"/>
          <w:lang w:eastAsia="es-SV"/>
        </w:rPr>
        <w:t>r</w:t>
      </w:r>
      <w:r w:rsidRPr="001D4CA9">
        <w:rPr>
          <w:rFonts w:ascii="Arial" w:eastAsia="Calibri" w:hAnsi="Arial" w:cs="Arial"/>
          <w:color w:val="000000"/>
          <w:spacing w:val="1"/>
          <w:lang w:eastAsia="es-SV"/>
        </w:rPr>
        <w:t>m</w:t>
      </w:r>
      <w:r w:rsidRPr="001D4CA9">
        <w:rPr>
          <w:rFonts w:ascii="Arial" w:eastAsia="Calibri" w:hAnsi="Arial" w:cs="Arial"/>
          <w:color w:val="000000"/>
          <w:spacing w:val="-2"/>
          <w:lang w:eastAsia="es-SV"/>
        </w:rPr>
        <w:t>ac</w:t>
      </w:r>
      <w:r w:rsidRPr="001D4CA9">
        <w:rPr>
          <w:rFonts w:ascii="Arial" w:eastAsia="Calibri" w:hAnsi="Arial" w:cs="Arial"/>
          <w:color w:val="000000"/>
          <w:spacing w:val="1"/>
          <w:lang w:eastAsia="es-SV"/>
        </w:rPr>
        <w:t>i</w:t>
      </w:r>
      <w:r w:rsidRPr="001D4CA9">
        <w:rPr>
          <w:rFonts w:ascii="Arial" w:eastAsia="Calibri" w:hAnsi="Arial" w:cs="Arial"/>
          <w:color w:val="000000"/>
          <w:spacing w:val="-1"/>
          <w:lang w:eastAsia="es-SV"/>
        </w:rPr>
        <w:t>ó</w:t>
      </w:r>
      <w:r w:rsidRPr="001D4CA9">
        <w:rPr>
          <w:rFonts w:ascii="Arial" w:eastAsia="Calibri" w:hAnsi="Arial" w:cs="Arial"/>
          <w:color w:val="000000"/>
          <w:lang w:eastAsia="es-SV"/>
        </w:rPr>
        <w:t>n</w:t>
      </w:r>
    </w:p>
    <w:p w:rsidR="007937FB" w:rsidRDefault="007937FB">
      <w:bookmarkStart w:id="0" w:name="_GoBack"/>
      <w:bookmarkEnd w:id="0"/>
    </w:p>
    <w:sectPr w:rsidR="007937FB" w:rsidSect="00E738F5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33"/>
    <w:rsid w:val="007937FB"/>
    <w:rsid w:val="00C5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4B3C9E-6542-49ED-93DB-E1E7FEA9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2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1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1044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2020-07-19T23:34:00Z</dcterms:created>
  <dcterms:modified xsi:type="dcterms:W3CDTF">2020-07-19T23:38:00Z</dcterms:modified>
</cp:coreProperties>
</file>