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1F934" w14:textId="77777777" w:rsidR="000F51B6" w:rsidRDefault="000F51B6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</w:p>
    <w:p w14:paraId="33958F53" w14:textId="77777777" w:rsidR="000F51B6" w:rsidRDefault="000F51B6" w:rsidP="00125EC6">
      <w:pPr>
        <w:spacing w:after="0" w:line="360" w:lineRule="auto"/>
        <w:rPr>
          <w:rFonts w:ascii="Century Gothic" w:hAnsi="Century Gothic"/>
          <w:sz w:val="24"/>
          <w:szCs w:val="24"/>
        </w:rPr>
      </w:pPr>
    </w:p>
    <w:p w14:paraId="4BE03FFE" w14:textId="0C6FA481" w:rsidR="006C5288" w:rsidRPr="000F51B6" w:rsidRDefault="00EA2E25" w:rsidP="006F11C3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 xml:space="preserve">San Rafael </w:t>
      </w:r>
      <w:r w:rsidR="006F11C3">
        <w:rPr>
          <w:rFonts w:ascii="Century Gothic" w:hAnsi="Century Gothic"/>
          <w:sz w:val="24"/>
          <w:szCs w:val="24"/>
        </w:rPr>
        <w:t>C</w:t>
      </w:r>
      <w:r w:rsidRPr="000F51B6">
        <w:rPr>
          <w:rFonts w:ascii="Century Gothic" w:hAnsi="Century Gothic"/>
          <w:sz w:val="24"/>
          <w:szCs w:val="24"/>
        </w:rPr>
        <w:t xml:space="preserve">edros, </w:t>
      </w:r>
      <w:r w:rsidR="004C429B">
        <w:rPr>
          <w:rFonts w:ascii="Century Gothic" w:hAnsi="Century Gothic"/>
          <w:sz w:val="24"/>
          <w:szCs w:val="24"/>
        </w:rPr>
        <w:t>4 de noviembre</w:t>
      </w:r>
      <w:r w:rsidRPr="000F51B6">
        <w:rPr>
          <w:rFonts w:ascii="Century Gothic" w:hAnsi="Century Gothic"/>
          <w:sz w:val="24"/>
          <w:szCs w:val="24"/>
        </w:rPr>
        <w:t xml:space="preserve"> de 20</w:t>
      </w:r>
      <w:r w:rsidR="00824BC0">
        <w:rPr>
          <w:rFonts w:ascii="Century Gothic" w:hAnsi="Century Gothic"/>
          <w:sz w:val="24"/>
          <w:szCs w:val="24"/>
        </w:rPr>
        <w:t>2</w:t>
      </w:r>
      <w:r w:rsidR="002E5BD6">
        <w:rPr>
          <w:rFonts w:ascii="Century Gothic" w:hAnsi="Century Gothic"/>
          <w:sz w:val="24"/>
          <w:szCs w:val="24"/>
        </w:rPr>
        <w:t>1</w:t>
      </w:r>
    </w:p>
    <w:p w14:paraId="7503E29D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31199E17" w14:textId="77777777" w:rsidR="006C5288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Público en general.</w:t>
      </w:r>
    </w:p>
    <w:p w14:paraId="3ED2B857" w14:textId="5CD983E9" w:rsidR="000F51B6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proofErr w:type="gramStart"/>
      <w:r w:rsidRPr="000F51B6">
        <w:rPr>
          <w:rFonts w:ascii="Century Gothic" w:hAnsi="Century Gothic"/>
          <w:sz w:val="24"/>
          <w:szCs w:val="24"/>
        </w:rPr>
        <w:t>Presente</w:t>
      </w:r>
      <w:r w:rsidR="005C20A0">
        <w:rPr>
          <w:rFonts w:ascii="Century Gothic" w:hAnsi="Century Gothic"/>
          <w:sz w:val="24"/>
          <w:szCs w:val="24"/>
        </w:rPr>
        <w:t>.-</w:t>
      </w:r>
      <w:proofErr w:type="gramEnd"/>
      <w:r w:rsidR="005C20A0">
        <w:rPr>
          <w:rFonts w:ascii="Century Gothic" w:hAnsi="Century Gothic"/>
          <w:sz w:val="24"/>
          <w:szCs w:val="24"/>
        </w:rPr>
        <w:t xml:space="preserve"> </w:t>
      </w:r>
    </w:p>
    <w:p w14:paraId="34F6AF3B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6AD4B2A" w14:textId="77777777" w:rsidR="000F51B6" w:rsidRPr="000F51B6" w:rsidRDefault="000F51B6" w:rsidP="000F51B6">
      <w:pPr>
        <w:jc w:val="both"/>
        <w:rPr>
          <w:rFonts w:ascii="Century Gothic" w:hAnsi="Century Gothic" w:cs="Arial"/>
          <w:sz w:val="24"/>
          <w:szCs w:val="24"/>
        </w:rPr>
      </w:pPr>
    </w:p>
    <w:p w14:paraId="642B5DAB" w14:textId="15960149" w:rsidR="004C429B" w:rsidRDefault="000F51B6" w:rsidP="004C429B">
      <w:pPr>
        <w:spacing w:line="480" w:lineRule="auto"/>
        <w:ind w:firstLine="720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 xml:space="preserve">Por este medio, la Alcaldía Municipal de </w:t>
      </w:r>
      <w:r w:rsidR="00382A27">
        <w:rPr>
          <w:rFonts w:ascii="Century Gothic" w:hAnsi="Century Gothic" w:cs="Arial"/>
          <w:sz w:val="24"/>
          <w:szCs w:val="24"/>
        </w:rPr>
        <w:t>San Rafael Cedros, departamento de Cuscatlán,</w:t>
      </w:r>
      <w:r w:rsidRPr="000F51B6">
        <w:rPr>
          <w:rFonts w:ascii="Century Gothic" w:hAnsi="Century Gothic" w:cs="Arial"/>
          <w:sz w:val="24"/>
          <w:szCs w:val="24"/>
        </w:rPr>
        <w:t xml:space="preserve"> </w:t>
      </w:r>
      <w:r w:rsidR="00617558">
        <w:rPr>
          <w:rFonts w:ascii="Century Gothic" w:hAnsi="Century Gothic" w:cs="Arial"/>
          <w:sz w:val="24"/>
          <w:szCs w:val="24"/>
        </w:rPr>
        <w:t>para el</w:t>
      </w:r>
      <w:r w:rsidR="00F426C4">
        <w:rPr>
          <w:rFonts w:ascii="Century Gothic" w:hAnsi="Century Gothic" w:cs="Arial"/>
          <w:sz w:val="24"/>
          <w:szCs w:val="24"/>
        </w:rPr>
        <w:t xml:space="preserve"> trimestre comprendido de</w:t>
      </w:r>
      <w:r w:rsidR="004C429B">
        <w:rPr>
          <w:rFonts w:ascii="Century Gothic" w:hAnsi="Century Gothic" w:cs="Arial"/>
          <w:sz w:val="24"/>
          <w:szCs w:val="24"/>
        </w:rPr>
        <w:t xml:space="preserve"> agosto a octubre </w:t>
      </w:r>
      <w:r w:rsidR="0082755F">
        <w:rPr>
          <w:rFonts w:ascii="Century Gothic" w:hAnsi="Century Gothic" w:cs="Arial"/>
          <w:sz w:val="24"/>
          <w:szCs w:val="24"/>
        </w:rPr>
        <w:t>202</w:t>
      </w:r>
      <w:r w:rsidR="002E5BD6">
        <w:rPr>
          <w:rFonts w:ascii="Century Gothic" w:hAnsi="Century Gothic" w:cs="Arial"/>
          <w:sz w:val="24"/>
          <w:szCs w:val="24"/>
        </w:rPr>
        <w:t>1</w:t>
      </w:r>
      <w:r w:rsidR="0082755F">
        <w:rPr>
          <w:rFonts w:ascii="Century Gothic" w:hAnsi="Century Gothic" w:cs="Arial"/>
          <w:sz w:val="24"/>
          <w:szCs w:val="24"/>
        </w:rPr>
        <w:t xml:space="preserve"> </w:t>
      </w:r>
      <w:r w:rsidRPr="000F51B6">
        <w:rPr>
          <w:rFonts w:ascii="Century Gothic" w:hAnsi="Century Gothic" w:cs="Arial"/>
          <w:sz w:val="24"/>
          <w:szCs w:val="24"/>
        </w:rPr>
        <w:t xml:space="preserve">declara </w:t>
      </w:r>
      <w:r w:rsidR="00FD5BE7">
        <w:rPr>
          <w:rFonts w:ascii="Century Gothic" w:hAnsi="Century Gothic" w:cs="Arial"/>
          <w:sz w:val="24"/>
          <w:szCs w:val="24"/>
        </w:rPr>
        <w:t>que no se han realizado actualizaciones a la Guía de Archivo</w:t>
      </w:r>
      <w:r w:rsidR="004C429B">
        <w:rPr>
          <w:rFonts w:ascii="Century Gothic" w:hAnsi="Century Gothic" w:cs="Arial"/>
          <w:sz w:val="24"/>
          <w:szCs w:val="24"/>
        </w:rPr>
        <w:t>, al igual que en las tablas de transferencia de información</w:t>
      </w:r>
      <w:r w:rsidR="004C429B">
        <w:rPr>
          <w:rFonts w:ascii="Century Gothic" w:hAnsi="Century Gothic" w:cs="Arial"/>
          <w:i/>
          <w:iCs/>
          <w:sz w:val="24"/>
          <w:szCs w:val="24"/>
        </w:rPr>
        <w:t xml:space="preserve">, </w:t>
      </w:r>
      <w:r w:rsidR="004C429B">
        <w:rPr>
          <w:rFonts w:ascii="Century Gothic" w:hAnsi="Century Gothic" w:cs="Arial"/>
          <w:sz w:val="24"/>
          <w:szCs w:val="24"/>
        </w:rPr>
        <w:t>por lo que se mantienen vigentes las publicadas en el año 202</w:t>
      </w:r>
      <w:r w:rsidR="00B072C8">
        <w:rPr>
          <w:rFonts w:ascii="Century Gothic" w:hAnsi="Century Gothic" w:cs="Arial"/>
          <w:sz w:val="24"/>
          <w:szCs w:val="24"/>
        </w:rPr>
        <w:t>0</w:t>
      </w:r>
      <w:r w:rsidR="004C429B">
        <w:rPr>
          <w:rFonts w:ascii="Century Gothic" w:hAnsi="Century Gothic" w:cs="Arial"/>
          <w:sz w:val="24"/>
          <w:szCs w:val="24"/>
        </w:rPr>
        <w:t xml:space="preserve">. </w:t>
      </w:r>
    </w:p>
    <w:p w14:paraId="5BCCF415" w14:textId="0CCAA842" w:rsidR="005C20A0" w:rsidRDefault="00890CFE" w:rsidP="000F51B6">
      <w:pPr>
        <w:spacing w:line="480" w:lineRule="auto"/>
        <w:jc w:val="both"/>
        <w:rPr>
          <w:rFonts w:ascii="Century Gothic" w:hAnsi="Century Gothic" w:cs="Arial"/>
          <w:i/>
          <w:iCs/>
          <w:sz w:val="20"/>
          <w:szCs w:val="20"/>
        </w:rPr>
      </w:pPr>
      <w:hyperlink r:id="rId8" w:history="1">
        <w:r w:rsidR="004C429B" w:rsidRPr="008C41F5">
          <w:rPr>
            <w:rStyle w:val="Hipervnculo"/>
            <w:rFonts w:ascii="Century Gothic" w:hAnsi="Century Gothic" w:cs="Arial"/>
            <w:i/>
            <w:iCs/>
            <w:sz w:val="20"/>
            <w:szCs w:val="20"/>
          </w:rPr>
          <w:t>https://www.transparencia.gob.sv/institutions/amsrc/documents/375032/download</w:t>
        </w:r>
      </w:hyperlink>
      <w:r w:rsidR="004C429B">
        <w:rPr>
          <w:rFonts w:ascii="Century Gothic" w:hAnsi="Century Gothic" w:cs="Arial"/>
          <w:i/>
          <w:iCs/>
          <w:sz w:val="20"/>
          <w:szCs w:val="20"/>
        </w:rPr>
        <w:t xml:space="preserve"> </w:t>
      </w:r>
      <w:r w:rsidR="00FD5BE7" w:rsidRPr="004C429B">
        <w:rPr>
          <w:rFonts w:ascii="Century Gothic" w:hAnsi="Century Gothic" w:cs="Arial"/>
          <w:i/>
          <w:iCs/>
          <w:sz w:val="20"/>
          <w:szCs w:val="20"/>
        </w:rPr>
        <w:t xml:space="preserve"> </w:t>
      </w:r>
    </w:p>
    <w:p w14:paraId="00DAD33B" w14:textId="2A904902" w:rsidR="004C429B" w:rsidRPr="004C429B" w:rsidRDefault="00890CFE" w:rsidP="000F51B6">
      <w:pPr>
        <w:spacing w:line="480" w:lineRule="auto"/>
        <w:jc w:val="both"/>
        <w:rPr>
          <w:rFonts w:ascii="Century Gothic" w:hAnsi="Century Gothic" w:cs="Arial"/>
          <w:sz w:val="20"/>
          <w:szCs w:val="20"/>
        </w:rPr>
      </w:pPr>
      <w:hyperlink r:id="rId9" w:history="1">
        <w:r w:rsidR="004C429B" w:rsidRPr="008C41F5">
          <w:rPr>
            <w:rStyle w:val="Hipervnculo"/>
            <w:rFonts w:ascii="Century Gothic" w:hAnsi="Century Gothic" w:cs="Arial"/>
            <w:sz w:val="20"/>
            <w:szCs w:val="20"/>
          </w:rPr>
          <w:t>https://www.transparencia.gob.sv/institutions/amsrc/documents/375604/download</w:t>
        </w:r>
      </w:hyperlink>
      <w:r w:rsidR="004C429B">
        <w:rPr>
          <w:rFonts w:ascii="Century Gothic" w:hAnsi="Century Gothic" w:cs="Arial"/>
          <w:sz w:val="20"/>
          <w:szCs w:val="20"/>
        </w:rPr>
        <w:t xml:space="preserve"> </w:t>
      </w:r>
    </w:p>
    <w:p w14:paraId="5ECEE3ED" w14:textId="23F5BB33" w:rsidR="000F51B6" w:rsidRPr="000F51B6" w:rsidRDefault="00F426C4" w:rsidP="004C429B">
      <w:pPr>
        <w:spacing w:line="480" w:lineRule="auto"/>
        <w:ind w:firstLine="720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A</w:t>
      </w:r>
      <w:r w:rsidR="004C429B">
        <w:rPr>
          <w:rFonts w:ascii="Century Gothic" w:hAnsi="Century Gothic" w:cs="Arial"/>
          <w:sz w:val="24"/>
          <w:szCs w:val="24"/>
        </w:rPr>
        <w:t xml:space="preserve"> </w:t>
      </w:r>
      <w:r w:rsidR="005C20A0">
        <w:rPr>
          <w:rFonts w:ascii="Century Gothic" w:hAnsi="Century Gothic" w:cs="Arial"/>
          <w:sz w:val="24"/>
          <w:szCs w:val="24"/>
        </w:rPr>
        <w:t>l</w:t>
      </w:r>
      <w:r w:rsidR="004C429B">
        <w:rPr>
          <w:rFonts w:ascii="Century Gothic" w:hAnsi="Century Gothic" w:cs="Arial"/>
          <w:sz w:val="24"/>
          <w:szCs w:val="24"/>
        </w:rPr>
        <w:t>as que</w:t>
      </w:r>
      <w:r w:rsidR="005C20A0">
        <w:rPr>
          <w:rFonts w:ascii="Century Gothic" w:hAnsi="Century Gothic" w:cs="Arial"/>
          <w:sz w:val="24"/>
          <w:szCs w:val="24"/>
        </w:rPr>
        <w:t xml:space="preserve"> </w:t>
      </w:r>
      <w:r w:rsidR="000F51B6" w:rsidRPr="000F51B6">
        <w:rPr>
          <w:rFonts w:ascii="Century Gothic" w:hAnsi="Century Gothic" w:cs="Arial"/>
          <w:sz w:val="24"/>
          <w:szCs w:val="24"/>
        </w:rPr>
        <w:t xml:space="preserve">se refiere el artículo </w:t>
      </w:r>
      <w:r>
        <w:rPr>
          <w:rFonts w:ascii="Century Gothic" w:hAnsi="Century Gothic" w:cs="Arial"/>
          <w:sz w:val="24"/>
          <w:szCs w:val="24"/>
        </w:rPr>
        <w:t xml:space="preserve">2, del lineamiento 8 para el Acceso a la Información Pública a través de la Gestión Documental y Archivos. </w:t>
      </w:r>
    </w:p>
    <w:p w14:paraId="420AD370" w14:textId="77777777" w:rsidR="000F51B6" w:rsidRPr="000F51B6" w:rsidRDefault="000F51B6" w:rsidP="004C429B">
      <w:pPr>
        <w:spacing w:line="480" w:lineRule="auto"/>
        <w:ind w:firstLine="720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>Y para hacerlo de conocimiento general se extiende la presente acta.</w:t>
      </w:r>
    </w:p>
    <w:p w14:paraId="1698A03C" w14:textId="77777777" w:rsid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847E341" w14:textId="77777777" w:rsidR="000F51B6" w:rsidRPr="000F51B6" w:rsidRDefault="000F51B6" w:rsidP="000F51B6">
      <w:pPr>
        <w:jc w:val="center"/>
        <w:rPr>
          <w:rFonts w:ascii="Century Gothic" w:hAnsi="Century Gothic"/>
          <w:sz w:val="24"/>
          <w:szCs w:val="24"/>
        </w:rPr>
      </w:pPr>
    </w:p>
    <w:p w14:paraId="78E61D0F" w14:textId="1A0DBB63" w:rsidR="006C5288" w:rsidRPr="005C20A0" w:rsidRDefault="005C20A0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Licda. Evelyn Urania Narayana</w:t>
      </w:r>
    </w:p>
    <w:p w14:paraId="1BDA73A6" w14:textId="13282000" w:rsidR="005C20A0" w:rsidRPr="005C20A0" w:rsidRDefault="005C20A0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Orantes Hernández</w:t>
      </w:r>
    </w:p>
    <w:p w14:paraId="2EF5D0BF" w14:textId="0A34E0D0" w:rsidR="006C5288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 xml:space="preserve">Oficial de Información </w:t>
      </w:r>
    </w:p>
    <w:p w14:paraId="3507E04E" w14:textId="49565931" w:rsidR="005C20A0" w:rsidRPr="005C20A0" w:rsidRDefault="005C20A0" w:rsidP="005C20A0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Unidad de Acceso a la Información Pública</w:t>
      </w:r>
    </w:p>
    <w:p w14:paraId="2755F273" w14:textId="59D899F1" w:rsidR="008E179F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Alcaldía Municipal de San Rafael Cedros</w:t>
      </w:r>
    </w:p>
    <w:p w14:paraId="5B8502F0" w14:textId="50A8AFD4" w:rsidR="00FD5BE7" w:rsidRPr="005C20A0" w:rsidRDefault="00FD5BE7" w:rsidP="00FD5BE7">
      <w:pPr>
        <w:rPr>
          <w:rFonts w:ascii="Century Gothic" w:hAnsi="Century Gothic"/>
          <w:b/>
          <w:bCs/>
          <w:sz w:val="24"/>
          <w:szCs w:val="24"/>
        </w:rPr>
      </w:pPr>
    </w:p>
    <w:sectPr w:rsidR="00FD5BE7" w:rsidRPr="005C20A0" w:rsidSect="00342187">
      <w:headerReference w:type="default" r:id="rId10"/>
      <w:footerReference w:type="default" r:id="rId11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42DE4" w14:textId="77777777" w:rsidR="00890CFE" w:rsidRDefault="00890CFE" w:rsidP="00012065">
      <w:pPr>
        <w:spacing w:after="0" w:line="240" w:lineRule="auto"/>
      </w:pPr>
      <w:r>
        <w:separator/>
      </w:r>
    </w:p>
  </w:endnote>
  <w:endnote w:type="continuationSeparator" w:id="0">
    <w:p w14:paraId="57D3FDA3" w14:textId="77777777" w:rsidR="00890CFE" w:rsidRDefault="00890CFE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E1DA6" w14:textId="77777777" w:rsidR="009B6A66" w:rsidRDefault="009B6A66">
    <w:pPr>
      <w:pStyle w:val="Piedepgina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EA6566D" wp14:editId="6E4E57DB">
              <wp:simplePos x="0" y="0"/>
              <wp:positionH relativeFrom="column">
                <wp:posOffset>46990</wp:posOffset>
              </wp:positionH>
              <wp:positionV relativeFrom="paragraph">
                <wp:posOffset>-18746</wp:posOffset>
              </wp:positionV>
              <wp:extent cx="5391150" cy="0"/>
              <wp:effectExtent l="0" t="0" r="19050" b="1905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8379D4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pt,-1.5pt" to="428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8D589B" wp14:editId="1F8D0974">
              <wp:simplePos x="0" y="0"/>
              <wp:positionH relativeFrom="margin">
                <wp:posOffset>46051</wp:posOffset>
              </wp:positionH>
              <wp:positionV relativeFrom="paragraph">
                <wp:posOffset>-45720</wp:posOffset>
              </wp:positionV>
              <wp:extent cx="5391150" cy="0"/>
              <wp:effectExtent l="0" t="0" r="19050" b="1905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DE0C5A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65pt,-3.6pt" to="428.1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" strokecolor="#5b9bd5 [3204]" strokeweight="1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DC7BA" w14:textId="77777777" w:rsidR="00890CFE" w:rsidRDefault="00890CFE" w:rsidP="00012065">
      <w:pPr>
        <w:spacing w:after="0" w:line="240" w:lineRule="auto"/>
      </w:pPr>
      <w:r>
        <w:separator/>
      </w:r>
    </w:p>
  </w:footnote>
  <w:footnote w:type="continuationSeparator" w:id="0">
    <w:p w14:paraId="35D34951" w14:textId="77777777" w:rsidR="00890CFE" w:rsidRDefault="00890CFE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CDF5E" w14:textId="0E595AD5" w:rsidR="009B6A66" w:rsidRPr="00012065" w:rsidRDefault="00811527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w:drawing>
        <wp:anchor distT="0" distB="0" distL="114300" distR="114300" simplePos="0" relativeHeight="251659776" behindDoc="1" locked="0" layoutInCell="1" allowOverlap="1" wp14:anchorId="388FC138" wp14:editId="2A9DBF8A">
          <wp:simplePos x="0" y="0"/>
          <wp:positionH relativeFrom="column">
            <wp:posOffset>5615940</wp:posOffset>
          </wp:positionH>
          <wp:positionV relativeFrom="paragraph">
            <wp:posOffset>-205105</wp:posOffset>
          </wp:positionV>
          <wp:extent cx="658495" cy="518160"/>
          <wp:effectExtent l="0" t="0" r="8255" b="0"/>
          <wp:wrapNone/>
          <wp:docPr id="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6A66"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628FF6" wp14:editId="1239B9F2">
              <wp:simplePos x="0" y="0"/>
              <wp:positionH relativeFrom="column">
                <wp:posOffset>-4115</wp:posOffset>
              </wp:positionH>
              <wp:positionV relativeFrom="paragraph">
                <wp:posOffset>260985</wp:posOffset>
              </wp:positionV>
              <wp:extent cx="5391303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8FEAEF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0.55pt" to="424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BHOMbZ3QAAAAcBAAAPAAAAAAAA&#10;AAAAAAAAACAEAABkcnMvZG93bnJldi54bWxQSwUGAAAAAAQABADzAAAAKgUAAAAA&#10;" strokecolor="#5b9bd5 [3204]" strokeweight="1pt">
              <v:stroke joinstyle="miter"/>
            </v:line>
          </w:pict>
        </mc:Fallback>
      </mc:AlternateContent>
    </w:r>
    <w:r w:rsidR="009B6A66"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B9F29C4" wp14:editId="14FE4552">
              <wp:simplePos x="0" y="0"/>
              <wp:positionH relativeFrom="column">
                <wp:posOffset>-4802</wp:posOffset>
              </wp:positionH>
              <wp:positionV relativeFrom="paragraph">
                <wp:posOffset>223392</wp:posOffset>
              </wp:positionV>
              <wp:extent cx="5391303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767807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.6pt" to="424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" strokecolor="#5b9bd5 [3204]" strokeweight="1pt">
              <v:stroke joinstyle="miter"/>
            </v:line>
          </w:pict>
        </mc:Fallback>
      </mc:AlternateContent>
    </w:r>
    <w:r w:rsidR="009B6A66" w:rsidRPr="00012065">
      <w:rPr>
        <w:rFonts w:ascii="Century Gothic" w:hAnsi="Century Gothic"/>
      </w:rPr>
      <w:t>UNIDAD DE ACCESO A LA INFORMACION PUBLICA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6505A"/>
    <w:multiLevelType w:val="multilevel"/>
    <w:tmpl w:val="B190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63799"/>
    <w:multiLevelType w:val="multilevel"/>
    <w:tmpl w:val="45C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67EA6"/>
    <w:multiLevelType w:val="multilevel"/>
    <w:tmpl w:val="FC1A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63CE3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A1DAC"/>
    <w:multiLevelType w:val="hybridMultilevel"/>
    <w:tmpl w:val="0DFE4A8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D0CBA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E1BF8"/>
    <w:multiLevelType w:val="multilevel"/>
    <w:tmpl w:val="5B50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4619E8"/>
    <w:multiLevelType w:val="multilevel"/>
    <w:tmpl w:val="2346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9D64E7"/>
    <w:multiLevelType w:val="hybridMultilevel"/>
    <w:tmpl w:val="5778FE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32CB8"/>
    <w:multiLevelType w:val="hybridMultilevel"/>
    <w:tmpl w:val="A3521D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02F13"/>
    <w:multiLevelType w:val="hybridMultilevel"/>
    <w:tmpl w:val="522028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80891"/>
    <w:multiLevelType w:val="multilevel"/>
    <w:tmpl w:val="AFB0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50491E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557EF"/>
    <w:multiLevelType w:val="multilevel"/>
    <w:tmpl w:val="7B1C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D5197C"/>
    <w:multiLevelType w:val="hybridMultilevel"/>
    <w:tmpl w:val="D57CA5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B34C1"/>
    <w:multiLevelType w:val="multilevel"/>
    <w:tmpl w:val="0646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EA574B"/>
    <w:multiLevelType w:val="hybridMultilevel"/>
    <w:tmpl w:val="1E90D0F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958C6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7381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E2CB9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D0177"/>
    <w:multiLevelType w:val="hybridMultilevel"/>
    <w:tmpl w:val="CB726E0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80B6F"/>
    <w:multiLevelType w:val="hybridMultilevel"/>
    <w:tmpl w:val="856AC4B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14E55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96C53"/>
    <w:multiLevelType w:val="hybridMultilevel"/>
    <w:tmpl w:val="DA9C481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42021"/>
    <w:multiLevelType w:val="hybridMultilevel"/>
    <w:tmpl w:val="8364185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A537D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44B01"/>
    <w:multiLevelType w:val="multilevel"/>
    <w:tmpl w:val="3A0E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86120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F911E7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1E64E2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552A4F"/>
    <w:multiLevelType w:val="hybridMultilevel"/>
    <w:tmpl w:val="51CA26D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C2DBD"/>
    <w:multiLevelType w:val="multilevel"/>
    <w:tmpl w:val="F0C4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DE530A"/>
    <w:multiLevelType w:val="hybridMultilevel"/>
    <w:tmpl w:val="C0C003A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1"/>
  </w:num>
  <w:num w:numId="3">
    <w:abstractNumId w:val="19"/>
  </w:num>
  <w:num w:numId="4">
    <w:abstractNumId w:val="18"/>
  </w:num>
  <w:num w:numId="5">
    <w:abstractNumId w:val="29"/>
  </w:num>
  <w:num w:numId="6">
    <w:abstractNumId w:val="4"/>
  </w:num>
  <w:num w:numId="7">
    <w:abstractNumId w:val="11"/>
  </w:num>
  <w:num w:numId="8">
    <w:abstractNumId w:val="33"/>
  </w:num>
  <w:num w:numId="9">
    <w:abstractNumId w:val="0"/>
  </w:num>
  <w:num w:numId="10">
    <w:abstractNumId w:val="26"/>
  </w:num>
  <w:num w:numId="11">
    <w:abstractNumId w:val="23"/>
  </w:num>
  <w:num w:numId="12">
    <w:abstractNumId w:val="30"/>
  </w:num>
  <w:num w:numId="13">
    <w:abstractNumId w:val="20"/>
  </w:num>
  <w:num w:numId="14">
    <w:abstractNumId w:val="10"/>
  </w:num>
  <w:num w:numId="15">
    <w:abstractNumId w:val="6"/>
  </w:num>
  <w:num w:numId="16">
    <w:abstractNumId w:val="13"/>
  </w:num>
  <w:num w:numId="17">
    <w:abstractNumId w:val="12"/>
  </w:num>
  <w:num w:numId="18">
    <w:abstractNumId w:val="16"/>
  </w:num>
  <w:num w:numId="19">
    <w:abstractNumId w:val="7"/>
  </w:num>
  <w:num w:numId="20">
    <w:abstractNumId w:val="1"/>
  </w:num>
  <w:num w:numId="21">
    <w:abstractNumId w:val="3"/>
  </w:num>
  <w:num w:numId="22">
    <w:abstractNumId w:val="8"/>
  </w:num>
  <w:num w:numId="23">
    <w:abstractNumId w:val="14"/>
  </w:num>
  <w:num w:numId="24">
    <w:abstractNumId w:val="32"/>
  </w:num>
  <w:num w:numId="25">
    <w:abstractNumId w:val="27"/>
  </w:num>
  <w:num w:numId="26">
    <w:abstractNumId w:val="2"/>
  </w:num>
  <w:num w:numId="27">
    <w:abstractNumId w:val="25"/>
  </w:num>
  <w:num w:numId="28">
    <w:abstractNumId w:val="17"/>
  </w:num>
  <w:num w:numId="29">
    <w:abstractNumId w:val="22"/>
  </w:num>
  <w:num w:numId="30">
    <w:abstractNumId w:val="5"/>
  </w:num>
  <w:num w:numId="31">
    <w:abstractNumId w:val="15"/>
  </w:num>
  <w:num w:numId="32">
    <w:abstractNumId w:val="21"/>
  </w:num>
  <w:num w:numId="33">
    <w:abstractNumId w:val="24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3762"/>
    <w:rsid w:val="00012065"/>
    <w:rsid w:val="00067523"/>
    <w:rsid w:val="000B6F5A"/>
    <w:rsid w:val="000F0F9E"/>
    <w:rsid w:val="000F51B6"/>
    <w:rsid w:val="00125EC6"/>
    <w:rsid w:val="00163CDA"/>
    <w:rsid w:val="00164E75"/>
    <w:rsid w:val="001757F6"/>
    <w:rsid w:val="001B4659"/>
    <w:rsid w:val="001E6DCF"/>
    <w:rsid w:val="002326B4"/>
    <w:rsid w:val="00236029"/>
    <w:rsid w:val="00271F86"/>
    <w:rsid w:val="00286C26"/>
    <w:rsid w:val="002E5BD6"/>
    <w:rsid w:val="00313403"/>
    <w:rsid w:val="00342187"/>
    <w:rsid w:val="0035737A"/>
    <w:rsid w:val="00382A27"/>
    <w:rsid w:val="00396D5D"/>
    <w:rsid w:val="003B388C"/>
    <w:rsid w:val="003C73EB"/>
    <w:rsid w:val="003F1480"/>
    <w:rsid w:val="00400974"/>
    <w:rsid w:val="00402136"/>
    <w:rsid w:val="0040594D"/>
    <w:rsid w:val="0048233A"/>
    <w:rsid w:val="0048513C"/>
    <w:rsid w:val="004C1911"/>
    <w:rsid w:val="004C2F5B"/>
    <w:rsid w:val="004C429B"/>
    <w:rsid w:val="004D0226"/>
    <w:rsid w:val="004F506E"/>
    <w:rsid w:val="00591B4F"/>
    <w:rsid w:val="005C20A0"/>
    <w:rsid w:val="005D5A24"/>
    <w:rsid w:val="005E1B34"/>
    <w:rsid w:val="005E3623"/>
    <w:rsid w:val="005F1EA4"/>
    <w:rsid w:val="00602777"/>
    <w:rsid w:val="00603168"/>
    <w:rsid w:val="00617558"/>
    <w:rsid w:val="00620033"/>
    <w:rsid w:val="006813D0"/>
    <w:rsid w:val="00690682"/>
    <w:rsid w:val="006C5288"/>
    <w:rsid w:val="006F11C3"/>
    <w:rsid w:val="00773036"/>
    <w:rsid w:val="00796C87"/>
    <w:rsid w:val="007A3269"/>
    <w:rsid w:val="007F4273"/>
    <w:rsid w:val="00811527"/>
    <w:rsid w:val="00824BC0"/>
    <w:rsid w:val="0082755F"/>
    <w:rsid w:val="00855778"/>
    <w:rsid w:val="008650CD"/>
    <w:rsid w:val="00875EC1"/>
    <w:rsid w:val="008837E5"/>
    <w:rsid w:val="00890CFE"/>
    <w:rsid w:val="008A37D8"/>
    <w:rsid w:val="008B6607"/>
    <w:rsid w:val="008C5C1E"/>
    <w:rsid w:val="008E179F"/>
    <w:rsid w:val="008E1E29"/>
    <w:rsid w:val="00902F37"/>
    <w:rsid w:val="00972CE0"/>
    <w:rsid w:val="00994104"/>
    <w:rsid w:val="009A3160"/>
    <w:rsid w:val="009B2D15"/>
    <w:rsid w:val="009B6A66"/>
    <w:rsid w:val="009D7925"/>
    <w:rsid w:val="009D7D5F"/>
    <w:rsid w:val="009F3DDA"/>
    <w:rsid w:val="00A90D24"/>
    <w:rsid w:val="00B072C8"/>
    <w:rsid w:val="00B13A5C"/>
    <w:rsid w:val="00B270E4"/>
    <w:rsid w:val="00B36851"/>
    <w:rsid w:val="00B874BE"/>
    <w:rsid w:val="00B87C22"/>
    <w:rsid w:val="00BA1DA8"/>
    <w:rsid w:val="00BE251D"/>
    <w:rsid w:val="00C35FB1"/>
    <w:rsid w:val="00C37261"/>
    <w:rsid w:val="00C6529B"/>
    <w:rsid w:val="00CC706A"/>
    <w:rsid w:val="00CC79B6"/>
    <w:rsid w:val="00CD6C5F"/>
    <w:rsid w:val="00D23204"/>
    <w:rsid w:val="00D31E96"/>
    <w:rsid w:val="00D55126"/>
    <w:rsid w:val="00DB187D"/>
    <w:rsid w:val="00E21C89"/>
    <w:rsid w:val="00E5062F"/>
    <w:rsid w:val="00E56B1D"/>
    <w:rsid w:val="00E71126"/>
    <w:rsid w:val="00EA2E25"/>
    <w:rsid w:val="00EA4FAC"/>
    <w:rsid w:val="00EF4281"/>
    <w:rsid w:val="00F13AC8"/>
    <w:rsid w:val="00F351E7"/>
    <w:rsid w:val="00F426C4"/>
    <w:rsid w:val="00F5099C"/>
    <w:rsid w:val="00FA0E69"/>
    <w:rsid w:val="00FB0053"/>
    <w:rsid w:val="00FB0B97"/>
    <w:rsid w:val="00FD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FE40A6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9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  <w:style w:type="paragraph" w:styleId="Sinespaciado">
    <w:name w:val="No Spacing"/>
    <w:uiPriority w:val="1"/>
    <w:qFormat/>
    <w:rsid w:val="000F51B6"/>
    <w:pPr>
      <w:spacing w:after="0" w:line="240" w:lineRule="auto"/>
    </w:pPr>
    <w:rPr>
      <w:lang w:val="es-SV"/>
    </w:rPr>
  </w:style>
  <w:style w:type="character" w:styleId="Mencinsinresolver">
    <w:name w:val="Unresolved Mention"/>
    <w:basedOn w:val="Fuentedeprrafopredeter"/>
    <w:uiPriority w:val="99"/>
    <w:semiHidden/>
    <w:unhideWhenUsed/>
    <w:rsid w:val="004C42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nsparencia.gob.sv/institutions/amsrc/documents/375032/downloa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transparencia.gob.sv/institutions/amsrc/documents/375604/downloa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47646-5250-435C-9F1D-0AE2B186B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173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UAIP - OFICIAL</cp:lastModifiedBy>
  <cp:revision>5</cp:revision>
  <cp:lastPrinted>2020-10-27T21:16:00Z</cp:lastPrinted>
  <dcterms:created xsi:type="dcterms:W3CDTF">2021-11-04T15:22:00Z</dcterms:created>
  <dcterms:modified xsi:type="dcterms:W3CDTF">2022-02-09T20:51:00Z</dcterms:modified>
</cp:coreProperties>
</file>