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2F2F3F" w14:textId="77777777" w:rsidR="00265457" w:rsidRDefault="00265457" w:rsidP="00265457">
      <w:pPr>
        <w:spacing w:after="0" w:line="240" w:lineRule="auto"/>
        <w:jc w:val="right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UAIP-SRC-RESOL-SOL-15-2020</w:t>
      </w:r>
    </w:p>
    <w:p w14:paraId="0534527E" w14:textId="77777777" w:rsidR="00265457" w:rsidRDefault="00265457" w:rsidP="00265457">
      <w:pPr>
        <w:spacing w:after="0" w:line="240" w:lineRule="auto"/>
        <w:jc w:val="right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 xml:space="preserve">Unidad de Acceso a la Información Pública, </w:t>
      </w:r>
    </w:p>
    <w:p w14:paraId="434D4DA4" w14:textId="77777777" w:rsidR="00265457" w:rsidRDefault="00265457" w:rsidP="00265457">
      <w:pPr>
        <w:spacing w:after="0" w:line="240" w:lineRule="auto"/>
        <w:jc w:val="right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 xml:space="preserve">Alcaldía de San Rafael Cedros,  </w:t>
      </w:r>
    </w:p>
    <w:p w14:paraId="07A86A51" w14:textId="77777777" w:rsidR="00265457" w:rsidRDefault="00265457" w:rsidP="00265457">
      <w:pPr>
        <w:spacing w:after="0" w:line="240" w:lineRule="auto"/>
        <w:jc w:val="right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22 de septiembre de 2020</w:t>
      </w:r>
    </w:p>
    <w:p w14:paraId="630361D1" w14:textId="77777777" w:rsidR="00265457" w:rsidRDefault="00265457" w:rsidP="00265457">
      <w:pPr>
        <w:spacing w:after="0" w:line="240" w:lineRule="auto"/>
        <w:jc w:val="right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RESOLUCIÓN</w:t>
      </w:r>
    </w:p>
    <w:p w14:paraId="13CC7834" w14:textId="77777777" w:rsidR="00265457" w:rsidRDefault="00265457" w:rsidP="00265457">
      <w:pPr>
        <w:spacing w:after="0" w:line="240" w:lineRule="auto"/>
        <w:rPr>
          <w:rFonts w:ascii="Century Gothic" w:hAnsi="Century Gothic"/>
          <w:b/>
          <w:bCs/>
          <w:sz w:val="24"/>
        </w:rPr>
      </w:pPr>
    </w:p>
    <w:p w14:paraId="262C1E3C" w14:textId="39C41A93" w:rsidR="00265457" w:rsidRPr="00C37B76" w:rsidRDefault="007C15DE" w:rsidP="00265457">
      <w:pPr>
        <w:spacing w:after="0" w:line="240" w:lineRule="auto"/>
        <w:rPr>
          <w:rFonts w:ascii="Century Gothic" w:hAnsi="Century Gothic"/>
          <w:b/>
          <w:bCs/>
          <w:sz w:val="24"/>
        </w:rPr>
      </w:pPr>
      <w:r>
        <w:rPr>
          <w:rFonts w:ascii="Century Gothic" w:hAnsi="Century Gothic"/>
          <w:b/>
          <w:bCs/>
          <w:sz w:val="24"/>
        </w:rPr>
        <w:t>Xx. Xxxxx Xxxxxxx Xxxxxx Xxxxxxxx</w:t>
      </w:r>
    </w:p>
    <w:p w14:paraId="0590B83F" w14:textId="77777777" w:rsidR="00265457" w:rsidRDefault="00265457" w:rsidP="00265457">
      <w:pPr>
        <w:spacing w:after="0" w:line="240" w:lineRule="auto"/>
        <w:rPr>
          <w:rFonts w:ascii="Century Gothic" w:hAnsi="Century Gothic"/>
          <w:b/>
          <w:bCs/>
          <w:sz w:val="24"/>
        </w:rPr>
      </w:pPr>
      <w:r w:rsidRPr="00C37B76">
        <w:rPr>
          <w:rFonts w:ascii="Century Gothic" w:hAnsi="Century Gothic"/>
          <w:b/>
          <w:bCs/>
          <w:sz w:val="24"/>
        </w:rPr>
        <w:t>Presente</w:t>
      </w:r>
      <w:r>
        <w:rPr>
          <w:rFonts w:ascii="Century Gothic" w:hAnsi="Century Gothic"/>
          <w:b/>
          <w:bCs/>
          <w:sz w:val="24"/>
        </w:rPr>
        <w:t xml:space="preserve">.- </w:t>
      </w:r>
      <w:r w:rsidRPr="00C37B76">
        <w:rPr>
          <w:rFonts w:ascii="Century Gothic" w:hAnsi="Century Gothic"/>
          <w:b/>
          <w:bCs/>
          <w:sz w:val="24"/>
        </w:rPr>
        <w:t xml:space="preserve"> </w:t>
      </w:r>
    </w:p>
    <w:p w14:paraId="1BF8F133" w14:textId="77777777" w:rsidR="00265457" w:rsidRPr="000A3A55" w:rsidRDefault="00265457" w:rsidP="00265457">
      <w:pPr>
        <w:spacing w:after="0" w:line="240" w:lineRule="auto"/>
        <w:rPr>
          <w:rFonts w:ascii="Century Gothic" w:hAnsi="Century Gothic"/>
          <w:b/>
          <w:bCs/>
          <w:sz w:val="24"/>
        </w:rPr>
      </w:pPr>
    </w:p>
    <w:p w14:paraId="384A00BA" w14:textId="77777777" w:rsidR="00265457" w:rsidRDefault="00265457" w:rsidP="00265457">
      <w:pPr>
        <w:spacing w:line="360" w:lineRule="auto"/>
        <w:ind w:firstLine="72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Respondiendo a su solicitud de información recibida vía correo electrónico en la unidad de acceso a la información pública (UAIP) el primero de julio de dos mil veinte.</w:t>
      </w:r>
    </w:p>
    <w:p w14:paraId="0A0AB930" w14:textId="77777777" w:rsidR="00265457" w:rsidRDefault="00265457" w:rsidP="00265457">
      <w:pPr>
        <w:spacing w:line="36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En base al Art. 66 del a Ley de Acceso a la Información se admitió la solicitud y se lleva a cabo el respectivo proceso de solicitud a las unidades competentes. </w:t>
      </w:r>
    </w:p>
    <w:p w14:paraId="586F2334" w14:textId="77777777" w:rsidR="00265457" w:rsidRDefault="00265457" w:rsidP="00265457">
      <w:pPr>
        <w:spacing w:line="36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La suscrita oficial, resuelve: concédase el acceso a la información referente a: </w:t>
      </w:r>
    </w:p>
    <w:p w14:paraId="3AA667A5" w14:textId="77777777" w:rsidR="00265457" w:rsidRPr="00B82223" w:rsidRDefault="00265457" w:rsidP="00265457">
      <w:pPr>
        <w:pStyle w:val="Prrafodelista"/>
        <w:numPr>
          <w:ilvl w:val="0"/>
          <w:numId w:val="48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B82223">
        <w:rPr>
          <w:rFonts w:ascii="Century Gothic" w:hAnsi="Century Gothic"/>
          <w:sz w:val="20"/>
          <w:szCs w:val="20"/>
        </w:rPr>
        <w:t xml:space="preserve">Plan de trabajo de la Unidad de Contravenciones administrativas. </w:t>
      </w:r>
    </w:p>
    <w:p w14:paraId="1CE2F20C" w14:textId="77777777" w:rsidR="00265457" w:rsidRPr="00B82223" w:rsidRDefault="00265457" w:rsidP="00265457">
      <w:pPr>
        <w:pStyle w:val="Prrafodelista"/>
        <w:numPr>
          <w:ilvl w:val="0"/>
          <w:numId w:val="48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B82223">
        <w:rPr>
          <w:rFonts w:ascii="Century Gothic" w:hAnsi="Century Gothic"/>
          <w:sz w:val="20"/>
          <w:szCs w:val="20"/>
        </w:rPr>
        <w:t xml:space="preserve">Memoria de labores e informes de la unidad de Contravenciones administrativas. </w:t>
      </w:r>
    </w:p>
    <w:p w14:paraId="496C6650" w14:textId="77777777" w:rsidR="00265457" w:rsidRPr="00B82223" w:rsidRDefault="00265457" w:rsidP="00265457">
      <w:pPr>
        <w:pStyle w:val="Prrafodelista"/>
        <w:numPr>
          <w:ilvl w:val="0"/>
          <w:numId w:val="48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B82223">
        <w:rPr>
          <w:rFonts w:ascii="Century Gothic" w:hAnsi="Century Gothic"/>
          <w:sz w:val="20"/>
          <w:szCs w:val="20"/>
        </w:rPr>
        <w:t>Memoria de labores de la Unidad del CAM</w:t>
      </w:r>
    </w:p>
    <w:p w14:paraId="5E9DEE7E" w14:textId="77777777" w:rsidR="00265457" w:rsidRDefault="00265457" w:rsidP="00265457">
      <w:pPr>
        <w:pStyle w:val="Prrafodelista"/>
        <w:numPr>
          <w:ilvl w:val="0"/>
          <w:numId w:val="48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Actas sobre actuaciones de mecanismo de participación ciudadana en el periodo mayo 2018 hasta septiembre 2020.</w:t>
      </w:r>
    </w:p>
    <w:p w14:paraId="6BD33309" w14:textId="77777777" w:rsidR="00265457" w:rsidRDefault="00265457" w:rsidP="00265457">
      <w:pPr>
        <w:spacing w:line="360" w:lineRule="auto"/>
        <w:jc w:val="both"/>
        <w:rPr>
          <w:rFonts w:ascii="Century Gothic" w:hAnsi="Century Gothic"/>
          <w:sz w:val="24"/>
        </w:rPr>
      </w:pPr>
      <w:r w:rsidRPr="00BB0C03">
        <w:rPr>
          <w:rFonts w:ascii="Century Gothic" w:hAnsi="Century Gothic"/>
          <w:sz w:val="24"/>
        </w:rPr>
        <w:t xml:space="preserve">Por lo tanto, se envía, al correo proporcionado para tal efecto la siguiente documentación. </w:t>
      </w:r>
    </w:p>
    <w:p w14:paraId="2059C341" w14:textId="77777777" w:rsidR="00265457" w:rsidRDefault="00265457" w:rsidP="00265457">
      <w:pPr>
        <w:spacing w:line="36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Memoria de Labores de Contravenciones febrero – septiembre 2020</w:t>
      </w:r>
    </w:p>
    <w:p w14:paraId="2EA44624" w14:textId="77777777" w:rsidR="00265457" w:rsidRDefault="00265457" w:rsidP="00265457">
      <w:pPr>
        <w:spacing w:line="36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Plan de Trabajo de Contraventoria.</w:t>
      </w:r>
    </w:p>
    <w:p w14:paraId="6F23AF63" w14:textId="77777777" w:rsidR="00265457" w:rsidRDefault="00265457" w:rsidP="00265457">
      <w:pPr>
        <w:spacing w:line="36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Memoria de labores del CAM</w:t>
      </w:r>
    </w:p>
    <w:p w14:paraId="470C60C6" w14:textId="77777777" w:rsidR="00265457" w:rsidRDefault="00265457" w:rsidP="00265457">
      <w:pPr>
        <w:spacing w:line="36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Notas recibidas por la Unidad de Promoción Social y Comunicaciones donde manifiesta que no existen actas de mecanismos de participación levantadas por el secretario municipal. </w:t>
      </w:r>
    </w:p>
    <w:p w14:paraId="40E976DA" w14:textId="77777777" w:rsidR="00265457" w:rsidRDefault="00265457" w:rsidP="00265457">
      <w:pPr>
        <w:spacing w:line="36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lastRenderedPageBreak/>
        <w:t xml:space="preserve">Acta de inexistencia de actas levantadas por el secretario municipal año 2018 y 2019 las encontrara en el siguiente link </w:t>
      </w:r>
      <w:hyperlink r:id="rId7" w:history="1">
        <w:r w:rsidRPr="00850323">
          <w:rPr>
            <w:rStyle w:val="Hipervnculo"/>
            <w:rFonts w:ascii="Century Gothic" w:hAnsi="Century Gothic"/>
            <w:sz w:val="16"/>
            <w:szCs w:val="16"/>
          </w:rPr>
          <w:t>https://www.transparencia.gob.sv/institutions/amsrc/documents/actas-que-levante-el-secretario-municipal-sobre-los-mecanismos-de-participacion-ciudadana</w:t>
        </w:r>
      </w:hyperlink>
      <w:r>
        <w:rPr>
          <w:rFonts w:ascii="Century Gothic" w:hAnsi="Century Gothic"/>
          <w:sz w:val="24"/>
        </w:rPr>
        <w:t xml:space="preserve"> </w:t>
      </w:r>
    </w:p>
    <w:p w14:paraId="57816AC0" w14:textId="77777777" w:rsidR="00265457" w:rsidRDefault="00265457" w:rsidP="00265457">
      <w:pPr>
        <w:spacing w:line="360" w:lineRule="auto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Listado de proyectos ejecutados 2019 lo encontrara en el siguiente link  </w:t>
      </w:r>
      <w:hyperlink r:id="rId8" w:history="1">
        <w:r w:rsidRPr="00850323">
          <w:rPr>
            <w:rStyle w:val="Hipervnculo"/>
            <w:rFonts w:ascii="Century Gothic" w:hAnsi="Century Gothic"/>
            <w:sz w:val="16"/>
            <w:szCs w:val="16"/>
          </w:rPr>
          <w:t>https://www.transparencia.gob.sv/institutions/amsrc/executing_works</w:t>
        </w:r>
      </w:hyperlink>
      <w:r>
        <w:rPr>
          <w:rFonts w:ascii="Century Gothic" w:hAnsi="Century Gothic"/>
          <w:sz w:val="24"/>
        </w:rPr>
        <w:t xml:space="preserve"> </w:t>
      </w:r>
    </w:p>
    <w:p w14:paraId="1AE934A0" w14:textId="77777777" w:rsidR="00265457" w:rsidRDefault="00265457" w:rsidP="00265457">
      <w:pPr>
        <w:spacing w:line="360" w:lineRule="auto"/>
        <w:rPr>
          <w:rFonts w:ascii="Century Gothic" w:hAnsi="Century Gothic"/>
          <w:sz w:val="24"/>
        </w:rPr>
      </w:pPr>
    </w:p>
    <w:p w14:paraId="7F948EAD" w14:textId="77777777" w:rsidR="00265457" w:rsidRDefault="00265457" w:rsidP="00265457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3A518A">
        <w:rPr>
          <w:rFonts w:ascii="Century Gothic" w:hAnsi="Century Gothic"/>
          <w:sz w:val="24"/>
        </w:rPr>
        <w:t xml:space="preserve">En lo referente a listado de obras ejecutadas de mayo – diciembre 2018 y enero a septiembre 2020, así </w:t>
      </w:r>
      <w:r w:rsidRPr="003A518A">
        <w:rPr>
          <w:rFonts w:ascii="Century Gothic" w:hAnsi="Century Gothic"/>
          <w:sz w:val="24"/>
          <w:szCs w:val="24"/>
        </w:rPr>
        <w:t xml:space="preserve">como Procedimientos de contratación relacionados al pago de alimentación </w:t>
      </w:r>
      <w:r>
        <w:rPr>
          <w:rFonts w:ascii="Century Gothic" w:hAnsi="Century Gothic"/>
          <w:sz w:val="24"/>
          <w:szCs w:val="24"/>
        </w:rPr>
        <w:t xml:space="preserve">de </w:t>
      </w:r>
      <w:r w:rsidRPr="003A518A">
        <w:rPr>
          <w:rFonts w:ascii="Century Gothic" w:hAnsi="Century Gothic"/>
          <w:sz w:val="24"/>
          <w:szCs w:val="24"/>
        </w:rPr>
        <w:t>mayo 2018 al 29 de septiembre de 2020</w:t>
      </w:r>
      <w:r>
        <w:rPr>
          <w:rFonts w:ascii="Century Gothic" w:hAnsi="Century Gothic"/>
          <w:sz w:val="24"/>
          <w:szCs w:val="24"/>
        </w:rPr>
        <w:t xml:space="preserve"> la Unidad de Contrataciones aún no ha hecho entrega de la información. Al recibirse se hará entrega de ella. </w:t>
      </w:r>
    </w:p>
    <w:p w14:paraId="013277AA" w14:textId="77777777" w:rsidR="00265457" w:rsidRPr="000F63C2" w:rsidRDefault="00265457" w:rsidP="00265457">
      <w:pPr>
        <w:spacing w:line="360" w:lineRule="auto"/>
        <w:ind w:firstLine="720"/>
        <w:jc w:val="both"/>
        <w:rPr>
          <w:rFonts w:ascii="Century Gothic" w:hAnsi="Century Gothic"/>
          <w:sz w:val="24"/>
          <w:szCs w:val="24"/>
        </w:rPr>
      </w:pPr>
      <w:r w:rsidRPr="000F63C2">
        <w:rPr>
          <w:rFonts w:ascii="Century Gothic" w:hAnsi="Century Gothic"/>
          <w:sz w:val="24"/>
          <w:szCs w:val="24"/>
        </w:rPr>
        <w:t xml:space="preserve">Con base al Art. 72 de la LAIP </w:t>
      </w:r>
      <w:r w:rsidRPr="000F63C2">
        <w:rPr>
          <w:rFonts w:ascii="Century Gothic" w:hAnsi="Century Gothic"/>
          <w:b/>
          <w:bCs/>
          <w:sz w:val="24"/>
          <w:szCs w:val="24"/>
        </w:rPr>
        <w:t>Resolución del Oficial “</w:t>
      </w:r>
      <w:r w:rsidRPr="000F63C2">
        <w:rPr>
          <w:rFonts w:ascii="Century Gothic" w:hAnsi="Century Gothic"/>
          <w:i/>
          <w:iCs/>
          <w:sz w:val="24"/>
          <w:szCs w:val="24"/>
        </w:rPr>
        <w:t xml:space="preserve">…en caso de ser negativa la resolución, siempre deberá fundar y motivar las razones de la denegatoria de la información e indicar al solicitante el recurso que podrá interponer ante el Instituto”. </w:t>
      </w:r>
    </w:p>
    <w:p w14:paraId="08256F21" w14:textId="77777777" w:rsidR="00265457" w:rsidRPr="000F63C2" w:rsidRDefault="00265457" w:rsidP="00265457">
      <w:pPr>
        <w:spacing w:line="360" w:lineRule="auto"/>
        <w:ind w:firstLine="720"/>
        <w:jc w:val="both"/>
        <w:rPr>
          <w:rFonts w:ascii="Century Gothic" w:hAnsi="Century Gothic" w:cs="Times New Roman"/>
          <w:i/>
          <w:iCs/>
          <w:sz w:val="24"/>
          <w:szCs w:val="24"/>
        </w:rPr>
      </w:pPr>
      <w:r w:rsidRPr="000F63C2">
        <w:rPr>
          <w:rFonts w:ascii="Century Gothic" w:hAnsi="Century Gothic" w:cs="Times New Roman"/>
          <w:i/>
          <w:iCs/>
          <w:sz w:val="24"/>
          <w:szCs w:val="24"/>
        </w:rPr>
        <w:t xml:space="preserve">A continuación, detallo la base legal, y el proceso a seguir si el solicitante desea interponer un recurso de apelación. </w:t>
      </w:r>
    </w:p>
    <w:p w14:paraId="1F250B93" w14:textId="77777777" w:rsidR="00265457" w:rsidRDefault="00265457" w:rsidP="00265457">
      <w:pPr>
        <w:spacing w:line="360" w:lineRule="auto"/>
        <w:jc w:val="both"/>
        <w:rPr>
          <w:rFonts w:ascii="Century Gothic" w:hAnsi="Century Gothic" w:cs="Times New Roman"/>
          <w:sz w:val="24"/>
          <w:szCs w:val="24"/>
        </w:rPr>
      </w:pPr>
    </w:p>
    <w:p w14:paraId="6B39C96C" w14:textId="77777777" w:rsidR="00265457" w:rsidRPr="00722CF7" w:rsidRDefault="00265457" w:rsidP="00265457">
      <w:pPr>
        <w:spacing w:line="360" w:lineRule="auto"/>
        <w:jc w:val="both"/>
        <w:rPr>
          <w:rFonts w:ascii="Century Gothic" w:hAnsi="Century Gothic" w:cs="Times New Roman"/>
          <w:i/>
          <w:iCs/>
          <w:sz w:val="24"/>
          <w:szCs w:val="24"/>
        </w:rPr>
      </w:pPr>
      <w:r w:rsidRPr="00722CF7">
        <w:rPr>
          <w:rFonts w:ascii="Century Gothic" w:hAnsi="Century Gothic" w:cs="Times New Roman"/>
          <w:i/>
          <w:iCs/>
          <w:sz w:val="24"/>
          <w:szCs w:val="24"/>
        </w:rPr>
        <w:t>Interposición del Recurso de Apelación</w:t>
      </w:r>
      <w:r>
        <w:rPr>
          <w:rFonts w:ascii="Century Gothic" w:hAnsi="Century Gothic" w:cs="Times New Roman"/>
          <w:i/>
          <w:iCs/>
          <w:sz w:val="24"/>
          <w:szCs w:val="24"/>
        </w:rPr>
        <w:t>:</w:t>
      </w:r>
    </w:p>
    <w:p w14:paraId="22F13394" w14:textId="77777777" w:rsidR="00265457" w:rsidRPr="000F63C2" w:rsidRDefault="00265457" w:rsidP="00265457">
      <w:pPr>
        <w:pStyle w:val="Prrafodelista"/>
        <w:spacing w:line="360" w:lineRule="auto"/>
        <w:jc w:val="both"/>
        <w:rPr>
          <w:rFonts w:ascii="Century Gothic" w:hAnsi="Century Gothic" w:cs="Times New Roman"/>
          <w:sz w:val="24"/>
          <w:szCs w:val="24"/>
        </w:rPr>
      </w:pPr>
      <w:r w:rsidRPr="000F63C2">
        <w:rPr>
          <w:rFonts w:ascii="Century Gothic" w:hAnsi="Century Gothic" w:cs="Times New Roman"/>
          <w:sz w:val="24"/>
          <w:szCs w:val="24"/>
        </w:rPr>
        <w:t xml:space="preserve">Art. 82.- El solicitante a quien el Oficial de Acceso a la Información haya notificado resolución que deniegue el acceso a la información, afirme la inexistencia de esta o incurra en cualquiera de las causales enunciadas en el artículo siguiente, podrá interponer por sí o a través de su representante el recurso de apelación ante el Instituto o ante el Oficial de Información que haya conocido del asunto dentro de los cinco días hábiles siguientes a la fecha de la notificación. </w:t>
      </w:r>
    </w:p>
    <w:p w14:paraId="1A546FE3" w14:textId="77777777" w:rsidR="00265457" w:rsidRPr="000F63C2" w:rsidRDefault="00265457" w:rsidP="00265457">
      <w:pPr>
        <w:pStyle w:val="Prrafodelista"/>
        <w:spacing w:line="360" w:lineRule="auto"/>
        <w:jc w:val="both"/>
        <w:rPr>
          <w:rFonts w:ascii="Century Gothic" w:hAnsi="Century Gothic" w:cs="Times New Roman"/>
          <w:sz w:val="24"/>
          <w:szCs w:val="24"/>
        </w:rPr>
      </w:pPr>
      <w:r w:rsidRPr="000F63C2">
        <w:rPr>
          <w:rFonts w:ascii="Century Gothic" w:hAnsi="Century Gothic" w:cs="Times New Roman"/>
          <w:sz w:val="24"/>
          <w:szCs w:val="24"/>
        </w:rPr>
        <w:lastRenderedPageBreak/>
        <w:t>Deberá presentarse el recurso por escrito, de forma libre o en los formularios que apruebe el Instituto. El Oficial de Información deberá remitir la petición y el expediente al Instituto a más tardar el siguiente día hábil de haberla recibido.</w:t>
      </w:r>
    </w:p>
    <w:p w14:paraId="34551701" w14:textId="77777777" w:rsidR="00265457" w:rsidRDefault="00265457" w:rsidP="00265457">
      <w:pPr>
        <w:pStyle w:val="Prrafodelista"/>
        <w:spacing w:line="360" w:lineRule="auto"/>
        <w:jc w:val="both"/>
        <w:rPr>
          <w:rFonts w:ascii="Century Gothic" w:hAnsi="Century Gothic" w:cs="Times New Roman"/>
          <w:sz w:val="24"/>
          <w:szCs w:val="24"/>
        </w:rPr>
      </w:pPr>
    </w:p>
    <w:p w14:paraId="3F605C67" w14:textId="77777777" w:rsidR="00265457" w:rsidRPr="000F63C2" w:rsidRDefault="00265457" w:rsidP="00265457">
      <w:pPr>
        <w:pStyle w:val="Prrafodelista"/>
        <w:spacing w:line="360" w:lineRule="auto"/>
        <w:jc w:val="both"/>
        <w:rPr>
          <w:rFonts w:ascii="Century Gothic" w:hAnsi="Century Gothic" w:cs="Times New Roman"/>
          <w:sz w:val="24"/>
          <w:szCs w:val="24"/>
        </w:rPr>
      </w:pPr>
      <w:r w:rsidRPr="000F63C2">
        <w:rPr>
          <w:rFonts w:ascii="Century Gothic" w:hAnsi="Century Gothic" w:cs="Times New Roman"/>
          <w:sz w:val="24"/>
          <w:szCs w:val="24"/>
        </w:rPr>
        <w:t>Art. 83.- El recurso de apelación también procederá cuando:</w:t>
      </w:r>
    </w:p>
    <w:p w14:paraId="6EC5A97E" w14:textId="77777777" w:rsidR="00265457" w:rsidRPr="000F63C2" w:rsidRDefault="00265457" w:rsidP="00265457">
      <w:pPr>
        <w:pStyle w:val="Prrafodelista"/>
        <w:spacing w:line="360" w:lineRule="auto"/>
        <w:jc w:val="both"/>
        <w:rPr>
          <w:rFonts w:ascii="Century Gothic" w:hAnsi="Century Gothic" w:cs="Times New Roman"/>
          <w:sz w:val="24"/>
          <w:szCs w:val="24"/>
        </w:rPr>
      </w:pPr>
      <w:r w:rsidRPr="000F63C2">
        <w:rPr>
          <w:rFonts w:ascii="Century Gothic" w:hAnsi="Century Gothic" w:cs="Times New Roman"/>
          <w:sz w:val="24"/>
          <w:szCs w:val="24"/>
        </w:rPr>
        <w:t>c. El solicitante no esté conforme con el tiempo, el costo o la modalidad de entrega.</w:t>
      </w:r>
    </w:p>
    <w:p w14:paraId="30042AF4" w14:textId="77777777" w:rsidR="00265457" w:rsidRPr="000F63C2" w:rsidRDefault="00265457" w:rsidP="00265457">
      <w:pPr>
        <w:pStyle w:val="Prrafodelista"/>
        <w:spacing w:line="360" w:lineRule="auto"/>
        <w:jc w:val="both"/>
        <w:rPr>
          <w:rFonts w:ascii="Century Gothic" w:hAnsi="Century Gothic" w:cs="Times New Roman"/>
          <w:sz w:val="24"/>
          <w:szCs w:val="24"/>
        </w:rPr>
      </w:pPr>
      <w:r w:rsidRPr="000F63C2">
        <w:rPr>
          <w:rFonts w:ascii="Century Gothic" w:hAnsi="Century Gothic" w:cs="Times New Roman"/>
          <w:sz w:val="24"/>
          <w:szCs w:val="24"/>
        </w:rPr>
        <w:t>d. La información entregada sea incompleta o no corresponda a la información requerida en la solicitud.</w:t>
      </w:r>
    </w:p>
    <w:p w14:paraId="2AF0A6F0" w14:textId="77777777" w:rsidR="00265457" w:rsidRDefault="00265457" w:rsidP="00265457">
      <w:pPr>
        <w:pStyle w:val="Prrafodelista"/>
        <w:spacing w:line="360" w:lineRule="auto"/>
        <w:jc w:val="both"/>
        <w:rPr>
          <w:rFonts w:ascii="Century Gothic" w:hAnsi="Century Gothic" w:cs="Times New Roman"/>
          <w:sz w:val="24"/>
          <w:szCs w:val="24"/>
        </w:rPr>
      </w:pPr>
    </w:p>
    <w:p w14:paraId="6D4105EC" w14:textId="77777777" w:rsidR="00265457" w:rsidRPr="000F63C2" w:rsidRDefault="00265457" w:rsidP="00265457">
      <w:pPr>
        <w:pStyle w:val="Prrafodelista"/>
        <w:spacing w:line="360" w:lineRule="auto"/>
        <w:jc w:val="both"/>
        <w:rPr>
          <w:rFonts w:ascii="Century Gothic" w:hAnsi="Century Gothic" w:cs="Times New Roman"/>
          <w:sz w:val="24"/>
          <w:szCs w:val="24"/>
        </w:rPr>
      </w:pPr>
      <w:r w:rsidRPr="000F63C2">
        <w:rPr>
          <w:rFonts w:ascii="Century Gothic" w:hAnsi="Century Gothic" w:cs="Times New Roman"/>
          <w:sz w:val="24"/>
          <w:szCs w:val="24"/>
        </w:rPr>
        <w:t>Escrito de Interposición del Recurso de Apelación</w:t>
      </w:r>
    </w:p>
    <w:p w14:paraId="728D2C89" w14:textId="77777777" w:rsidR="00265457" w:rsidRPr="000F63C2" w:rsidRDefault="00265457" w:rsidP="00265457">
      <w:pPr>
        <w:pStyle w:val="Prrafodelista"/>
        <w:spacing w:line="360" w:lineRule="auto"/>
        <w:jc w:val="both"/>
        <w:rPr>
          <w:rFonts w:ascii="Century Gothic" w:hAnsi="Century Gothic" w:cs="Times New Roman"/>
          <w:sz w:val="24"/>
          <w:szCs w:val="24"/>
        </w:rPr>
      </w:pPr>
      <w:r w:rsidRPr="000F63C2">
        <w:rPr>
          <w:rFonts w:ascii="Century Gothic" w:hAnsi="Century Gothic" w:cs="Times New Roman"/>
          <w:sz w:val="24"/>
          <w:szCs w:val="24"/>
        </w:rPr>
        <w:t>Art. 84.-El escrito de interposición del recurso de apelación y los formularios aprobados por el Instituto deberán contener:</w:t>
      </w:r>
    </w:p>
    <w:p w14:paraId="2CF28313" w14:textId="77777777" w:rsidR="00265457" w:rsidRPr="000F63C2" w:rsidRDefault="00265457" w:rsidP="00265457">
      <w:pPr>
        <w:pStyle w:val="Prrafodelista"/>
        <w:spacing w:line="360" w:lineRule="auto"/>
        <w:jc w:val="both"/>
        <w:rPr>
          <w:rFonts w:ascii="Century Gothic" w:hAnsi="Century Gothic" w:cs="Times New Roman"/>
          <w:sz w:val="24"/>
          <w:szCs w:val="24"/>
        </w:rPr>
      </w:pPr>
      <w:r w:rsidRPr="000F63C2">
        <w:rPr>
          <w:rFonts w:ascii="Century Gothic" w:hAnsi="Century Gothic" w:cs="Times New Roman"/>
          <w:sz w:val="24"/>
          <w:szCs w:val="24"/>
        </w:rPr>
        <w:t>a. La dependencia o entidad ante la cual se presentó la solicitud.</w:t>
      </w:r>
    </w:p>
    <w:p w14:paraId="6E9B3AC1" w14:textId="77777777" w:rsidR="00265457" w:rsidRPr="000F63C2" w:rsidRDefault="00265457" w:rsidP="00265457">
      <w:pPr>
        <w:pStyle w:val="Prrafodelista"/>
        <w:spacing w:line="360" w:lineRule="auto"/>
        <w:jc w:val="both"/>
        <w:rPr>
          <w:rFonts w:ascii="Century Gothic" w:hAnsi="Century Gothic" w:cs="Times New Roman"/>
          <w:sz w:val="24"/>
          <w:szCs w:val="24"/>
        </w:rPr>
      </w:pPr>
      <w:r w:rsidRPr="000F63C2">
        <w:rPr>
          <w:rFonts w:ascii="Century Gothic" w:hAnsi="Century Gothic" w:cs="Times New Roman"/>
          <w:sz w:val="24"/>
          <w:szCs w:val="24"/>
        </w:rPr>
        <w:t>b. El nombre del recurrente y el lugar o medio para recibir notificaciones, fax o correo electrónico.</w:t>
      </w:r>
    </w:p>
    <w:p w14:paraId="5429E98F" w14:textId="77777777" w:rsidR="00265457" w:rsidRPr="000F63C2" w:rsidRDefault="00265457" w:rsidP="00265457">
      <w:pPr>
        <w:pStyle w:val="Prrafodelista"/>
        <w:spacing w:line="360" w:lineRule="auto"/>
        <w:jc w:val="both"/>
        <w:rPr>
          <w:rFonts w:ascii="Century Gothic" w:hAnsi="Century Gothic" w:cs="Times New Roman"/>
          <w:sz w:val="24"/>
          <w:szCs w:val="24"/>
        </w:rPr>
      </w:pPr>
      <w:r w:rsidRPr="000F63C2">
        <w:rPr>
          <w:rFonts w:ascii="Century Gothic" w:hAnsi="Century Gothic" w:cs="Times New Roman"/>
          <w:sz w:val="24"/>
          <w:szCs w:val="24"/>
        </w:rPr>
        <w:t>c. La fecha en que se notificó al recurrente.</w:t>
      </w:r>
    </w:p>
    <w:p w14:paraId="66F1FF12" w14:textId="77777777" w:rsidR="00265457" w:rsidRPr="000F63C2" w:rsidRDefault="00265457" w:rsidP="00265457">
      <w:pPr>
        <w:pStyle w:val="Prrafodelista"/>
        <w:spacing w:line="360" w:lineRule="auto"/>
        <w:jc w:val="both"/>
        <w:rPr>
          <w:rFonts w:ascii="Century Gothic" w:hAnsi="Century Gothic" w:cs="Times New Roman"/>
          <w:sz w:val="24"/>
          <w:szCs w:val="24"/>
        </w:rPr>
      </w:pPr>
      <w:r w:rsidRPr="000F63C2">
        <w:rPr>
          <w:rFonts w:ascii="Century Gothic" w:hAnsi="Century Gothic" w:cs="Times New Roman"/>
          <w:sz w:val="24"/>
          <w:szCs w:val="24"/>
        </w:rPr>
        <w:t>d. El acto recurrido y los puntos petitorios.</w:t>
      </w:r>
    </w:p>
    <w:p w14:paraId="6CD3337F" w14:textId="77777777" w:rsidR="00265457" w:rsidRPr="003A518A" w:rsidRDefault="00265457" w:rsidP="00265457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7D6B86CB" w14:textId="77777777" w:rsidR="00265457" w:rsidRDefault="00265457" w:rsidP="00265457">
      <w:pPr>
        <w:spacing w:line="360" w:lineRule="auto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Atte. </w:t>
      </w:r>
    </w:p>
    <w:p w14:paraId="211F1D19" w14:textId="77777777" w:rsidR="00265457" w:rsidRDefault="00265457" w:rsidP="00265457">
      <w:pPr>
        <w:spacing w:line="360" w:lineRule="auto"/>
        <w:rPr>
          <w:rFonts w:ascii="Century Gothic" w:hAnsi="Century Gothic"/>
          <w:sz w:val="24"/>
        </w:rPr>
      </w:pPr>
    </w:p>
    <w:p w14:paraId="41AC0B98" w14:textId="77777777" w:rsidR="00265457" w:rsidRPr="00675EEF" w:rsidRDefault="00265457" w:rsidP="00265457">
      <w:pPr>
        <w:spacing w:after="0" w:line="240" w:lineRule="auto"/>
        <w:jc w:val="center"/>
        <w:rPr>
          <w:rFonts w:ascii="Century Gothic" w:hAnsi="Century Gothic"/>
          <w:b/>
          <w:bCs/>
          <w:sz w:val="24"/>
        </w:rPr>
      </w:pPr>
      <w:r w:rsidRPr="00675EEF">
        <w:rPr>
          <w:rFonts w:ascii="Century Gothic" w:hAnsi="Century Gothic"/>
          <w:b/>
          <w:bCs/>
          <w:sz w:val="24"/>
        </w:rPr>
        <w:t xml:space="preserve">Licda. Evelyn Urania Narayana Orantes Hernández </w:t>
      </w:r>
    </w:p>
    <w:p w14:paraId="004592F3" w14:textId="77777777" w:rsidR="00265457" w:rsidRDefault="00265457" w:rsidP="00265457">
      <w:pPr>
        <w:spacing w:after="0" w:line="240" w:lineRule="auto"/>
        <w:jc w:val="center"/>
        <w:rPr>
          <w:rFonts w:ascii="Century Gothic" w:hAnsi="Century Gothic"/>
          <w:b/>
          <w:bCs/>
          <w:sz w:val="24"/>
        </w:rPr>
      </w:pPr>
      <w:r w:rsidRPr="00675EEF">
        <w:rPr>
          <w:rFonts w:ascii="Century Gothic" w:hAnsi="Century Gothic"/>
          <w:b/>
          <w:bCs/>
          <w:sz w:val="24"/>
        </w:rPr>
        <w:t xml:space="preserve">Oficial de Información </w:t>
      </w:r>
    </w:p>
    <w:p w14:paraId="082327C2" w14:textId="77777777" w:rsidR="00265457" w:rsidRPr="00675EEF" w:rsidRDefault="00265457" w:rsidP="00265457">
      <w:pPr>
        <w:spacing w:after="0" w:line="240" w:lineRule="auto"/>
        <w:jc w:val="center"/>
        <w:rPr>
          <w:rFonts w:ascii="Century Gothic" w:hAnsi="Century Gothic"/>
          <w:b/>
          <w:bCs/>
          <w:sz w:val="24"/>
        </w:rPr>
      </w:pPr>
      <w:r>
        <w:rPr>
          <w:rFonts w:ascii="Century Gothic" w:hAnsi="Century Gothic"/>
          <w:b/>
          <w:bCs/>
          <w:sz w:val="24"/>
        </w:rPr>
        <w:t>Unidad de Acceso a la Información Pública UAIP</w:t>
      </w:r>
    </w:p>
    <w:p w14:paraId="47B8E8C9" w14:textId="77777777" w:rsidR="00265457" w:rsidRPr="00B957F8" w:rsidRDefault="00265457" w:rsidP="00265457">
      <w:pPr>
        <w:spacing w:after="0" w:line="240" w:lineRule="auto"/>
        <w:jc w:val="center"/>
        <w:rPr>
          <w:rFonts w:ascii="Century Gothic" w:hAnsi="Century Gothic"/>
          <w:b/>
          <w:bCs/>
          <w:sz w:val="24"/>
        </w:rPr>
      </w:pPr>
      <w:r w:rsidRPr="00675EEF">
        <w:rPr>
          <w:rFonts w:ascii="Century Gothic" w:hAnsi="Century Gothic"/>
          <w:b/>
          <w:bCs/>
          <w:sz w:val="24"/>
        </w:rPr>
        <w:t>Alcaldía Municipal de San Rafael Cedros</w:t>
      </w:r>
    </w:p>
    <w:p w14:paraId="7566C547" w14:textId="79A2A5FA" w:rsidR="00AF4BD9" w:rsidRPr="00850EC6" w:rsidRDefault="00AF4BD9" w:rsidP="00850EC6"/>
    <w:sectPr w:rsidR="00AF4BD9" w:rsidRPr="00850EC6" w:rsidSect="00265457">
      <w:headerReference w:type="default" r:id="rId9"/>
      <w:footerReference w:type="default" r:id="rId10"/>
      <w:type w:val="continuous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FC1B50" w14:textId="77777777" w:rsidR="00193B2F" w:rsidRDefault="00193B2F" w:rsidP="00012065">
      <w:pPr>
        <w:spacing w:after="0" w:line="240" w:lineRule="auto"/>
      </w:pPr>
      <w:r>
        <w:separator/>
      </w:r>
    </w:p>
  </w:endnote>
  <w:endnote w:type="continuationSeparator" w:id="0">
    <w:p w14:paraId="35BD7B6F" w14:textId="77777777" w:rsidR="00193B2F" w:rsidRDefault="00193B2F" w:rsidP="0001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DF349F" w14:textId="62C1A51B" w:rsidR="0028497A" w:rsidRDefault="0028497A" w:rsidP="0028497A">
    <w:pPr>
      <w:pStyle w:val="Piedepgina"/>
      <w:jc w:val="right"/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4AF01AB" wp14:editId="10C311B8">
              <wp:simplePos x="0" y="0"/>
              <wp:positionH relativeFrom="column">
                <wp:posOffset>103505</wp:posOffset>
              </wp:positionH>
              <wp:positionV relativeFrom="paragraph">
                <wp:posOffset>77722</wp:posOffset>
              </wp:positionV>
              <wp:extent cx="5391150" cy="0"/>
              <wp:effectExtent l="0" t="0" r="0" b="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7814F66" id="Conector recto 10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15pt,6.1pt" to="432.6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8F9AA14" wp14:editId="7FEB1BCD">
              <wp:simplePos x="0" y="0"/>
              <wp:positionH relativeFrom="margin">
                <wp:align>center</wp:align>
              </wp:positionH>
              <wp:positionV relativeFrom="paragraph">
                <wp:posOffset>47014</wp:posOffset>
              </wp:positionV>
              <wp:extent cx="5391150" cy="0"/>
              <wp:effectExtent l="0" t="0" r="0" b="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2945BD3" id="Conector recto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.7pt" to="424.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" strokecolor="#5b9bd5 [3204]" strokeweight="1pt">
              <v:stroke joinstyle="miter"/>
              <w10:wrap anchorx="margin"/>
            </v:line>
          </w:pict>
        </mc:Fallback>
      </mc:AlternateContent>
    </w:r>
  </w:p>
  <w:p w14:paraId="014F4AEE" w14:textId="33907191" w:rsidR="0028497A" w:rsidRPr="00265457" w:rsidRDefault="00193B2F" w:rsidP="0028497A">
    <w:pPr>
      <w:pStyle w:val="Piedepgina"/>
      <w:jc w:val="right"/>
      <w:rPr>
        <w:b/>
        <w:bCs/>
        <w:color w:val="2E74B5" w:themeColor="accent1" w:themeShade="BF"/>
      </w:rPr>
    </w:pPr>
    <w:hyperlink r:id="rId1" w:history="1">
      <w:r w:rsidR="00265457" w:rsidRPr="00F55FD2">
        <w:rPr>
          <w:rStyle w:val="Hipervnculo"/>
          <w:b/>
          <w:bCs/>
        </w:rPr>
        <w:t>uaip@sanrafaelcedros.gob.sv</w:t>
      </w:r>
    </w:hyperlink>
    <w:r w:rsidR="0028497A" w:rsidRPr="00265457">
      <w:rPr>
        <w:b/>
        <w:bCs/>
        <w:color w:val="2E74B5" w:themeColor="accent1" w:themeShade="BF"/>
      </w:rPr>
      <w:t xml:space="preserve">   </w:t>
    </w:r>
  </w:p>
  <w:p w14:paraId="00B946FB" w14:textId="71A72933" w:rsidR="00AF4BD9" w:rsidRPr="00265457" w:rsidRDefault="00AF4BD9" w:rsidP="00AF4BD9">
    <w:pPr>
      <w:pStyle w:val="Piedepgina"/>
      <w:jc w:val="right"/>
      <w:rPr>
        <w:b/>
        <w:bCs/>
        <w:color w:val="2E74B5" w:themeColor="accent1" w:themeShade="BF"/>
        <w:u w:val="single"/>
      </w:rPr>
    </w:pPr>
    <w:r w:rsidRPr="00265457">
      <w:rPr>
        <w:b/>
        <w:bCs/>
        <w:color w:val="2E74B5" w:themeColor="accent1" w:themeShade="BF"/>
        <w:u w:val="single"/>
      </w:rPr>
      <w:t>sanrafaelcedros.gob.sv</w:t>
    </w:r>
  </w:p>
  <w:p w14:paraId="34E47CC5" w14:textId="4B5C7D3D" w:rsidR="00850EC6" w:rsidRPr="00AF4BD9" w:rsidRDefault="00850EC6" w:rsidP="00AF4BD9">
    <w:pPr>
      <w:pStyle w:val="Piedepgina"/>
      <w:jc w:val="right"/>
      <w:rPr>
        <w:rStyle w:val="Hipervnculo"/>
        <w:b/>
        <w:bCs/>
        <w:color w:val="2E74B5" w:themeColor="accent1" w:themeShade="BF"/>
        <w:lang w:val="en-US"/>
      </w:rPr>
    </w:pPr>
    <w:r>
      <w:rPr>
        <w:b/>
        <w:bCs/>
        <w:color w:val="2E74B5" w:themeColor="accent1" w:themeShade="BF"/>
        <w:u w:val="single"/>
        <w:lang w:val="en-US"/>
      </w:rPr>
      <w:t>2347-2020</w:t>
    </w:r>
  </w:p>
  <w:p w14:paraId="65045FB6" w14:textId="3D2D1C6B" w:rsidR="009B6A66" w:rsidRPr="00AF4BD9" w:rsidRDefault="009B6A66" w:rsidP="00AF4BD9">
    <w:pPr>
      <w:pStyle w:val="Piedepgina"/>
      <w:jc w:val="right"/>
      <w:rPr>
        <w:b/>
        <w:bCs/>
        <w:color w:val="2E74B5" w:themeColor="accent1" w:themeShade="BF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2A173C" w14:textId="77777777" w:rsidR="00193B2F" w:rsidRDefault="00193B2F" w:rsidP="00012065">
      <w:pPr>
        <w:spacing w:after="0" w:line="240" w:lineRule="auto"/>
      </w:pPr>
      <w:r>
        <w:separator/>
      </w:r>
    </w:p>
  </w:footnote>
  <w:footnote w:type="continuationSeparator" w:id="0">
    <w:p w14:paraId="4CB7CC61" w14:textId="77777777" w:rsidR="00193B2F" w:rsidRDefault="00193B2F" w:rsidP="0001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CF8D8D" w14:textId="77777777" w:rsidR="009B6A66" w:rsidRPr="00012065" w:rsidRDefault="009B6A66" w:rsidP="00012065">
    <w:pPr>
      <w:pStyle w:val="Encabezado"/>
      <w:jc w:val="center"/>
      <w:rPr>
        <w:rFonts w:ascii="Century Gothic" w:hAnsi="Century Gothic"/>
      </w:rPr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4DB40DE" wp14:editId="3A543B32">
              <wp:simplePos x="0" y="0"/>
              <wp:positionH relativeFrom="column">
                <wp:posOffset>-4115</wp:posOffset>
              </wp:positionH>
              <wp:positionV relativeFrom="paragraph">
                <wp:posOffset>260985</wp:posOffset>
              </wp:positionV>
              <wp:extent cx="5391303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1CB274" id="Conector recto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20.55pt" to="424.2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C6FCFFE" wp14:editId="788B3383">
              <wp:simplePos x="0" y="0"/>
              <wp:positionH relativeFrom="column">
                <wp:posOffset>-4802</wp:posOffset>
              </wp:positionH>
              <wp:positionV relativeFrom="paragraph">
                <wp:posOffset>223392</wp:posOffset>
              </wp:positionV>
              <wp:extent cx="5391303" cy="0"/>
              <wp:effectExtent l="0" t="0" r="1905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AC6AB20" id="Conector recto 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7.6pt" to="424.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" strokecolor="#5b9bd5 [3204]" strokeweight="1pt">
              <v:stroke joinstyle="miter"/>
            </v:line>
          </w:pict>
        </mc:Fallback>
      </mc:AlternateContent>
    </w:r>
    <w:r w:rsidR="00DB3F09">
      <w:rPr>
        <w:rFonts w:ascii="Century Gothic" w:hAnsi="Century Gothic"/>
        <w:noProof/>
        <w:lang w:eastAsia="es-SV"/>
      </w:rPr>
      <w:drawing>
        <wp:anchor distT="0" distB="0" distL="114300" distR="114300" simplePos="0" relativeHeight="251659776" behindDoc="1" locked="0" layoutInCell="1" allowOverlap="1" wp14:anchorId="0F442C8B" wp14:editId="456D7F07">
          <wp:simplePos x="0" y="0"/>
          <wp:positionH relativeFrom="column">
            <wp:posOffset>5612765</wp:posOffset>
          </wp:positionH>
          <wp:positionV relativeFrom="paragraph">
            <wp:posOffset>-332105</wp:posOffset>
          </wp:positionV>
          <wp:extent cx="658495" cy="779780"/>
          <wp:effectExtent l="0" t="0" r="8255" b="1270"/>
          <wp:wrapNone/>
          <wp:docPr id="6" name="Imagen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495" cy="779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2065">
      <w:rPr>
        <w:rFonts w:ascii="Century Gothic" w:hAnsi="Century Gothic"/>
      </w:rPr>
      <w:t>UNIDAD DE ACCESO A LA INFORMACION PUBLICA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A8507A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6505A"/>
    <w:multiLevelType w:val="multilevel"/>
    <w:tmpl w:val="B190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63799"/>
    <w:multiLevelType w:val="multilevel"/>
    <w:tmpl w:val="45CA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071DF2"/>
    <w:multiLevelType w:val="hybridMultilevel"/>
    <w:tmpl w:val="18EA25C2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67EA6"/>
    <w:multiLevelType w:val="multilevel"/>
    <w:tmpl w:val="FC1A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D63CE3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A1DAC"/>
    <w:multiLevelType w:val="hybridMultilevel"/>
    <w:tmpl w:val="0DFE4A8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D0CBA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383658"/>
    <w:multiLevelType w:val="hybridMultilevel"/>
    <w:tmpl w:val="8CF4F754"/>
    <w:lvl w:ilvl="0" w:tplc="12C4393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0E1BF8"/>
    <w:multiLevelType w:val="multilevel"/>
    <w:tmpl w:val="5B50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4619E8"/>
    <w:multiLevelType w:val="multilevel"/>
    <w:tmpl w:val="2346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9D64E7"/>
    <w:multiLevelType w:val="hybridMultilevel"/>
    <w:tmpl w:val="5778FE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B32CB8"/>
    <w:multiLevelType w:val="hybridMultilevel"/>
    <w:tmpl w:val="A3521D9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502F13"/>
    <w:multiLevelType w:val="hybridMultilevel"/>
    <w:tmpl w:val="522028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9E5D85"/>
    <w:multiLevelType w:val="hybridMultilevel"/>
    <w:tmpl w:val="F7AC351A"/>
    <w:lvl w:ilvl="0" w:tplc="55DEA1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0132A9"/>
    <w:multiLevelType w:val="hybridMultilevel"/>
    <w:tmpl w:val="B92A1F8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B80891"/>
    <w:multiLevelType w:val="multilevel"/>
    <w:tmpl w:val="AFB0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5420F88"/>
    <w:multiLevelType w:val="hybridMultilevel"/>
    <w:tmpl w:val="B92A1F8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50491E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2479B7"/>
    <w:multiLevelType w:val="hybridMultilevel"/>
    <w:tmpl w:val="F144829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E557EF"/>
    <w:multiLevelType w:val="multilevel"/>
    <w:tmpl w:val="7B1C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0D5197C"/>
    <w:multiLevelType w:val="hybridMultilevel"/>
    <w:tmpl w:val="D57CA5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2B34C1"/>
    <w:multiLevelType w:val="multilevel"/>
    <w:tmpl w:val="06462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4A71594"/>
    <w:multiLevelType w:val="hybridMultilevel"/>
    <w:tmpl w:val="E90E6F8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B81AAD"/>
    <w:multiLevelType w:val="hybridMultilevel"/>
    <w:tmpl w:val="BA12BE3A"/>
    <w:lvl w:ilvl="0" w:tplc="FAA05F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AEA574B"/>
    <w:multiLevelType w:val="hybridMultilevel"/>
    <w:tmpl w:val="1E90D0F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A958C6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E7381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53209B"/>
    <w:multiLevelType w:val="hybridMultilevel"/>
    <w:tmpl w:val="99223532"/>
    <w:lvl w:ilvl="0" w:tplc="0FC41F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2546493"/>
    <w:multiLevelType w:val="hybridMultilevel"/>
    <w:tmpl w:val="5BB00662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FE2CB9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ED0177"/>
    <w:multiLevelType w:val="hybridMultilevel"/>
    <w:tmpl w:val="CB726E0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680B6F"/>
    <w:multiLevelType w:val="hybridMultilevel"/>
    <w:tmpl w:val="856AC4B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AF2009"/>
    <w:multiLevelType w:val="hybridMultilevel"/>
    <w:tmpl w:val="AC444892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C14E55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296C53"/>
    <w:multiLevelType w:val="hybridMultilevel"/>
    <w:tmpl w:val="DA9C481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142021"/>
    <w:multiLevelType w:val="hybridMultilevel"/>
    <w:tmpl w:val="8364185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AA537D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644B01"/>
    <w:multiLevelType w:val="multilevel"/>
    <w:tmpl w:val="3A0E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1425A8D"/>
    <w:multiLevelType w:val="hybridMultilevel"/>
    <w:tmpl w:val="3280A1EC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C86120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F911E7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1E64E2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C4396E"/>
    <w:multiLevelType w:val="hybridMultilevel"/>
    <w:tmpl w:val="E2E27614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552A4F"/>
    <w:multiLevelType w:val="hybridMultilevel"/>
    <w:tmpl w:val="51CA26DA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AC2DBD"/>
    <w:multiLevelType w:val="multilevel"/>
    <w:tmpl w:val="F0C4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EDE530A"/>
    <w:multiLevelType w:val="hybridMultilevel"/>
    <w:tmpl w:val="C0C003A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9F53F7"/>
    <w:multiLevelType w:val="hybridMultilevel"/>
    <w:tmpl w:val="90827716"/>
    <w:lvl w:ilvl="0" w:tplc="1A64D3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0"/>
  </w:num>
  <w:num w:numId="2">
    <w:abstractNumId w:val="44"/>
  </w:num>
  <w:num w:numId="3">
    <w:abstractNumId w:val="27"/>
  </w:num>
  <w:num w:numId="4">
    <w:abstractNumId w:val="26"/>
  </w:num>
  <w:num w:numId="5">
    <w:abstractNumId w:val="41"/>
  </w:num>
  <w:num w:numId="6">
    <w:abstractNumId w:val="5"/>
  </w:num>
  <w:num w:numId="7">
    <w:abstractNumId w:val="13"/>
  </w:num>
  <w:num w:numId="8">
    <w:abstractNumId w:val="46"/>
  </w:num>
  <w:num w:numId="9">
    <w:abstractNumId w:val="0"/>
  </w:num>
  <w:num w:numId="10">
    <w:abstractNumId w:val="37"/>
  </w:num>
  <w:num w:numId="11">
    <w:abstractNumId w:val="34"/>
  </w:num>
  <w:num w:numId="12">
    <w:abstractNumId w:val="42"/>
  </w:num>
  <w:num w:numId="13">
    <w:abstractNumId w:val="30"/>
  </w:num>
  <w:num w:numId="14">
    <w:abstractNumId w:val="12"/>
  </w:num>
  <w:num w:numId="15">
    <w:abstractNumId w:val="7"/>
  </w:num>
  <w:num w:numId="16">
    <w:abstractNumId w:val="18"/>
  </w:num>
  <w:num w:numId="17">
    <w:abstractNumId w:val="16"/>
  </w:num>
  <w:num w:numId="18">
    <w:abstractNumId w:val="22"/>
  </w:num>
  <w:num w:numId="19">
    <w:abstractNumId w:val="9"/>
  </w:num>
  <w:num w:numId="20">
    <w:abstractNumId w:val="1"/>
  </w:num>
  <w:num w:numId="21">
    <w:abstractNumId w:val="4"/>
  </w:num>
  <w:num w:numId="22">
    <w:abstractNumId w:val="10"/>
  </w:num>
  <w:num w:numId="23">
    <w:abstractNumId w:val="20"/>
  </w:num>
  <w:num w:numId="24">
    <w:abstractNumId w:val="45"/>
  </w:num>
  <w:num w:numId="25">
    <w:abstractNumId w:val="38"/>
  </w:num>
  <w:num w:numId="26">
    <w:abstractNumId w:val="2"/>
  </w:num>
  <w:num w:numId="27">
    <w:abstractNumId w:val="36"/>
  </w:num>
  <w:num w:numId="28">
    <w:abstractNumId w:val="25"/>
  </w:num>
  <w:num w:numId="29">
    <w:abstractNumId w:val="32"/>
  </w:num>
  <w:num w:numId="30">
    <w:abstractNumId w:val="6"/>
  </w:num>
  <w:num w:numId="31">
    <w:abstractNumId w:val="21"/>
  </w:num>
  <w:num w:numId="32">
    <w:abstractNumId w:val="31"/>
  </w:num>
  <w:num w:numId="33">
    <w:abstractNumId w:val="35"/>
  </w:num>
  <w:num w:numId="34">
    <w:abstractNumId w:val="11"/>
  </w:num>
  <w:num w:numId="35">
    <w:abstractNumId w:val="3"/>
  </w:num>
  <w:num w:numId="36">
    <w:abstractNumId w:val="39"/>
  </w:num>
  <w:num w:numId="37">
    <w:abstractNumId w:val="43"/>
  </w:num>
  <w:num w:numId="38">
    <w:abstractNumId w:val="23"/>
  </w:num>
  <w:num w:numId="39">
    <w:abstractNumId w:val="33"/>
  </w:num>
  <w:num w:numId="40">
    <w:abstractNumId w:val="24"/>
  </w:num>
  <w:num w:numId="41">
    <w:abstractNumId w:val="14"/>
  </w:num>
  <w:num w:numId="4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8"/>
  </w:num>
  <w:num w:numId="44">
    <w:abstractNumId w:val="15"/>
  </w:num>
  <w:num w:numId="45">
    <w:abstractNumId w:val="19"/>
  </w:num>
  <w:num w:numId="46">
    <w:abstractNumId w:val="8"/>
  </w:num>
  <w:num w:numId="47">
    <w:abstractNumId w:val="17"/>
  </w:num>
  <w:num w:numId="48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7D"/>
    <w:rsid w:val="000030C3"/>
    <w:rsid w:val="00003762"/>
    <w:rsid w:val="00004B3B"/>
    <w:rsid w:val="00012065"/>
    <w:rsid w:val="00067B31"/>
    <w:rsid w:val="00083E1C"/>
    <w:rsid w:val="000A3A55"/>
    <w:rsid w:val="000A5F55"/>
    <w:rsid w:val="000B6F5A"/>
    <w:rsid w:val="000F0F9E"/>
    <w:rsid w:val="001630B2"/>
    <w:rsid w:val="00163CDA"/>
    <w:rsid w:val="00164E75"/>
    <w:rsid w:val="00174E7B"/>
    <w:rsid w:val="001757F6"/>
    <w:rsid w:val="00182CC8"/>
    <w:rsid w:val="00185CAF"/>
    <w:rsid w:val="00193B2F"/>
    <w:rsid w:val="0019467F"/>
    <w:rsid w:val="001B4659"/>
    <w:rsid w:val="001E69B2"/>
    <w:rsid w:val="0022439F"/>
    <w:rsid w:val="00236029"/>
    <w:rsid w:val="00244971"/>
    <w:rsid w:val="00265457"/>
    <w:rsid w:val="00271B3C"/>
    <w:rsid w:val="00271F86"/>
    <w:rsid w:val="0028497A"/>
    <w:rsid w:val="00294074"/>
    <w:rsid w:val="002C5623"/>
    <w:rsid w:val="002E2639"/>
    <w:rsid w:val="002F4C2B"/>
    <w:rsid w:val="00313403"/>
    <w:rsid w:val="003247E0"/>
    <w:rsid w:val="00342187"/>
    <w:rsid w:val="0035737A"/>
    <w:rsid w:val="003707CF"/>
    <w:rsid w:val="0039463E"/>
    <w:rsid w:val="003A0CDA"/>
    <w:rsid w:val="003C73EB"/>
    <w:rsid w:val="003F1480"/>
    <w:rsid w:val="003F2F5B"/>
    <w:rsid w:val="00400974"/>
    <w:rsid w:val="0040594D"/>
    <w:rsid w:val="00411A26"/>
    <w:rsid w:val="00414058"/>
    <w:rsid w:val="00440902"/>
    <w:rsid w:val="0048233A"/>
    <w:rsid w:val="004B42C0"/>
    <w:rsid w:val="004C554B"/>
    <w:rsid w:val="004D0226"/>
    <w:rsid w:val="00525DD8"/>
    <w:rsid w:val="00584095"/>
    <w:rsid w:val="00593E79"/>
    <w:rsid w:val="005A44F0"/>
    <w:rsid w:val="005B085A"/>
    <w:rsid w:val="005B0BC8"/>
    <w:rsid w:val="005B5B6D"/>
    <w:rsid w:val="005C724A"/>
    <w:rsid w:val="005E3623"/>
    <w:rsid w:val="00604A9B"/>
    <w:rsid w:val="0067137B"/>
    <w:rsid w:val="00696217"/>
    <w:rsid w:val="006A37C5"/>
    <w:rsid w:val="006A7450"/>
    <w:rsid w:val="00732AB9"/>
    <w:rsid w:val="007457C0"/>
    <w:rsid w:val="00746029"/>
    <w:rsid w:val="00746AF0"/>
    <w:rsid w:val="007479AC"/>
    <w:rsid w:val="0076523B"/>
    <w:rsid w:val="00796C87"/>
    <w:rsid w:val="007A2E87"/>
    <w:rsid w:val="007A3269"/>
    <w:rsid w:val="007A44B5"/>
    <w:rsid w:val="007A4F5D"/>
    <w:rsid w:val="007C15DE"/>
    <w:rsid w:val="007F085F"/>
    <w:rsid w:val="007F4273"/>
    <w:rsid w:val="007F5333"/>
    <w:rsid w:val="00802BBB"/>
    <w:rsid w:val="00815203"/>
    <w:rsid w:val="00850EC6"/>
    <w:rsid w:val="00855778"/>
    <w:rsid w:val="008650CD"/>
    <w:rsid w:val="00875EC1"/>
    <w:rsid w:val="008837E5"/>
    <w:rsid w:val="008A37D8"/>
    <w:rsid w:val="008B6607"/>
    <w:rsid w:val="008C5C1E"/>
    <w:rsid w:val="008D6E6D"/>
    <w:rsid w:val="00902F37"/>
    <w:rsid w:val="00923C33"/>
    <w:rsid w:val="0097168D"/>
    <w:rsid w:val="00972CE0"/>
    <w:rsid w:val="00994104"/>
    <w:rsid w:val="00994962"/>
    <w:rsid w:val="009A0ABC"/>
    <w:rsid w:val="009B2D15"/>
    <w:rsid w:val="009B6A66"/>
    <w:rsid w:val="009D4285"/>
    <w:rsid w:val="009F299A"/>
    <w:rsid w:val="009F3DDA"/>
    <w:rsid w:val="00A04161"/>
    <w:rsid w:val="00A32F67"/>
    <w:rsid w:val="00A7050A"/>
    <w:rsid w:val="00A72F05"/>
    <w:rsid w:val="00A772C9"/>
    <w:rsid w:val="00A90D24"/>
    <w:rsid w:val="00A97B80"/>
    <w:rsid w:val="00AB7AD2"/>
    <w:rsid w:val="00AF4BD9"/>
    <w:rsid w:val="00B05758"/>
    <w:rsid w:val="00B70E4F"/>
    <w:rsid w:val="00B87C22"/>
    <w:rsid w:val="00BA1DA8"/>
    <w:rsid w:val="00BC7DC1"/>
    <w:rsid w:val="00BE11F5"/>
    <w:rsid w:val="00BE251D"/>
    <w:rsid w:val="00BF2542"/>
    <w:rsid w:val="00C17614"/>
    <w:rsid w:val="00C178C8"/>
    <w:rsid w:val="00C27ED0"/>
    <w:rsid w:val="00C35FB1"/>
    <w:rsid w:val="00C37261"/>
    <w:rsid w:val="00C54230"/>
    <w:rsid w:val="00CC706A"/>
    <w:rsid w:val="00CC79B6"/>
    <w:rsid w:val="00D01CB1"/>
    <w:rsid w:val="00D25412"/>
    <w:rsid w:val="00D439D5"/>
    <w:rsid w:val="00D55126"/>
    <w:rsid w:val="00D5613A"/>
    <w:rsid w:val="00D82A99"/>
    <w:rsid w:val="00DA0F29"/>
    <w:rsid w:val="00DB187D"/>
    <w:rsid w:val="00DB3F09"/>
    <w:rsid w:val="00DB78DA"/>
    <w:rsid w:val="00E21C89"/>
    <w:rsid w:val="00E23B6A"/>
    <w:rsid w:val="00E56B1D"/>
    <w:rsid w:val="00E71126"/>
    <w:rsid w:val="00EA2E25"/>
    <w:rsid w:val="00EA4FAC"/>
    <w:rsid w:val="00EE5D7C"/>
    <w:rsid w:val="00EE6409"/>
    <w:rsid w:val="00EF4281"/>
    <w:rsid w:val="00F13AC8"/>
    <w:rsid w:val="00F2298D"/>
    <w:rsid w:val="00F4732F"/>
    <w:rsid w:val="00F5099C"/>
    <w:rsid w:val="00F62EA2"/>
    <w:rsid w:val="00F81E57"/>
    <w:rsid w:val="00F95F9A"/>
    <w:rsid w:val="00FA0E69"/>
    <w:rsid w:val="00FA70F5"/>
    <w:rsid w:val="00FB0053"/>
    <w:rsid w:val="00FE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C2B15E"/>
  <w15:docId w15:val="{5E555F54-C3D2-4203-9F2B-B5CCD1FE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0F5"/>
    <w:pPr>
      <w:spacing w:line="256" w:lineRule="auto"/>
    </w:pPr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B2D15"/>
  </w:style>
  <w:style w:type="paragraph" w:styleId="Prrafodelista">
    <w:name w:val="List Paragraph"/>
    <w:basedOn w:val="Normal"/>
    <w:uiPriority w:val="34"/>
    <w:qFormat/>
    <w:rsid w:val="009B2D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065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065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2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51D"/>
    <w:rPr>
      <w:rFonts w:ascii="Segoe UI" w:hAnsi="Segoe UI" w:cs="Segoe UI"/>
      <w:sz w:val="18"/>
      <w:szCs w:val="18"/>
      <w:lang w:val="es-SV"/>
    </w:rPr>
  </w:style>
  <w:style w:type="paragraph" w:styleId="Listaconvietas">
    <w:name w:val="List Bullet"/>
    <w:basedOn w:val="Normal"/>
    <w:uiPriority w:val="99"/>
    <w:unhideWhenUsed/>
    <w:rsid w:val="00994104"/>
    <w:pPr>
      <w:numPr>
        <w:numId w:val="9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8B6607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849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nsparencia.gob.sv/institutions/amsrc/executing_work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ransparencia.gob.sv/institutions/amsrc/documents/actas-que-levante-el-secretario-municipal-sobre-los-mecanismos-de-participacion-ciudadan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aip@sanrafaelcedros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660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UAIP - OFICIAL</cp:lastModifiedBy>
  <cp:revision>3</cp:revision>
  <cp:lastPrinted>2020-09-22T15:52:00Z</cp:lastPrinted>
  <dcterms:created xsi:type="dcterms:W3CDTF">2020-10-22T16:31:00Z</dcterms:created>
  <dcterms:modified xsi:type="dcterms:W3CDTF">2020-10-27T16:55:00Z</dcterms:modified>
</cp:coreProperties>
</file>