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00F8F708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CF1AF9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CF1AF9">
        <w:rPr>
          <w:rFonts w:ascii="Century Gothic" w:hAnsi="Century Gothic"/>
          <w:sz w:val="24"/>
          <w:szCs w:val="24"/>
        </w:rPr>
        <w:t>22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591B4F">
        <w:rPr>
          <w:rFonts w:ascii="Century Gothic" w:hAnsi="Century Gothic"/>
          <w:sz w:val="24"/>
          <w:szCs w:val="24"/>
        </w:rPr>
        <w:t xml:space="preserve"> </w:t>
      </w:r>
      <w:r w:rsidR="00CF1AF9">
        <w:rPr>
          <w:rFonts w:ascii="Century Gothic" w:hAnsi="Century Gothic"/>
          <w:sz w:val="24"/>
          <w:szCs w:val="24"/>
        </w:rPr>
        <w:t xml:space="preserve">octubre </w:t>
      </w:r>
      <w:r w:rsidRPr="000F51B6">
        <w:rPr>
          <w:rFonts w:ascii="Century Gothic" w:hAnsi="Century Gothic"/>
          <w:sz w:val="24"/>
          <w:szCs w:val="24"/>
        </w:rPr>
        <w:t>de 20</w:t>
      </w:r>
      <w:r w:rsidR="00824BC0">
        <w:rPr>
          <w:rFonts w:ascii="Century Gothic" w:hAnsi="Century Gothic"/>
          <w:sz w:val="24"/>
          <w:szCs w:val="24"/>
        </w:rPr>
        <w:t>20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7FACA680" w:rsidR="005C20A0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 xml:space="preserve">para el </w:t>
      </w:r>
      <w:r w:rsidR="00CF1AF9">
        <w:rPr>
          <w:rFonts w:ascii="Century Gothic" w:hAnsi="Century Gothic" w:cs="Arial"/>
          <w:sz w:val="24"/>
          <w:szCs w:val="24"/>
        </w:rPr>
        <w:t xml:space="preserve">año 2018 </w:t>
      </w:r>
      <w:r w:rsidRPr="000F51B6">
        <w:rPr>
          <w:rFonts w:ascii="Century Gothic" w:hAnsi="Century Gothic" w:cs="Arial"/>
          <w:sz w:val="24"/>
          <w:szCs w:val="24"/>
        </w:rPr>
        <w:t>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617558">
        <w:rPr>
          <w:rFonts w:ascii="Century Gothic" w:hAnsi="Century Gothic" w:cs="Arial"/>
          <w:i/>
          <w:iCs/>
          <w:sz w:val="24"/>
          <w:szCs w:val="24"/>
        </w:rPr>
        <w:t>Actas Levantadas por el Secretario Municipal sobre los Mecanismos de Participación Ciudadana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CF1AF9">
        <w:rPr>
          <w:rFonts w:ascii="Century Gothic" w:hAnsi="Century Gothic" w:cs="Arial"/>
          <w:i/>
          <w:iCs/>
          <w:sz w:val="24"/>
          <w:szCs w:val="24"/>
        </w:rPr>
        <w:t>.</w:t>
      </w:r>
    </w:p>
    <w:p w14:paraId="71297733" w14:textId="374C9E1B" w:rsidR="000F51B6" w:rsidRDefault="005C20A0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Y al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>
        <w:rPr>
          <w:rFonts w:ascii="Century Gothic" w:hAnsi="Century Gothic" w:cs="Arial"/>
          <w:sz w:val="24"/>
          <w:szCs w:val="24"/>
        </w:rPr>
        <w:t>1</w:t>
      </w:r>
      <w:r w:rsidR="00CF1AF9">
        <w:rPr>
          <w:rFonts w:ascii="Century Gothic" w:hAnsi="Century Gothic" w:cs="Arial"/>
          <w:sz w:val="24"/>
          <w:szCs w:val="24"/>
        </w:rPr>
        <w:t xml:space="preserve">7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>
        <w:rPr>
          <w:rFonts w:ascii="Century Gothic" w:hAnsi="Century Gothic" w:cs="Arial"/>
          <w:sz w:val="24"/>
          <w:szCs w:val="24"/>
        </w:rPr>
        <w:t xml:space="preserve">. </w:t>
      </w: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78E61D0F" w14:textId="1A0DBB63" w:rsidR="006C5288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Licda. Evelyn Urania Narayana</w:t>
      </w:r>
    </w:p>
    <w:p w14:paraId="1BDA73A6" w14:textId="13282000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Orantes Hernández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C8432" w14:textId="77777777" w:rsidR="007626CC" w:rsidRDefault="007626CC" w:rsidP="00012065">
      <w:pPr>
        <w:spacing w:after="0" w:line="240" w:lineRule="auto"/>
      </w:pPr>
      <w:r>
        <w:separator/>
      </w:r>
    </w:p>
  </w:endnote>
  <w:endnote w:type="continuationSeparator" w:id="0">
    <w:p w14:paraId="597392E3" w14:textId="77777777" w:rsidR="007626CC" w:rsidRDefault="007626CC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3F914" w14:textId="77777777" w:rsidR="007626CC" w:rsidRDefault="007626CC" w:rsidP="00012065">
      <w:pPr>
        <w:spacing w:after="0" w:line="240" w:lineRule="auto"/>
      </w:pPr>
      <w:r>
        <w:separator/>
      </w:r>
    </w:p>
  </w:footnote>
  <w:footnote w:type="continuationSeparator" w:id="0">
    <w:p w14:paraId="1B2F95E2" w14:textId="77777777" w:rsidR="007626CC" w:rsidRDefault="007626CC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CDF5E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34122E87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909C9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602777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7DF44274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813D0"/>
    <w:rsid w:val="00690682"/>
    <w:rsid w:val="006C5288"/>
    <w:rsid w:val="007626CC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CF1AF9"/>
    <w:rsid w:val="00D2320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2020-10-22T15:56:00Z</dcterms:created>
  <dcterms:modified xsi:type="dcterms:W3CDTF">2020-10-22T15:56:00Z</dcterms:modified>
</cp:coreProperties>
</file>