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46F5E" w14:textId="77777777" w:rsidR="00F12371" w:rsidRDefault="00F12371" w:rsidP="00F12371">
      <w:pPr>
        <w:spacing w:after="0" w:line="240" w:lineRule="auto"/>
        <w:jc w:val="right"/>
        <w:rPr>
          <w:rFonts w:ascii="Century Gothic" w:hAnsi="Century Gothic"/>
          <w:b/>
          <w:sz w:val="24"/>
        </w:rPr>
      </w:pPr>
      <w:r>
        <w:rPr>
          <w:rFonts w:ascii="Century Gothic" w:hAnsi="Century Gothic"/>
          <w:b/>
          <w:sz w:val="24"/>
        </w:rPr>
        <w:t>UAIP-SRC-RESOL-SOL-08-2020</w:t>
      </w:r>
    </w:p>
    <w:p w14:paraId="75E13007" w14:textId="77777777" w:rsidR="00F12371" w:rsidRDefault="00F12371" w:rsidP="00F12371">
      <w:pPr>
        <w:spacing w:after="0" w:line="240" w:lineRule="auto"/>
        <w:jc w:val="right"/>
        <w:rPr>
          <w:rFonts w:ascii="Century Gothic" w:hAnsi="Century Gothic"/>
          <w:b/>
          <w:sz w:val="24"/>
        </w:rPr>
      </w:pPr>
      <w:r>
        <w:rPr>
          <w:rFonts w:ascii="Century Gothic" w:hAnsi="Century Gothic"/>
          <w:b/>
          <w:sz w:val="24"/>
        </w:rPr>
        <w:t xml:space="preserve">Unidad de Acceso a la Información Pública, </w:t>
      </w:r>
    </w:p>
    <w:p w14:paraId="5AFC764D" w14:textId="77777777" w:rsidR="00F12371" w:rsidRDefault="00F12371" w:rsidP="00F12371">
      <w:pPr>
        <w:spacing w:after="0" w:line="240" w:lineRule="auto"/>
        <w:jc w:val="right"/>
        <w:rPr>
          <w:rFonts w:ascii="Century Gothic" w:hAnsi="Century Gothic"/>
          <w:b/>
          <w:sz w:val="24"/>
        </w:rPr>
      </w:pPr>
      <w:r>
        <w:rPr>
          <w:rFonts w:ascii="Century Gothic" w:hAnsi="Century Gothic"/>
          <w:b/>
          <w:sz w:val="24"/>
        </w:rPr>
        <w:t xml:space="preserve">Alcaldía de San Rafael Cedros,  </w:t>
      </w:r>
    </w:p>
    <w:p w14:paraId="22534842" w14:textId="77777777" w:rsidR="00F12371" w:rsidRDefault="00F12371" w:rsidP="00F12371">
      <w:pPr>
        <w:spacing w:after="0" w:line="240" w:lineRule="auto"/>
        <w:jc w:val="right"/>
        <w:rPr>
          <w:rFonts w:ascii="Century Gothic" w:hAnsi="Century Gothic"/>
          <w:b/>
          <w:sz w:val="24"/>
        </w:rPr>
      </w:pPr>
      <w:r>
        <w:rPr>
          <w:rFonts w:ascii="Century Gothic" w:hAnsi="Century Gothic"/>
          <w:b/>
          <w:sz w:val="24"/>
        </w:rPr>
        <w:t>07 de julio de 2020</w:t>
      </w:r>
    </w:p>
    <w:p w14:paraId="7007CF1C" w14:textId="77777777" w:rsidR="00F12371" w:rsidRDefault="00F12371" w:rsidP="00F12371">
      <w:pPr>
        <w:spacing w:line="360" w:lineRule="auto"/>
        <w:jc w:val="right"/>
        <w:rPr>
          <w:rFonts w:ascii="Century Gothic" w:hAnsi="Century Gothic"/>
          <w:sz w:val="24"/>
        </w:rPr>
      </w:pPr>
    </w:p>
    <w:p w14:paraId="76A15BC8" w14:textId="0B83CCC7" w:rsidR="00F12371" w:rsidRDefault="00F12371" w:rsidP="00F12371">
      <w:pPr>
        <w:spacing w:after="0" w:line="240" w:lineRule="auto"/>
        <w:ind w:firstLine="720"/>
        <w:rPr>
          <w:rFonts w:ascii="Century Gothic" w:hAnsi="Century Gothic"/>
          <w:b/>
          <w:bCs/>
          <w:sz w:val="24"/>
        </w:rPr>
      </w:pPr>
      <w:r>
        <w:rPr>
          <w:rFonts w:ascii="Century Gothic" w:hAnsi="Century Gothic"/>
          <w:b/>
          <w:bCs/>
          <w:sz w:val="24"/>
        </w:rPr>
        <w:t>XX. XXXXX XXXXXXX XXXXX XXXXXXXXX</w:t>
      </w:r>
    </w:p>
    <w:p w14:paraId="274AF62D" w14:textId="77777777" w:rsidR="00F12371" w:rsidRDefault="00F12371" w:rsidP="00F12371">
      <w:pPr>
        <w:spacing w:after="0" w:line="240" w:lineRule="auto"/>
        <w:ind w:firstLine="720"/>
        <w:rPr>
          <w:rFonts w:ascii="Century Gothic" w:hAnsi="Century Gothic"/>
          <w:b/>
          <w:bCs/>
          <w:sz w:val="24"/>
        </w:rPr>
      </w:pPr>
      <w:proofErr w:type="gramStart"/>
      <w:r>
        <w:rPr>
          <w:rFonts w:ascii="Century Gothic" w:hAnsi="Century Gothic"/>
          <w:b/>
          <w:bCs/>
          <w:sz w:val="24"/>
        </w:rPr>
        <w:t>Presente.-</w:t>
      </w:r>
      <w:proofErr w:type="gramEnd"/>
      <w:r>
        <w:rPr>
          <w:rFonts w:ascii="Century Gothic" w:hAnsi="Century Gothic"/>
          <w:b/>
          <w:bCs/>
          <w:sz w:val="24"/>
        </w:rPr>
        <w:t xml:space="preserve">  </w:t>
      </w:r>
    </w:p>
    <w:p w14:paraId="01D2F332" w14:textId="77777777" w:rsidR="00F12371" w:rsidRDefault="00F12371" w:rsidP="00F12371">
      <w:pPr>
        <w:spacing w:line="360" w:lineRule="auto"/>
        <w:ind w:firstLine="720"/>
        <w:rPr>
          <w:rFonts w:ascii="Century Gothic" w:hAnsi="Century Gothic"/>
          <w:sz w:val="24"/>
        </w:rPr>
      </w:pPr>
    </w:p>
    <w:p w14:paraId="14C86649" w14:textId="77777777" w:rsidR="00F12371" w:rsidRDefault="00F12371" w:rsidP="00F12371">
      <w:pPr>
        <w:spacing w:line="360" w:lineRule="auto"/>
        <w:ind w:firstLine="720"/>
        <w:rPr>
          <w:rFonts w:ascii="Century Gothic" w:hAnsi="Century Gothic"/>
          <w:sz w:val="24"/>
        </w:rPr>
      </w:pPr>
      <w:r>
        <w:rPr>
          <w:rFonts w:ascii="Century Gothic" w:hAnsi="Century Gothic"/>
          <w:sz w:val="24"/>
        </w:rPr>
        <w:t>Respondiendo a su solicitud de información recibida vía correo electrónica en la unidad de acceso a la información pública (UAIP) con fecha veinticuatro de junio de dos mil veinte.</w:t>
      </w:r>
    </w:p>
    <w:p w14:paraId="6708BCEF" w14:textId="6E4E98CA" w:rsidR="00F12371" w:rsidRDefault="00F12371" w:rsidP="00F12371">
      <w:pPr>
        <w:spacing w:line="360" w:lineRule="auto"/>
        <w:jc w:val="both"/>
        <w:rPr>
          <w:rFonts w:ascii="Century Gothic" w:hAnsi="Century Gothic"/>
          <w:sz w:val="24"/>
        </w:rPr>
      </w:pPr>
      <w:r>
        <w:rPr>
          <w:rFonts w:ascii="Century Gothic" w:hAnsi="Century Gothic"/>
          <w:sz w:val="24"/>
        </w:rPr>
        <w:t>En base al Art. 66 del a Ley de Acceso a la Información se admitió la solicitud y se llevó a cabo el respectivo proceso de solicitud a la Unidad</w:t>
      </w:r>
      <w:r>
        <w:rPr>
          <w:rFonts w:ascii="Century Gothic" w:hAnsi="Century Gothic"/>
          <w:sz w:val="24"/>
        </w:rPr>
        <w:t xml:space="preserve"> administrativa correspondiente</w:t>
      </w:r>
      <w:r>
        <w:rPr>
          <w:rFonts w:ascii="Century Gothic" w:hAnsi="Century Gothic"/>
          <w:sz w:val="24"/>
        </w:rPr>
        <w:t>, con nota recibida el 06 de julio de 2020 la unidad se negó a entregar la información alegando que es información confidencial y que no ha sido autorizada por el titular.</w:t>
      </w:r>
    </w:p>
    <w:p w14:paraId="5545196E" w14:textId="77777777" w:rsidR="00F12371" w:rsidRDefault="00F12371" w:rsidP="00F12371">
      <w:pPr>
        <w:spacing w:line="360" w:lineRule="auto"/>
        <w:jc w:val="both"/>
        <w:rPr>
          <w:rFonts w:ascii="Century Gothic" w:hAnsi="Century Gothic"/>
          <w:sz w:val="24"/>
        </w:rPr>
      </w:pPr>
      <w:r>
        <w:rPr>
          <w:rFonts w:ascii="Century Gothic" w:hAnsi="Century Gothic"/>
          <w:sz w:val="24"/>
        </w:rPr>
        <w:t xml:space="preserve">Se le hizo entrega de una tercera nota donde se le explico las bases legales por las cuales debe entregar la información, pero su respuesta fue que mantiene la postura de no entregar la información. </w:t>
      </w:r>
    </w:p>
    <w:p w14:paraId="56ED6D6C" w14:textId="5C75D5ED" w:rsidR="00F12371" w:rsidRDefault="00F12371" w:rsidP="00F12371">
      <w:pPr>
        <w:spacing w:line="360" w:lineRule="auto"/>
        <w:jc w:val="both"/>
        <w:rPr>
          <w:rFonts w:ascii="Century Gothic" w:hAnsi="Century Gothic"/>
          <w:sz w:val="24"/>
        </w:rPr>
      </w:pPr>
      <w:r>
        <w:rPr>
          <w:rFonts w:ascii="Century Gothic" w:hAnsi="Century Gothic"/>
          <w:sz w:val="24"/>
        </w:rPr>
        <w:t xml:space="preserve">Se redacto una cuarta nota, donde se le advirtió que debe entregar la información, de acuerdo con los </w:t>
      </w:r>
      <w:r>
        <w:rPr>
          <w:rFonts w:ascii="Century Gothic" w:hAnsi="Century Gothic"/>
          <w:i/>
          <w:iCs/>
          <w:sz w:val="24"/>
        </w:rPr>
        <w:t>artículos “31, 36” de la LAIP y Art. 43 RELAIP,</w:t>
      </w:r>
      <w:r>
        <w:rPr>
          <w:rFonts w:ascii="Century Gothic" w:hAnsi="Century Gothic"/>
          <w:sz w:val="24"/>
        </w:rPr>
        <w:t xml:space="preserve"> </w:t>
      </w:r>
      <w:r>
        <w:rPr>
          <w:rFonts w:ascii="Century Gothic" w:hAnsi="Century Gothic"/>
          <w:sz w:val="24"/>
        </w:rPr>
        <w:t xml:space="preserve">Sin embargo, </w:t>
      </w:r>
      <w:r>
        <w:rPr>
          <w:rFonts w:ascii="Century Gothic" w:hAnsi="Century Gothic"/>
          <w:sz w:val="24"/>
        </w:rPr>
        <w:t xml:space="preserve">se negó a recibirla y manifestó de forma verbal que mantiene su postura de no entregar la información por no tener autorización del titular. </w:t>
      </w:r>
    </w:p>
    <w:p w14:paraId="6D8BA79E" w14:textId="77777777" w:rsidR="00F12371" w:rsidRDefault="00F12371" w:rsidP="00F12371">
      <w:pPr>
        <w:spacing w:line="360" w:lineRule="auto"/>
        <w:jc w:val="both"/>
        <w:rPr>
          <w:rFonts w:ascii="Century Gothic" w:hAnsi="Century Gothic"/>
          <w:sz w:val="24"/>
        </w:rPr>
      </w:pPr>
      <w:r>
        <w:rPr>
          <w:rFonts w:ascii="Century Gothic" w:hAnsi="Century Gothic"/>
          <w:sz w:val="24"/>
        </w:rPr>
        <w:t>Por lo anterior expuesto, la Oficial resuelve:</w:t>
      </w:r>
    </w:p>
    <w:p w14:paraId="21AA3B02" w14:textId="54373BEF" w:rsidR="00F12371" w:rsidRPr="00F12371" w:rsidRDefault="00F12371" w:rsidP="00112E96">
      <w:pPr>
        <w:spacing w:after="0" w:line="240" w:lineRule="auto"/>
        <w:ind w:firstLine="720"/>
        <w:jc w:val="both"/>
        <w:rPr>
          <w:rFonts w:ascii="Century Gothic" w:hAnsi="Century Gothic"/>
          <w:b/>
          <w:bCs/>
          <w:sz w:val="24"/>
        </w:rPr>
      </w:pPr>
      <w:r>
        <w:rPr>
          <w:rFonts w:ascii="Century Gothic" w:hAnsi="Century Gothic"/>
          <w:sz w:val="24"/>
        </w:rPr>
        <w:t xml:space="preserve">No es posible brindar el acceso información solicitada, por el </w:t>
      </w:r>
      <w:r>
        <w:rPr>
          <w:rFonts w:ascii="Century Gothic" w:hAnsi="Century Gothic"/>
          <w:b/>
          <w:bCs/>
          <w:sz w:val="24"/>
        </w:rPr>
        <w:t>XX. XXXXX XXXXXXX XXXXX XXXXXXXXX</w:t>
      </w:r>
      <w:r w:rsidRPr="00F12371">
        <w:rPr>
          <w:rFonts w:ascii="Century Gothic" w:hAnsi="Century Gothic"/>
          <w:sz w:val="24"/>
        </w:rPr>
        <w:t xml:space="preserve"> en lo relativo a </w:t>
      </w:r>
      <w:r w:rsidRPr="00F12371">
        <w:rPr>
          <w:rFonts w:ascii="Century Gothic" w:hAnsi="Century Gothic"/>
          <w:b/>
          <w:bCs/>
          <w:sz w:val="24"/>
        </w:rPr>
        <w:t>“</w:t>
      </w:r>
      <w:proofErr w:type="spellStart"/>
      <w:r w:rsidR="00112E96">
        <w:rPr>
          <w:rFonts w:ascii="Century Gothic" w:hAnsi="Century Gothic" w:cs="Times New Roman"/>
          <w:b/>
          <w:bCs/>
          <w:sz w:val="24"/>
          <w:szCs w:val="24"/>
        </w:rPr>
        <w:t>Xxxxxxx</w:t>
      </w:r>
      <w:proofErr w:type="spellEnd"/>
      <w:r w:rsidR="00112E96">
        <w:rPr>
          <w:rFonts w:ascii="Century Gothic" w:hAnsi="Century Gothic" w:cs="Times New Roman"/>
          <w:b/>
          <w:bCs/>
          <w:sz w:val="24"/>
          <w:szCs w:val="24"/>
        </w:rPr>
        <w:t xml:space="preserve"> </w:t>
      </w:r>
      <w:proofErr w:type="spellStart"/>
      <w:r w:rsidR="00112E96">
        <w:rPr>
          <w:rFonts w:ascii="Century Gothic" w:hAnsi="Century Gothic" w:cs="Times New Roman"/>
          <w:b/>
          <w:bCs/>
          <w:sz w:val="24"/>
          <w:szCs w:val="24"/>
        </w:rPr>
        <w:t>xxxxxxx</w:t>
      </w:r>
      <w:proofErr w:type="spellEnd"/>
      <w:r w:rsidR="00112E96">
        <w:rPr>
          <w:rFonts w:ascii="Century Gothic" w:hAnsi="Century Gothic" w:cs="Times New Roman"/>
          <w:b/>
          <w:bCs/>
          <w:sz w:val="24"/>
          <w:szCs w:val="24"/>
        </w:rPr>
        <w:t xml:space="preserve"> </w:t>
      </w:r>
      <w:proofErr w:type="spellStart"/>
      <w:r w:rsidR="00112E96">
        <w:rPr>
          <w:rFonts w:ascii="Century Gothic" w:hAnsi="Century Gothic" w:cs="Times New Roman"/>
          <w:b/>
          <w:bCs/>
          <w:sz w:val="24"/>
          <w:szCs w:val="24"/>
        </w:rPr>
        <w:t>xxxxxxx</w:t>
      </w:r>
      <w:proofErr w:type="spellEnd"/>
      <w:r w:rsidR="00112E96">
        <w:rPr>
          <w:rFonts w:ascii="Century Gothic" w:hAnsi="Century Gothic" w:cs="Times New Roman"/>
          <w:b/>
          <w:bCs/>
          <w:sz w:val="24"/>
          <w:szCs w:val="24"/>
        </w:rPr>
        <w:t xml:space="preserve"> </w:t>
      </w:r>
      <w:proofErr w:type="spellStart"/>
      <w:r w:rsidR="00112E96">
        <w:rPr>
          <w:rFonts w:ascii="Century Gothic" w:hAnsi="Century Gothic" w:cs="Times New Roman"/>
          <w:b/>
          <w:bCs/>
          <w:sz w:val="24"/>
          <w:szCs w:val="24"/>
        </w:rPr>
        <w:t>xxxxxxx</w:t>
      </w:r>
      <w:proofErr w:type="spellEnd"/>
      <w:r w:rsidR="00112E96">
        <w:rPr>
          <w:rFonts w:ascii="Century Gothic" w:hAnsi="Century Gothic" w:cs="Times New Roman"/>
          <w:b/>
          <w:bCs/>
          <w:sz w:val="24"/>
          <w:szCs w:val="24"/>
        </w:rPr>
        <w:t xml:space="preserve"> </w:t>
      </w:r>
      <w:proofErr w:type="spellStart"/>
      <w:r w:rsidR="00112E96">
        <w:rPr>
          <w:rFonts w:ascii="Century Gothic" w:hAnsi="Century Gothic" w:cs="Times New Roman"/>
          <w:b/>
          <w:bCs/>
          <w:sz w:val="24"/>
          <w:szCs w:val="24"/>
        </w:rPr>
        <w:t>xxxxxx</w:t>
      </w:r>
      <w:proofErr w:type="spellEnd"/>
      <w:r w:rsidR="00112E96">
        <w:rPr>
          <w:rFonts w:ascii="Century Gothic" w:hAnsi="Century Gothic" w:cs="Times New Roman"/>
          <w:b/>
          <w:bCs/>
          <w:sz w:val="24"/>
          <w:szCs w:val="24"/>
        </w:rPr>
        <w:t xml:space="preserve"> </w:t>
      </w:r>
      <w:proofErr w:type="spellStart"/>
      <w:r w:rsidR="00112E96">
        <w:rPr>
          <w:rFonts w:ascii="Century Gothic" w:hAnsi="Century Gothic" w:cs="Times New Roman"/>
          <w:b/>
          <w:bCs/>
          <w:sz w:val="24"/>
          <w:szCs w:val="24"/>
        </w:rPr>
        <w:t>xxxxxxx</w:t>
      </w:r>
      <w:proofErr w:type="spellEnd"/>
      <w:r w:rsidR="00112E96">
        <w:rPr>
          <w:rFonts w:ascii="Century Gothic" w:hAnsi="Century Gothic" w:cs="Times New Roman"/>
          <w:b/>
          <w:bCs/>
          <w:sz w:val="24"/>
          <w:szCs w:val="24"/>
        </w:rPr>
        <w:t xml:space="preserve"> </w:t>
      </w:r>
      <w:proofErr w:type="spellStart"/>
      <w:r w:rsidR="00112E96">
        <w:rPr>
          <w:rFonts w:ascii="Century Gothic" w:hAnsi="Century Gothic" w:cs="Times New Roman"/>
          <w:b/>
          <w:bCs/>
          <w:sz w:val="24"/>
          <w:szCs w:val="24"/>
        </w:rPr>
        <w:t>xxxxxxx</w:t>
      </w:r>
      <w:proofErr w:type="spellEnd"/>
      <w:r w:rsidR="00112E96">
        <w:rPr>
          <w:rFonts w:ascii="Century Gothic" w:hAnsi="Century Gothic" w:cs="Times New Roman"/>
          <w:b/>
          <w:bCs/>
          <w:sz w:val="24"/>
          <w:szCs w:val="24"/>
        </w:rPr>
        <w:t xml:space="preserve"> </w:t>
      </w:r>
      <w:proofErr w:type="spellStart"/>
      <w:r w:rsidR="00112E96">
        <w:rPr>
          <w:rFonts w:ascii="Century Gothic" w:hAnsi="Century Gothic" w:cs="Times New Roman"/>
          <w:b/>
          <w:bCs/>
          <w:sz w:val="24"/>
          <w:szCs w:val="24"/>
        </w:rPr>
        <w:t>xxxxxxx</w:t>
      </w:r>
      <w:proofErr w:type="spellEnd"/>
      <w:r w:rsidR="00112E96">
        <w:rPr>
          <w:rFonts w:ascii="Century Gothic" w:hAnsi="Century Gothic" w:cs="Times New Roman"/>
          <w:b/>
          <w:bCs/>
          <w:sz w:val="24"/>
          <w:szCs w:val="24"/>
        </w:rPr>
        <w:t xml:space="preserve"> </w:t>
      </w:r>
      <w:proofErr w:type="spellStart"/>
      <w:r w:rsidR="00112E96">
        <w:rPr>
          <w:rFonts w:ascii="Century Gothic" w:hAnsi="Century Gothic" w:cs="Times New Roman"/>
          <w:b/>
          <w:bCs/>
          <w:sz w:val="24"/>
          <w:szCs w:val="24"/>
        </w:rPr>
        <w:t>xxxxxxxxxx</w:t>
      </w:r>
      <w:proofErr w:type="spellEnd"/>
      <w:r w:rsidR="00112E96">
        <w:rPr>
          <w:rFonts w:ascii="Century Gothic" w:hAnsi="Century Gothic" w:cs="Times New Roman"/>
          <w:b/>
          <w:bCs/>
          <w:sz w:val="24"/>
          <w:szCs w:val="24"/>
        </w:rPr>
        <w:t xml:space="preserve"> </w:t>
      </w:r>
      <w:proofErr w:type="spellStart"/>
      <w:r w:rsidR="00112E96">
        <w:rPr>
          <w:rFonts w:ascii="Century Gothic" w:hAnsi="Century Gothic" w:cs="Times New Roman"/>
          <w:b/>
          <w:bCs/>
          <w:sz w:val="24"/>
          <w:szCs w:val="24"/>
        </w:rPr>
        <w:t>xxxxxxx</w:t>
      </w:r>
      <w:proofErr w:type="spellEnd"/>
      <w:r w:rsidRPr="00F12371">
        <w:rPr>
          <w:rFonts w:ascii="Century Gothic" w:hAnsi="Century Gothic"/>
          <w:b/>
          <w:bCs/>
          <w:sz w:val="24"/>
        </w:rPr>
        <w:t>”,</w:t>
      </w:r>
      <w:r w:rsidRPr="00F12371">
        <w:rPr>
          <w:rFonts w:ascii="Century Gothic" w:hAnsi="Century Gothic"/>
          <w:sz w:val="24"/>
        </w:rPr>
        <w:t xml:space="preserve"> </w:t>
      </w:r>
      <w:r w:rsidR="00815FA8">
        <w:rPr>
          <w:rFonts w:ascii="Century Gothic" w:hAnsi="Century Gothic"/>
          <w:sz w:val="24"/>
        </w:rPr>
        <w:t xml:space="preserve">La </w:t>
      </w:r>
      <w:r w:rsidRPr="00F12371">
        <w:rPr>
          <w:rFonts w:ascii="Century Gothic" w:hAnsi="Century Gothic"/>
          <w:sz w:val="24"/>
        </w:rPr>
        <w:t xml:space="preserve">unidad que tiene a cargo el resguardo de la información no hizo entrega, </w:t>
      </w:r>
      <w:r w:rsidRPr="00F12371">
        <w:rPr>
          <w:rFonts w:ascii="Century Gothic" w:hAnsi="Century Gothic"/>
          <w:sz w:val="24"/>
        </w:rPr>
        <w:lastRenderedPageBreak/>
        <w:t>alegando que es información confidencial y que no tiene autorización del titular de esta.</w:t>
      </w:r>
    </w:p>
    <w:p w14:paraId="1AA670B4" w14:textId="77777777" w:rsidR="00F12371" w:rsidRDefault="00F12371" w:rsidP="00F12371">
      <w:pPr>
        <w:pStyle w:val="Prrafodelista"/>
        <w:numPr>
          <w:ilvl w:val="0"/>
          <w:numId w:val="47"/>
        </w:numPr>
        <w:spacing w:line="360" w:lineRule="auto"/>
        <w:jc w:val="both"/>
        <w:rPr>
          <w:rFonts w:ascii="Century Gothic" w:hAnsi="Century Gothic"/>
          <w:sz w:val="24"/>
        </w:rPr>
      </w:pPr>
      <w:r>
        <w:rPr>
          <w:rFonts w:ascii="Century Gothic" w:hAnsi="Century Gothic"/>
          <w:sz w:val="24"/>
        </w:rPr>
        <w:t xml:space="preserve">Se anexan las solicitudes de gestión realizadas por la Oficial de Información a fin de Garantizar el derecho de Acceso a la Información del solicitante Art. 2 LAIP </w:t>
      </w:r>
    </w:p>
    <w:p w14:paraId="7E3E6CF9" w14:textId="007EBBE9" w:rsidR="00F12371" w:rsidRDefault="00F12371" w:rsidP="00F12371">
      <w:pPr>
        <w:pStyle w:val="Prrafodelista"/>
        <w:numPr>
          <w:ilvl w:val="0"/>
          <w:numId w:val="47"/>
        </w:numPr>
        <w:spacing w:line="360" w:lineRule="auto"/>
        <w:jc w:val="both"/>
        <w:rPr>
          <w:rFonts w:ascii="Century Gothic" w:hAnsi="Century Gothic"/>
          <w:sz w:val="24"/>
        </w:rPr>
      </w:pPr>
      <w:r>
        <w:rPr>
          <w:rFonts w:ascii="Century Gothic" w:hAnsi="Century Gothic"/>
          <w:sz w:val="24"/>
        </w:rPr>
        <w:t>Se anexa notas recibidas.</w:t>
      </w:r>
    </w:p>
    <w:p w14:paraId="3BE78684" w14:textId="77777777" w:rsidR="00F12371" w:rsidRDefault="00F12371" w:rsidP="00F12371">
      <w:pPr>
        <w:pStyle w:val="Prrafodelista"/>
        <w:numPr>
          <w:ilvl w:val="0"/>
          <w:numId w:val="47"/>
        </w:numPr>
        <w:spacing w:line="360" w:lineRule="auto"/>
        <w:jc w:val="both"/>
        <w:rPr>
          <w:rFonts w:ascii="Century Gothic" w:hAnsi="Century Gothic"/>
          <w:sz w:val="24"/>
        </w:rPr>
      </w:pPr>
      <w:r>
        <w:rPr>
          <w:rFonts w:ascii="Century Gothic" w:hAnsi="Century Gothic"/>
          <w:sz w:val="24"/>
        </w:rPr>
        <w:t xml:space="preserve">Con base al Art. 72 de la LAIP </w:t>
      </w:r>
      <w:r>
        <w:rPr>
          <w:rFonts w:ascii="Century Gothic" w:hAnsi="Century Gothic"/>
          <w:b/>
          <w:bCs/>
          <w:sz w:val="24"/>
        </w:rPr>
        <w:t>Resolución del Oficial “</w:t>
      </w:r>
      <w:r>
        <w:rPr>
          <w:rFonts w:ascii="Century Gothic" w:hAnsi="Century Gothic"/>
          <w:i/>
          <w:iCs/>
          <w:sz w:val="24"/>
        </w:rPr>
        <w:t xml:space="preserve">…en caso de ser negativa la resolución, siempre deberá fundar y motivas las razones de la denegatoria de la información e indicar al solicitante el recurso que podrá interponer ante el Instituto”. </w:t>
      </w:r>
    </w:p>
    <w:p w14:paraId="3C204BBF" w14:textId="77777777" w:rsidR="00F12371" w:rsidRDefault="00F12371" w:rsidP="00F12371">
      <w:pPr>
        <w:pStyle w:val="Prrafodelista"/>
        <w:spacing w:line="360" w:lineRule="auto"/>
        <w:jc w:val="both"/>
        <w:rPr>
          <w:rFonts w:ascii="Century Gothic" w:hAnsi="Century Gothic"/>
          <w:sz w:val="24"/>
        </w:rPr>
      </w:pPr>
    </w:p>
    <w:p w14:paraId="3E06B767" w14:textId="77777777" w:rsidR="00F12371" w:rsidRDefault="00F12371" w:rsidP="00F12371">
      <w:pPr>
        <w:pStyle w:val="Prrafodelista"/>
        <w:spacing w:line="360" w:lineRule="auto"/>
        <w:jc w:val="both"/>
        <w:rPr>
          <w:rFonts w:ascii="Century Gothic" w:hAnsi="Century Gothic" w:cs="Times New Roman"/>
          <w:i/>
          <w:iCs/>
          <w:sz w:val="24"/>
        </w:rPr>
      </w:pPr>
      <w:r>
        <w:rPr>
          <w:rFonts w:ascii="Century Gothic" w:hAnsi="Century Gothic" w:cs="Times New Roman"/>
          <w:i/>
          <w:iCs/>
          <w:sz w:val="24"/>
        </w:rPr>
        <w:t xml:space="preserve">A continuación, detallo la base legal, y el proceso a seguir si el solicitante desea interponer un recurso de apelación. </w:t>
      </w:r>
    </w:p>
    <w:p w14:paraId="22B6BC2B" w14:textId="77777777" w:rsidR="00F12371" w:rsidRDefault="00F12371" w:rsidP="00F12371">
      <w:pPr>
        <w:pStyle w:val="Prrafodelista"/>
        <w:spacing w:line="360" w:lineRule="auto"/>
        <w:jc w:val="both"/>
        <w:rPr>
          <w:rFonts w:ascii="Century Gothic" w:hAnsi="Century Gothic" w:cs="Times New Roman"/>
          <w:sz w:val="24"/>
        </w:rPr>
      </w:pPr>
    </w:p>
    <w:p w14:paraId="575D779D"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Interposición del Recurso de Apelación</w:t>
      </w:r>
    </w:p>
    <w:p w14:paraId="37C2B281"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 xml:space="preserve">Art. 82.- El solicitante a quien el Oficial de Acceso a la Información haya notificado resolución que deniegue el acceso a la información, afirme la inexistencia de </w:t>
      </w:r>
      <w:proofErr w:type="gramStart"/>
      <w:r>
        <w:rPr>
          <w:rFonts w:ascii="Times New Roman" w:hAnsi="Times New Roman" w:cs="Times New Roman"/>
          <w:sz w:val="24"/>
        </w:rPr>
        <w:t>la misma</w:t>
      </w:r>
      <w:proofErr w:type="gramEnd"/>
      <w:r>
        <w:rPr>
          <w:rFonts w:ascii="Times New Roman" w:hAnsi="Times New Roman" w:cs="Times New Roman"/>
          <w:sz w:val="24"/>
        </w:rPr>
        <w:t xml:space="preserve"> o incurra en cualquiera de las causales enunciadas en el artículo siguiente, podrá interponer por sí o a través de su representante el recurso de apelación ante el Instituto o ante el Oficial de Información que haya conocido del asunto dentro de los cinco días hábiles siguientes a la fecha de la notificación. </w:t>
      </w:r>
    </w:p>
    <w:p w14:paraId="4346CAFE"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Deberá presentarse el recurso por escrito, de forma libre o en los formularios que apruebe el Instituto. El Oficial de Información deberá remitir la petición y el expediente al Instituto a más tardar el siguiente día hábil de haberla recibido.</w:t>
      </w:r>
    </w:p>
    <w:p w14:paraId="0DE63ABC"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Otras Causales para Interponer el Recurso de Apelación</w:t>
      </w:r>
    </w:p>
    <w:p w14:paraId="5467E436"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Art. 83.- El recurso de apelación también procederá cuando:</w:t>
      </w:r>
    </w:p>
    <w:p w14:paraId="30AAC203"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a. La dependencia o entidad no entregue al solicitante los datos personales solicitados, o lo haga en un formato defectuoso o incomprensible.</w:t>
      </w:r>
    </w:p>
    <w:p w14:paraId="21E1B120"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b. La dependencia o entidad se niegue a efectuar modificaciones o correcciones a los datos personales.</w:t>
      </w:r>
    </w:p>
    <w:p w14:paraId="6A54EFC4"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lastRenderedPageBreak/>
        <w:t>c. El solicitante no esté conforme con el tiempo, el costo o la modalidad de entrega.</w:t>
      </w:r>
    </w:p>
    <w:p w14:paraId="577F158F"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d. La información entregada sea incompleta o no corresponda a la información requerida en la solicitud.</w:t>
      </w:r>
    </w:p>
    <w:p w14:paraId="416AE33E"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Escrito de Interposición del Recurso de Apelación</w:t>
      </w:r>
    </w:p>
    <w:p w14:paraId="3C9CA8A0"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Art. 84.-El escrito de interposición del recurso de apelación y los formularios aprobados por el Instituto deberán contener:</w:t>
      </w:r>
    </w:p>
    <w:p w14:paraId="60FDD991"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a. La dependencia o entidad ante la cual se presentó la solicitud.</w:t>
      </w:r>
    </w:p>
    <w:p w14:paraId="0590688B"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b. El nombre del recurrente y el lugar o medio para recibir notificaciones, fax o correo electrónico.</w:t>
      </w:r>
    </w:p>
    <w:p w14:paraId="1007604F"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c. La fecha en que se notificó al recurrente.</w:t>
      </w:r>
    </w:p>
    <w:p w14:paraId="060678F1" w14:textId="77777777" w:rsidR="00F12371" w:rsidRDefault="00F12371" w:rsidP="00F12371">
      <w:pPr>
        <w:pStyle w:val="Prrafodelista"/>
        <w:spacing w:line="360" w:lineRule="auto"/>
        <w:jc w:val="both"/>
        <w:rPr>
          <w:rFonts w:ascii="Times New Roman" w:hAnsi="Times New Roman" w:cs="Times New Roman"/>
          <w:sz w:val="24"/>
        </w:rPr>
      </w:pPr>
      <w:r>
        <w:rPr>
          <w:rFonts w:ascii="Times New Roman" w:hAnsi="Times New Roman" w:cs="Times New Roman"/>
          <w:sz w:val="24"/>
        </w:rPr>
        <w:t>d. El acto recurrido y los puntos petitorios.</w:t>
      </w:r>
    </w:p>
    <w:p w14:paraId="415A588B" w14:textId="77777777" w:rsidR="00F12371" w:rsidRDefault="00F12371" w:rsidP="00F12371">
      <w:pPr>
        <w:spacing w:line="360" w:lineRule="auto"/>
        <w:rPr>
          <w:rFonts w:ascii="Century Gothic" w:hAnsi="Century Gothic"/>
          <w:sz w:val="24"/>
        </w:rPr>
      </w:pPr>
      <w:r>
        <w:rPr>
          <w:rFonts w:ascii="Century Gothic" w:hAnsi="Century Gothic"/>
          <w:sz w:val="24"/>
        </w:rPr>
        <w:t xml:space="preserve">Atte. </w:t>
      </w:r>
    </w:p>
    <w:p w14:paraId="42039FAB" w14:textId="77777777" w:rsidR="00F12371" w:rsidRDefault="00F12371" w:rsidP="00F12371">
      <w:pPr>
        <w:spacing w:line="360" w:lineRule="auto"/>
        <w:rPr>
          <w:rFonts w:ascii="Century Gothic" w:hAnsi="Century Gothic"/>
          <w:sz w:val="24"/>
        </w:rPr>
      </w:pPr>
    </w:p>
    <w:p w14:paraId="20112E6D" w14:textId="77777777" w:rsidR="00F12371" w:rsidRDefault="00F12371" w:rsidP="00F12371">
      <w:pPr>
        <w:spacing w:after="0" w:line="240" w:lineRule="auto"/>
        <w:jc w:val="center"/>
        <w:rPr>
          <w:rFonts w:ascii="Century Gothic" w:hAnsi="Century Gothic"/>
          <w:b/>
          <w:bCs/>
          <w:sz w:val="24"/>
        </w:rPr>
      </w:pPr>
      <w:r>
        <w:rPr>
          <w:rFonts w:ascii="Century Gothic" w:hAnsi="Century Gothic"/>
          <w:b/>
          <w:bCs/>
          <w:sz w:val="24"/>
        </w:rPr>
        <w:t xml:space="preserve">Licda. Evelyn Urania Narayana Orantes Hernández </w:t>
      </w:r>
    </w:p>
    <w:p w14:paraId="4E2ED421" w14:textId="77777777" w:rsidR="00F12371" w:rsidRDefault="00F12371" w:rsidP="00F12371">
      <w:pPr>
        <w:spacing w:after="0" w:line="240" w:lineRule="auto"/>
        <w:jc w:val="center"/>
        <w:rPr>
          <w:rFonts w:ascii="Century Gothic" w:hAnsi="Century Gothic"/>
          <w:b/>
          <w:bCs/>
          <w:sz w:val="24"/>
        </w:rPr>
      </w:pPr>
      <w:r>
        <w:rPr>
          <w:rFonts w:ascii="Century Gothic" w:hAnsi="Century Gothic"/>
          <w:b/>
          <w:bCs/>
          <w:sz w:val="24"/>
        </w:rPr>
        <w:t xml:space="preserve">Oficial de Información </w:t>
      </w:r>
    </w:p>
    <w:p w14:paraId="758CC93B" w14:textId="77777777" w:rsidR="00F12371" w:rsidRDefault="00F12371" w:rsidP="00F12371">
      <w:pPr>
        <w:spacing w:after="0" w:line="240" w:lineRule="auto"/>
        <w:jc w:val="center"/>
        <w:rPr>
          <w:rFonts w:ascii="Century Gothic" w:hAnsi="Century Gothic"/>
          <w:b/>
          <w:bCs/>
          <w:sz w:val="24"/>
        </w:rPr>
      </w:pPr>
      <w:r>
        <w:rPr>
          <w:rFonts w:ascii="Century Gothic" w:hAnsi="Century Gothic"/>
          <w:b/>
          <w:bCs/>
          <w:sz w:val="24"/>
        </w:rPr>
        <w:t>Unidad de Acceso a la Información Pública UAIP</w:t>
      </w:r>
    </w:p>
    <w:p w14:paraId="3510D512" w14:textId="77777777" w:rsidR="00F12371" w:rsidRDefault="00F12371" w:rsidP="00F12371">
      <w:pPr>
        <w:spacing w:after="0" w:line="240" w:lineRule="auto"/>
        <w:jc w:val="center"/>
        <w:rPr>
          <w:rFonts w:ascii="Century Gothic" w:hAnsi="Century Gothic"/>
          <w:b/>
          <w:bCs/>
          <w:sz w:val="24"/>
        </w:rPr>
      </w:pPr>
      <w:r>
        <w:rPr>
          <w:rFonts w:ascii="Century Gothic" w:hAnsi="Century Gothic"/>
          <w:b/>
          <w:bCs/>
          <w:sz w:val="24"/>
        </w:rPr>
        <w:t>Alcaldía Municipal de San Rafael Cedros</w:t>
      </w:r>
    </w:p>
    <w:p w14:paraId="3669D4A2" w14:textId="77777777" w:rsidR="00802BBB" w:rsidRPr="00A772C9" w:rsidRDefault="00802BBB" w:rsidP="00A772C9">
      <w:pPr>
        <w:spacing w:line="360" w:lineRule="auto"/>
        <w:rPr>
          <w:rFonts w:ascii="Arial" w:hAnsi="Arial" w:cs="Arial"/>
          <w:sz w:val="24"/>
          <w:szCs w:val="24"/>
        </w:rPr>
      </w:pPr>
    </w:p>
    <w:sectPr w:rsidR="00802BBB" w:rsidRPr="00A772C9" w:rsidSect="00342187">
      <w:headerReference w:type="default" r:id="rId7"/>
      <w:footerReference w:type="default" r:id="rId8"/>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846C3" w14:textId="77777777" w:rsidR="00E33ADB" w:rsidRDefault="00E33ADB" w:rsidP="00012065">
      <w:pPr>
        <w:spacing w:after="0" w:line="240" w:lineRule="auto"/>
      </w:pPr>
      <w:r>
        <w:separator/>
      </w:r>
    </w:p>
  </w:endnote>
  <w:endnote w:type="continuationSeparator" w:id="0">
    <w:p w14:paraId="56B8089F" w14:textId="77777777" w:rsidR="00E33ADB" w:rsidRDefault="00E33ADB"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F349F" w14:textId="62C1A51B" w:rsidR="0028497A" w:rsidRDefault="0028497A" w:rsidP="0028497A">
    <w:pPr>
      <w:pStyle w:val="Piedepgina"/>
      <w:jc w:val="right"/>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14AF01AB" wp14:editId="10C311B8">
              <wp:simplePos x="0" y="0"/>
              <wp:positionH relativeFrom="column">
                <wp:posOffset>103505</wp:posOffset>
              </wp:positionH>
              <wp:positionV relativeFrom="paragraph">
                <wp:posOffset>77722</wp:posOffset>
              </wp:positionV>
              <wp:extent cx="5391150" cy="0"/>
              <wp:effectExtent l="0" t="0" r="0" b="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14F66" id="Conector recto 1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6.1pt" to="432.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58F9AA14" wp14:editId="7FEB1BCD">
              <wp:simplePos x="0" y="0"/>
              <wp:positionH relativeFrom="margin">
                <wp:align>center</wp:align>
              </wp:positionH>
              <wp:positionV relativeFrom="paragraph">
                <wp:posOffset>47014</wp:posOffset>
              </wp:positionV>
              <wp:extent cx="5391150"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45BD3" id="Conector recto 9"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pt" to="42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" strokecolor="#5b9bd5 [3204]" strokeweight="1pt">
              <v:stroke joinstyle="miter"/>
              <w10:wrap anchorx="margin"/>
            </v:line>
          </w:pict>
        </mc:Fallback>
      </mc:AlternateContent>
    </w:r>
  </w:p>
  <w:p w14:paraId="014F4AEE" w14:textId="3C8FDD09" w:rsidR="0028497A" w:rsidRDefault="00E33ADB" w:rsidP="0028497A">
    <w:pPr>
      <w:pStyle w:val="Piedepgina"/>
      <w:jc w:val="right"/>
      <w:rPr>
        <w:lang w:val="en-US"/>
      </w:rPr>
    </w:pPr>
    <w:r>
      <w:fldChar w:fldCharType="begin"/>
    </w:r>
    <w:r w:rsidRPr="00262280">
      <w:rPr>
        <w:lang w:val="en-US"/>
      </w:rPr>
      <w:instrText xml:space="preserve"> HYPERLINK "mailto:uaip@sanrafaelcedros.gob.sv" </w:instrText>
    </w:r>
    <w:r>
      <w:fldChar w:fldCharType="separate"/>
    </w:r>
    <w:r w:rsidR="0028497A" w:rsidRPr="00210092">
      <w:rPr>
        <w:rStyle w:val="Hipervnculo"/>
        <w:lang w:val="en-US"/>
      </w:rPr>
      <w:t>uaip@sanrafaelcedros.gob.sv</w:t>
    </w:r>
    <w:r>
      <w:rPr>
        <w:rStyle w:val="Hipervnculo"/>
        <w:lang w:val="en-US"/>
      </w:rPr>
      <w:fldChar w:fldCharType="end"/>
    </w:r>
    <w:r w:rsidR="0028497A" w:rsidRPr="003B6311">
      <w:rPr>
        <w:lang w:val="en-US"/>
      </w:rPr>
      <w:t xml:space="preserve"> </w:t>
    </w:r>
    <w:r w:rsidR="0028497A" w:rsidRPr="00E74AB0">
      <w:rPr>
        <w:lang w:val="en-US"/>
      </w:rPr>
      <w:t xml:space="preserve">  </w:t>
    </w:r>
  </w:p>
  <w:p w14:paraId="59FA403C" w14:textId="02C93F90" w:rsidR="0028497A" w:rsidRDefault="0028497A" w:rsidP="0028497A">
    <w:pPr>
      <w:pStyle w:val="Piedepgina"/>
      <w:jc w:val="right"/>
      <w:rPr>
        <w:rStyle w:val="Hipervnculo"/>
        <w:lang w:val="en-US"/>
      </w:rPr>
    </w:pPr>
    <w:r w:rsidRPr="00E74AB0">
      <w:rPr>
        <w:lang w:val="en-US"/>
      </w:rPr>
      <w:t xml:space="preserve"> </w:t>
    </w:r>
    <w:r w:rsidR="00E33ADB">
      <w:fldChar w:fldCharType="begin"/>
    </w:r>
    <w:r w:rsidR="00E33ADB" w:rsidRPr="00262280">
      <w:rPr>
        <w:lang w:val="en-US"/>
      </w:rPr>
      <w:instrText xml:space="preserve"> HYPERLINK "https://www.transparencia.gob.sv/institutions/amsrc" </w:instrText>
    </w:r>
    <w:r w:rsidR="00E33ADB">
      <w:fldChar w:fldCharType="separate"/>
    </w:r>
    <w:r w:rsidRPr="003B6311">
      <w:rPr>
        <w:rStyle w:val="Hipervnculo"/>
        <w:lang w:val="en-US"/>
      </w:rPr>
      <w:t>transparencia.gob.sv/institutions/</w:t>
    </w:r>
    <w:proofErr w:type="spellStart"/>
    <w:r w:rsidRPr="003B6311">
      <w:rPr>
        <w:rStyle w:val="Hipervnculo"/>
        <w:lang w:val="en-US"/>
      </w:rPr>
      <w:t>amsrc</w:t>
    </w:r>
    <w:proofErr w:type="spellEnd"/>
    <w:r w:rsidR="00E33ADB">
      <w:rPr>
        <w:rStyle w:val="Hipervnculo"/>
        <w:lang w:val="en-US"/>
      </w:rPr>
      <w:fldChar w:fldCharType="end"/>
    </w:r>
  </w:p>
  <w:p w14:paraId="707F2B57" w14:textId="77777777" w:rsidR="0028497A" w:rsidRPr="0095674D" w:rsidRDefault="0028497A" w:rsidP="0028497A">
    <w:pPr>
      <w:pStyle w:val="Piedepgina"/>
      <w:jc w:val="right"/>
      <w:rPr>
        <w:lang w:val="en-US"/>
      </w:rPr>
    </w:pPr>
    <w:r>
      <w:rPr>
        <w:rStyle w:val="Hipervnculo"/>
        <w:lang w:val="en-US"/>
      </w:rPr>
      <w:t>2347-2020</w:t>
    </w:r>
  </w:p>
  <w:p w14:paraId="65045FB6" w14:textId="03760C47" w:rsidR="009B6A66" w:rsidRPr="009D4285" w:rsidRDefault="009B6A66">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F5C0C" w14:textId="77777777" w:rsidR="00E33ADB" w:rsidRDefault="00E33ADB" w:rsidP="00012065">
      <w:pPr>
        <w:spacing w:after="0" w:line="240" w:lineRule="auto"/>
      </w:pPr>
      <w:r>
        <w:separator/>
      </w:r>
    </w:p>
  </w:footnote>
  <w:footnote w:type="continuationSeparator" w:id="0">
    <w:p w14:paraId="00932CA3" w14:textId="77777777" w:rsidR="00E33ADB" w:rsidRDefault="00E33ADB"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F8D8D" w14:textId="77777777" w:rsidR="009B6A66" w:rsidRPr="00012065" w:rsidRDefault="009B6A66"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14DB40DE" wp14:editId="3A543B32">
              <wp:simplePos x="0" y="0"/>
              <wp:positionH relativeFrom="column">
                <wp:posOffset>-4115</wp:posOffset>
              </wp:positionH>
              <wp:positionV relativeFrom="paragraph">
                <wp:posOffset>260985</wp:posOffset>
              </wp:positionV>
              <wp:extent cx="5391303" cy="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CB274" id="Conector recto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0.55pt" to="42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4C6FCFFE" wp14:editId="788B3383">
              <wp:simplePos x="0" y="0"/>
              <wp:positionH relativeFrom="column">
                <wp:posOffset>-4802</wp:posOffset>
              </wp:positionH>
              <wp:positionV relativeFrom="paragraph">
                <wp:posOffset>223392</wp:posOffset>
              </wp:positionV>
              <wp:extent cx="5391303"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6AB20"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7.6pt" to="424.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" strokecolor="#5b9bd5 [3204]" strokeweight="1pt">
              <v:stroke joinstyle="miter"/>
            </v:line>
          </w:pict>
        </mc:Fallback>
      </mc:AlternateContent>
    </w:r>
    <w:r w:rsidR="00DB3F09">
      <w:rPr>
        <w:rFonts w:ascii="Century Gothic" w:hAnsi="Century Gothic"/>
        <w:noProof/>
        <w:lang w:eastAsia="es-SV"/>
      </w:rPr>
      <w:drawing>
        <wp:anchor distT="0" distB="0" distL="114300" distR="114300" simplePos="0" relativeHeight="251659776" behindDoc="1" locked="0" layoutInCell="1" allowOverlap="1" wp14:anchorId="0F442C8B" wp14:editId="456D7F07">
          <wp:simplePos x="0" y="0"/>
          <wp:positionH relativeFrom="column">
            <wp:posOffset>5612765</wp:posOffset>
          </wp:positionH>
          <wp:positionV relativeFrom="paragraph">
            <wp:posOffset>-332105</wp:posOffset>
          </wp:positionV>
          <wp:extent cx="658495" cy="779780"/>
          <wp:effectExtent l="0" t="0" r="8255" b="1270"/>
          <wp:wrapNone/>
          <wp:docPr id="6"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79780"/>
                  </a:xfrm>
                  <a:prstGeom prst="rect">
                    <a:avLst/>
                  </a:prstGeom>
                  <a:noFill/>
                </pic:spPr>
              </pic:pic>
            </a:graphicData>
          </a:graphic>
          <wp14:sizeRelH relativeFrom="page">
            <wp14:pctWidth>0</wp14:pctWidth>
          </wp14:sizeRelH>
          <wp14:sizeRelV relativeFrom="page">
            <wp14:pctHeight>0</wp14:pctHeight>
          </wp14:sizeRelV>
        </wp:anchor>
      </w:drawing>
    </w:r>
    <w:r w:rsidRPr="00012065">
      <w:rPr>
        <w:rFonts w:ascii="Century Gothic" w:hAnsi="Century Gothic"/>
      </w:rPr>
      <w:t>UNIDAD DE ACCESO A LA INFORMACION PUBLICA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6505A"/>
    <w:multiLevelType w:val="multilevel"/>
    <w:tmpl w:val="B19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63799"/>
    <w:multiLevelType w:val="multilevel"/>
    <w:tmpl w:val="45C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71DF2"/>
    <w:multiLevelType w:val="hybridMultilevel"/>
    <w:tmpl w:val="18EA25C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A67EA6"/>
    <w:multiLevelType w:val="multilevel"/>
    <w:tmpl w:val="FC1A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63CE3"/>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3A1DAC"/>
    <w:multiLevelType w:val="hybridMultilevel"/>
    <w:tmpl w:val="0DFE4A8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8D0CBA"/>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383658"/>
    <w:multiLevelType w:val="hybridMultilevel"/>
    <w:tmpl w:val="8CF4F754"/>
    <w:lvl w:ilvl="0" w:tplc="12C43938">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70E1BF8"/>
    <w:multiLevelType w:val="multilevel"/>
    <w:tmpl w:val="5B50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619E8"/>
    <w:multiLevelType w:val="multilevel"/>
    <w:tmpl w:val="2346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D64E7"/>
    <w:multiLevelType w:val="hybridMultilevel"/>
    <w:tmpl w:val="5778FE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9B32CB8"/>
    <w:multiLevelType w:val="hybridMultilevel"/>
    <w:tmpl w:val="A3521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A502F13"/>
    <w:multiLevelType w:val="hybridMultilevel"/>
    <w:tmpl w:val="522028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A9E5D85"/>
    <w:multiLevelType w:val="hybridMultilevel"/>
    <w:tmpl w:val="F7AC351A"/>
    <w:lvl w:ilvl="0" w:tplc="55DEA1A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0132A9"/>
    <w:multiLevelType w:val="hybridMultilevel"/>
    <w:tmpl w:val="B92A1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B80891"/>
    <w:multiLevelType w:val="multilevel"/>
    <w:tmpl w:val="AFB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0491E"/>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AE557EF"/>
    <w:multiLevelType w:val="multilevel"/>
    <w:tmpl w:val="7B1C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D5197C"/>
    <w:multiLevelType w:val="hybridMultilevel"/>
    <w:tmpl w:val="D57CA5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32B34C1"/>
    <w:multiLevelType w:val="multilevel"/>
    <w:tmpl w:val="0646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A71594"/>
    <w:multiLevelType w:val="hybridMultilevel"/>
    <w:tmpl w:val="E90E6F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B81AAD"/>
    <w:multiLevelType w:val="hybridMultilevel"/>
    <w:tmpl w:val="BA12BE3A"/>
    <w:lvl w:ilvl="0" w:tplc="FAA05F6A">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65D4B89"/>
    <w:multiLevelType w:val="hybridMultilevel"/>
    <w:tmpl w:val="A90A8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EA574B"/>
    <w:multiLevelType w:val="hybridMultilevel"/>
    <w:tmpl w:val="1E90D0F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3CA958C6"/>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3CE7381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253209B"/>
    <w:multiLevelType w:val="hybridMultilevel"/>
    <w:tmpl w:val="99223532"/>
    <w:lvl w:ilvl="0" w:tplc="0FC41F8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2546493"/>
    <w:multiLevelType w:val="hybridMultilevel"/>
    <w:tmpl w:val="5BB0066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43FE2CB9"/>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ED0177"/>
    <w:multiLevelType w:val="hybridMultilevel"/>
    <w:tmpl w:val="CB726E0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F680B6F"/>
    <w:multiLevelType w:val="hybridMultilevel"/>
    <w:tmpl w:val="856AC4B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FAF2009"/>
    <w:multiLevelType w:val="hybridMultilevel"/>
    <w:tmpl w:val="AC44489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C14E55"/>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4296C53"/>
    <w:multiLevelType w:val="hybridMultilevel"/>
    <w:tmpl w:val="DA9C481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5142021"/>
    <w:multiLevelType w:val="hybridMultilevel"/>
    <w:tmpl w:val="8364185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7AA537D"/>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F644B01"/>
    <w:multiLevelType w:val="multilevel"/>
    <w:tmpl w:val="3A0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425A8D"/>
    <w:multiLevelType w:val="hybridMultilevel"/>
    <w:tmpl w:val="3280A1E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6C86120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EF911E7"/>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1E64E2"/>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5C4396E"/>
    <w:multiLevelType w:val="hybridMultilevel"/>
    <w:tmpl w:val="E2E276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552A4F"/>
    <w:multiLevelType w:val="hybridMultilevel"/>
    <w:tmpl w:val="51CA26D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CAC2DBD"/>
    <w:multiLevelType w:val="multilevel"/>
    <w:tmpl w:val="F0C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E530A"/>
    <w:multiLevelType w:val="hybridMultilevel"/>
    <w:tmpl w:val="C0C003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0"/>
  </w:num>
  <w:num w:numId="2">
    <w:abstractNumId w:val="44"/>
  </w:num>
  <w:num w:numId="3">
    <w:abstractNumId w:val="27"/>
  </w:num>
  <w:num w:numId="4">
    <w:abstractNumId w:val="26"/>
  </w:num>
  <w:num w:numId="5">
    <w:abstractNumId w:val="41"/>
  </w:num>
  <w:num w:numId="6">
    <w:abstractNumId w:val="5"/>
  </w:num>
  <w:num w:numId="7">
    <w:abstractNumId w:val="13"/>
  </w:num>
  <w:num w:numId="8">
    <w:abstractNumId w:val="46"/>
  </w:num>
  <w:num w:numId="9">
    <w:abstractNumId w:val="0"/>
  </w:num>
  <w:num w:numId="10">
    <w:abstractNumId w:val="37"/>
  </w:num>
  <w:num w:numId="11">
    <w:abstractNumId w:val="34"/>
  </w:num>
  <w:num w:numId="12">
    <w:abstractNumId w:val="42"/>
  </w:num>
  <w:num w:numId="13">
    <w:abstractNumId w:val="30"/>
  </w:num>
  <w:num w:numId="14">
    <w:abstractNumId w:val="12"/>
  </w:num>
  <w:num w:numId="15">
    <w:abstractNumId w:val="7"/>
  </w:num>
  <w:num w:numId="16">
    <w:abstractNumId w:val="17"/>
  </w:num>
  <w:num w:numId="17">
    <w:abstractNumId w:val="16"/>
  </w:num>
  <w:num w:numId="18">
    <w:abstractNumId w:val="21"/>
  </w:num>
  <w:num w:numId="19">
    <w:abstractNumId w:val="9"/>
  </w:num>
  <w:num w:numId="20">
    <w:abstractNumId w:val="1"/>
  </w:num>
  <w:num w:numId="21">
    <w:abstractNumId w:val="4"/>
  </w:num>
  <w:num w:numId="22">
    <w:abstractNumId w:val="10"/>
  </w:num>
  <w:num w:numId="23">
    <w:abstractNumId w:val="19"/>
  </w:num>
  <w:num w:numId="24">
    <w:abstractNumId w:val="45"/>
  </w:num>
  <w:num w:numId="25">
    <w:abstractNumId w:val="38"/>
  </w:num>
  <w:num w:numId="26">
    <w:abstractNumId w:val="2"/>
  </w:num>
  <w:num w:numId="27">
    <w:abstractNumId w:val="36"/>
  </w:num>
  <w:num w:numId="28">
    <w:abstractNumId w:val="25"/>
  </w:num>
  <w:num w:numId="29">
    <w:abstractNumId w:val="32"/>
  </w:num>
  <w:num w:numId="30">
    <w:abstractNumId w:val="6"/>
  </w:num>
  <w:num w:numId="31">
    <w:abstractNumId w:val="20"/>
  </w:num>
  <w:num w:numId="32">
    <w:abstractNumId w:val="31"/>
  </w:num>
  <w:num w:numId="33">
    <w:abstractNumId w:val="35"/>
  </w:num>
  <w:num w:numId="34">
    <w:abstractNumId w:val="11"/>
  </w:num>
  <w:num w:numId="35">
    <w:abstractNumId w:val="3"/>
  </w:num>
  <w:num w:numId="36">
    <w:abstractNumId w:val="39"/>
  </w:num>
  <w:num w:numId="37">
    <w:abstractNumId w:val="43"/>
  </w:num>
  <w:num w:numId="38">
    <w:abstractNumId w:val="22"/>
  </w:num>
  <w:num w:numId="39">
    <w:abstractNumId w:val="33"/>
  </w:num>
  <w:num w:numId="40">
    <w:abstractNumId w:val="23"/>
  </w:num>
  <w:num w:numId="41">
    <w:abstractNumId w:val="14"/>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5"/>
  </w:num>
  <w:num w:numId="45">
    <w:abstractNumId w:val="18"/>
  </w:num>
  <w:num w:numId="46">
    <w:abstractNumId w:val="8"/>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D"/>
    <w:rsid w:val="000030C3"/>
    <w:rsid w:val="00003762"/>
    <w:rsid w:val="00012065"/>
    <w:rsid w:val="00067B31"/>
    <w:rsid w:val="000A5F55"/>
    <w:rsid w:val="000B6F5A"/>
    <w:rsid w:val="000F0F9E"/>
    <w:rsid w:val="00112E96"/>
    <w:rsid w:val="00163CDA"/>
    <w:rsid w:val="00164E75"/>
    <w:rsid w:val="00174E7B"/>
    <w:rsid w:val="001757F6"/>
    <w:rsid w:val="00182CC8"/>
    <w:rsid w:val="00185CAF"/>
    <w:rsid w:val="0019467F"/>
    <w:rsid w:val="001B4659"/>
    <w:rsid w:val="001E69B2"/>
    <w:rsid w:val="0022439F"/>
    <w:rsid w:val="00236029"/>
    <w:rsid w:val="00244971"/>
    <w:rsid w:val="00262280"/>
    <w:rsid w:val="00271B3C"/>
    <w:rsid w:val="00271F86"/>
    <w:rsid w:val="0028497A"/>
    <w:rsid w:val="002C5623"/>
    <w:rsid w:val="002E2639"/>
    <w:rsid w:val="002F4C2B"/>
    <w:rsid w:val="00313403"/>
    <w:rsid w:val="00342187"/>
    <w:rsid w:val="0035737A"/>
    <w:rsid w:val="003707CF"/>
    <w:rsid w:val="0039463E"/>
    <w:rsid w:val="003A0CDA"/>
    <w:rsid w:val="003C73EB"/>
    <w:rsid w:val="003F1480"/>
    <w:rsid w:val="003F2F5B"/>
    <w:rsid w:val="00400974"/>
    <w:rsid w:val="0040594D"/>
    <w:rsid w:val="00411A26"/>
    <w:rsid w:val="00414058"/>
    <w:rsid w:val="0048233A"/>
    <w:rsid w:val="004B42C0"/>
    <w:rsid w:val="004C554B"/>
    <w:rsid w:val="004D0226"/>
    <w:rsid w:val="00525DD8"/>
    <w:rsid w:val="00584095"/>
    <w:rsid w:val="00593E79"/>
    <w:rsid w:val="005A44F0"/>
    <w:rsid w:val="005B0BC8"/>
    <w:rsid w:val="005B5B6D"/>
    <w:rsid w:val="005C724A"/>
    <w:rsid w:val="005E3623"/>
    <w:rsid w:val="0067137B"/>
    <w:rsid w:val="00696217"/>
    <w:rsid w:val="006A37C5"/>
    <w:rsid w:val="006A7450"/>
    <w:rsid w:val="00732AB9"/>
    <w:rsid w:val="007457C0"/>
    <w:rsid w:val="00746AF0"/>
    <w:rsid w:val="007479AC"/>
    <w:rsid w:val="0076523B"/>
    <w:rsid w:val="00796C87"/>
    <w:rsid w:val="007A2E87"/>
    <w:rsid w:val="007A3269"/>
    <w:rsid w:val="007A44B5"/>
    <w:rsid w:val="007F085F"/>
    <w:rsid w:val="007F4273"/>
    <w:rsid w:val="007F5333"/>
    <w:rsid w:val="00802BBB"/>
    <w:rsid w:val="00815203"/>
    <w:rsid w:val="00815FA8"/>
    <w:rsid w:val="00855778"/>
    <w:rsid w:val="008650CD"/>
    <w:rsid w:val="00875EC1"/>
    <w:rsid w:val="008837E5"/>
    <w:rsid w:val="008A37D8"/>
    <w:rsid w:val="008B6607"/>
    <w:rsid w:val="008C5C1E"/>
    <w:rsid w:val="008D6E6D"/>
    <w:rsid w:val="00902F37"/>
    <w:rsid w:val="00923C33"/>
    <w:rsid w:val="0097168D"/>
    <w:rsid w:val="00972CE0"/>
    <w:rsid w:val="00994104"/>
    <w:rsid w:val="00994962"/>
    <w:rsid w:val="009A0ABC"/>
    <w:rsid w:val="009B2D15"/>
    <w:rsid w:val="009B6A66"/>
    <w:rsid w:val="009D4285"/>
    <w:rsid w:val="009F299A"/>
    <w:rsid w:val="009F3DDA"/>
    <w:rsid w:val="00A04161"/>
    <w:rsid w:val="00A32F67"/>
    <w:rsid w:val="00A7050A"/>
    <w:rsid w:val="00A72F05"/>
    <w:rsid w:val="00A772C9"/>
    <w:rsid w:val="00A90D24"/>
    <w:rsid w:val="00A97B80"/>
    <w:rsid w:val="00B70E4F"/>
    <w:rsid w:val="00B87C22"/>
    <w:rsid w:val="00BA1DA8"/>
    <w:rsid w:val="00BE11F5"/>
    <w:rsid w:val="00BE251D"/>
    <w:rsid w:val="00BF2542"/>
    <w:rsid w:val="00C17614"/>
    <w:rsid w:val="00C27ED0"/>
    <w:rsid w:val="00C35FB1"/>
    <w:rsid w:val="00C37261"/>
    <w:rsid w:val="00C54230"/>
    <w:rsid w:val="00CC706A"/>
    <w:rsid w:val="00CC79B6"/>
    <w:rsid w:val="00D01CB1"/>
    <w:rsid w:val="00D25412"/>
    <w:rsid w:val="00D55126"/>
    <w:rsid w:val="00D5613A"/>
    <w:rsid w:val="00DB187D"/>
    <w:rsid w:val="00DB3F09"/>
    <w:rsid w:val="00DB78DA"/>
    <w:rsid w:val="00E21C89"/>
    <w:rsid w:val="00E23B6A"/>
    <w:rsid w:val="00E33ADB"/>
    <w:rsid w:val="00E56B1D"/>
    <w:rsid w:val="00E71126"/>
    <w:rsid w:val="00EA2E25"/>
    <w:rsid w:val="00EA4FAC"/>
    <w:rsid w:val="00EE5D7C"/>
    <w:rsid w:val="00EE6409"/>
    <w:rsid w:val="00EF4281"/>
    <w:rsid w:val="00F12371"/>
    <w:rsid w:val="00F13AC8"/>
    <w:rsid w:val="00F5099C"/>
    <w:rsid w:val="00F62EA2"/>
    <w:rsid w:val="00F81E57"/>
    <w:rsid w:val="00F95F9A"/>
    <w:rsid w:val="00FA0E69"/>
    <w:rsid w:val="00FA70F5"/>
    <w:rsid w:val="00FB0053"/>
    <w:rsid w:val="00FE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2B15E"/>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F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9"/>
      </w:numPr>
      <w:contextualSpacing/>
    </w:pPr>
  </w:style>
  <w:style w:type="character" w:styleId="Hipervnculo">
    <w:name w:val="Hyperlink"/>
    <w:basedOn w:val="Fuentedeprrafopredeter"/>
    <w:uiPriority w:val="99"/>
    <w:unhideWhenUsed/>
    <w:rsid w:val="008B6607"/>
    <w:rPr>
      <w:color w:val="0000FF"/>
      <w:u w:val="single"/>
    </w:rPr>
  </w:style>
  <w:style w:type="character" w:styleId="Mencinsinresolver">
    <w:name w:val="Unresolved Mention"/>
    <w:basedOn w:val="Fuentedeprrafopredeter"/>
    <w:uiPriority w:val="99"/>
    <w:semiHidden/>
    <w:unhideWhenUsed/>
    <w:rsid w:val="00284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857352041">
      <w:bodyDiv w:val="1"/>
      <w:marLeft w:val="0"/>
      <w:marRight w:val="0"/>
      <w:marTop w:val="0"/>
      <w:marBottom w:val="0"/>
      <w:divBdr>
        <w:top w:val="none" w:sz="0" w:space="0" w:color="auto"/>
        <w:left w:val="none" w:sz="0" w:space="0" w:color="auto"/>
        <w:bottom w:val="none" w:sz="0" w:space="0" w:color="auto"/>
        <w:right w:val="none" w:sz="0" w:space="0" w:color="auto"/>
      </w:divBdr>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632</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3</cp:revision>
  <cp:lastPrinted>2020-07-10T19:08:00Z</cp:lastPrinted>
  <dcterms:created xsi:type="dcterms:W3CDTF">2020-08-11T20:05:00Z</dcterms:created>
  <dcterms:modified xsi:type="dcterms:W3CDTF">2020-08-11T20:50:00Z</dcterms:modified>
</cp:coreProperties>
</file>