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A25" w14:textId="77777777" w:rsidR="002A2216" w:rsidRPr="002A2216" w:rsidRDefault="002A2216" w:rsidP="002A2216">
      <w:pPr>
        <w:spacing w:line="360" w:lineRule="auto"/>
        <w:jc w:val="right"/>
        <w:rPr>
          <w:rFonts w:ascii="Century Gothic" w:hAnsi="Century Gothic" w:cs="Helvetica"/>
          <w:color w:val="212121"/>
          <w:sz w:val="24"/>
          <w:shd w:val="clear" w:color="auto" w:fill="FFFFFF"/>
        </w:rPr>
      </w:pPr>
      <w:r w:rsidRPr="002A2216">
        <w:rPr>
          <w:rFonts w:ascii="Century Gothic" w:hAnsi="Century Gothic" w:cs="Helvetica"/>
          <w:color w:val="212121"/>
          <w:sz w:val="24"/>
          <w:shd w:val="clear" w:color="auto" w:fill="FFFFFF"/>
        </w:rPr>
        <w:t>San Rafael Cedros, 27 de Octubre de 2015</w:t>
      </w:r>
    </w:p>
    <w:p w14:paraId="2756E76D" w14:textId="77777777" w:rsidR="002A2216" w:rsidRPr="002A2216" w:rsidRDefault="002A2216" w:rsidP="002A2216">
      <w:pPr>
        <w:spacing w:line="360" w:lineRule="auto"/>
        <w:jc w:val="both"/>
        <w:rPr>
          <w:rFonts w:ascii="Century Gothic" w:hAnsi="Century Gothic" w:cs="Helvetica"/>
          <w:color w:val="212121"/>
          <w:sz w:val="24"/>
          <w:shd w:val="clear" w:color="auto" w:fill="FFFFFF"/>
        </w:rPr>
      </w:pPr>
    </w:p>
    <w:p w14:paraId="2CCE9F80" w14:textId="77777777" w:rsidR="002A2216" w:rsidRDefault="002A2216" w:rsidP="002A2216">
      <w:pPr>
        <w:spacing w:after="0" w:line="360" w:lineRule="auto"/>
        <w:jc w:val="both"/>
        <w:rPr>
          <w:rFonts w:ascii="Century Gothic" w:hAnsi="Century Gothic" w:cs="Helvetica"/>
          <w:b/>
          <w:color w:val="212121"/>
          <w:sz w:val="24"/>
          <w:shd w:val="clear" w:color="auto" w:fill="FFFFFF"/>
        </w:rPr>
      </w:pPr>
      <w:r w:rsidRPr="002A2216">
        <w:rPr>
          <w:rFonts w:ascii="Century Gothic" w:hAnsi="Century Gothic" w:cs="Helvetica"/>
          <w:b/>
          <w:color w:val="212121"/>
          <w:sz w:val="24"/>
          <w:shd w:val="clear" w:color="auto" w:fill="FFFFFF"/>
        </w:rPr>
        <w:t>Presente</w:t>
      </w:r>
    </w:p>
    <w:p w14:paraId="0DC9C6FF" w14:textId="77777777" w:rsidR="002A2216" w:rsidRDefault="002A2216" w:rsidP="002A2216">
      <w:pPr>
        <w:spacing w:after="0" w:line="360" w:lineRule="auto"/>
        <w:jc w:val="both"/>
        <w:rPr>
          <w:rFonts w:ascii="Century Gothic" w:hAnsi="Century Gothic" w:cs="Helvetica"/>
          <w:b/>
          <w:color w:val="212121"/>
          <w:sz w:val="24"/>
          <w:shd w:val="clear" w:color="auto" w:fill="FFFFFF"/>
        </w:rPr>
      </w:pPr>
    </w:p>
    <w:p w14:paraId="10E3E1C8" w14:textId="77777777" w:rsidR="002A2216" w:rsidRPr="002A2216" w:rsidRDefault="002A2216" w:rsidP="002A2216">
      <w:pPr>
        <w:spacing w:after="0" w:line="360" w:lineRule="auto"/>
        <w:jc w:val="both"/>
        <w:rPr>
          <w:rFonts w:ascii="Century Gothic" w:hAnsi="Century Gothic" w:cs="Helvetica"/>
          <w:b/>
          <w:color w:val="212121"/>
          <w:sz w:val="24"/>
          <w:shd w:val="clear" w:color="auto" w:fill="FFFFFF"/>
        </w:rPr>
      </w:pPr>
    </w:p>
    <w:p w14:paraId="11597187" w14:textId="15AADB83" w:rsidR="00985529" w:rsidRDefault="002A2216" w:rsidP="002A2216">
      <w:pPr>
        <w:spacing w:line="360" w:lineRule="auto"/>
        <w:jc w:val="both"/>
        <w:rPr>
          <w:rFonts w:ascii="Century Gothic" w:hAnsi="Century Gothic" w:cs="Helvetica"/>
          <w:color w:val="212121"/>
          <w:sz w:val="24"/>
          <w:shd w:val="clear" w:color="auto" w:fill="FFFFFF"/>
        </w:rPr>
      </w:pPr>
      <w:r>
        <w:rPr>
          <w:rFonts w:ascii="Century Gothic" w:hAnsi="Century Gothic" w:cs="Helvetica"/>
          <w:color w:val="212121"/>
          <w:sz w:val="24"/>
          <w:shd w:val="clear" w:color="auto" w:fill="FFFFFF"/>
        </w:rPr>
        <w:t xml:space="preserve">El motivo de la presente es para  responder a la solicitud realizada </w:t>
      </w:r>
      <w:r w:rsidRPr="002A2216">
        <w:rPr>
          <w:rFonts w:ascii="Century Gothic" w:hAnsi="Century Gothic" w:cs="Helvetica"/>
          <w:color w:val="212121"/>
          <w:sz w:val="24"/>
          <w:shd w:val="clear" w:color="auto" w:fill="FFFFFF"/>
        </w:rPr>
        <w:t>por su persona el día 16/10/2015, con mención que no se encuentra una ordenanza general del municipio así como una</w:t>
      </w:r>
      <w:r w:rsidR="00B95C92">
        <w:rPr>
          <w:rFonts w:ascii="Century Gothic" w:hAnsi="Century Gothic" w:cs="Helvetica"/>
          <w:color w:val="212121"/>
          <w:sz w:val="24"/>
          <w:shd w:val="clear" w:color="auto" w:fill="FFFFFF"/>
        </w:rPr>
        <w:t xml:space="preserve"> </w:t>
      </w:r>
      <w:r w:rsidR="00B95C92">
        <w:rPr>
          <w:rFonts w:ascii="Century Gothic" w:hAnsi="Century Gothic" w:cs="Helvetica"/>
          <w:color w:val="212121"/>
          <w:sz w:val="24"/>
          <w:shd w:val="clear" w:color="auto" w:fill="FFFFFF"/>
        </w:rPr>
        <w:tab/>
        <w:t xml:space="preserve">para </w:t>
      </w:r>
      <w:bookmarkStart w:id="0" w:name="_GoBack"/>
      <w:bookmarkEnd w:id="0"/>
      <w:r w:rsidRPr="002A2216">
        <w:rPr>
          <w:rFonts w:ascii="Century Gothic" w:hAnsi="Century Gothic" w:cs="Helvetica"/>
          <w:color w:val="212121"/>
          <w:sz w:val="24"/>
          <w:shd w:val="clear" w:color="auto" w:fill="FFFFFF"/>
        </w:rPr>
        <w:t xml:space="preserve"> el funcionamiento del tiangue mun</w:t>
      </w:r>
      <w:r>
        <w:rPr>
          <w:rFonts w:ascii="Century Gothic" w:hAnsi="Century Gothic" w:cs="Helvetica"/>
          <w:color w:val="212121"/>
          <w:sz w:val="24"/>
          <w:shd w:val="clear" w:color="auto" w:fill="FFFFFF"/>
        </w:rPr>
        <w:t>icipal, ya que en dicha unidad se encuentra un jefe de Ganadería el cual vela por el orden dentro de las instalaciones del tiangue municipal y su respectivo funcionamiento del mismo.</w:t>
      </w:r>
    </w:p>
    <w:p w14:paraId="2F65008A" w14:textId="77777777" w:rsidR="002A2216" w:rsidRDefault="002A2216" w:rsidP="002A2216">
      <w:pPr>
        <w:spacing w:line="360" w:lineRule="auto"/>
        <w:jc w:val="both"/>
        <w:rPr>
          <w:rFonts w:ascii="Century Gothic" w:hAnsi="Century Gothic" w:cs="Helvetica"/>
          <w:color w:val="212121"/>
          <w:sz w:val="24"/>
          <w:shd w:val="clear" w:color="auto" w:fill="FFFFFF"/>
        </w:rPr>
      </w:pPr>
      <w:r>
        <w:rPr>
          <w:rFonts w:ascii="Century Gothic" w:hAnsi="Century Gothic" w:cs="Helvetica"/>
          <w:color w:val="212121"/>
          <w:sz w:val="24"/>
          <w:shd w:val="clear" w:color="auto" w:fill="FFFFFF"/>
        </w:rPr>
        <w:t>Se anexa:</w:t>
      </w:r>
    </w:p>
    <w:p w14:paraId="50D28653" w14:textId="77777777" w:rsidR="002A2216" w:rsidRDefault="002A2216" w:rsidP="002A2216">
      <w:pPr>
        <w:pStyle w:val="Prrafodelista"/>
        <w:numPr>
          <w:ilvl w:val="0"/>
          <w:numId w:val="1"/>
        </w:numPr>
        <w:spacing w:line="360" w:lineRule="auto"/>
        <w:jc w:val="both"/>
        <w:rPr>
          <w:rFonts w:ascii="Century Gothic" w:hAnsi="Century Gothic"/>
          <w:sz w:val="24"/>
        </w:rPr>
      </w:pPr>
      <w:r>
        <w:rPr>
          <w:rFonts w:ascii="Century Gothic" w:hAnsi="Century Gothic"/>
          <w:sz w:val="24"/>
        </w:rPr>
        <w:t>Organigrama institucional</w:t>
      </w:r>
    </w:p>
    <w:p w14:paraId="3777EFFA" w14:textId="77777777" w:rsidR="002A2216" w:rsidRDefault="002A2216" w:rsidP="002A2216">
      <w:pPr>
        <w:pStyle w:val="Prrafodelista"/>
        <w:numPr>
          <w:ilvl w:val="0"/>
          <w:numId w:val="1"/>
        </w:numPr>
        <w:spacing w:line="360" w:lineRule="auto"/>
        <w:jc w:val="both"/>
        <w:rPr>
          <w:rFonts w:ascii="Century Gothic" w:hAnsi="Century Gothic"/>
          <w:sz w:val="24"/>
        </w:rPr>
      </w:pPr>
      <w:r>
        <w:rPr>
          <w:rFonts w:ascii="Century Gothic" w:hAnsi="Century Gothic"/>
          <w:sz w:val="24"/>
        </w:rPr>
        <w:t>Documento que refleja medidas de tiangue municipal</w:t>
      </w:r>
    </w:p>
    <w:p w14:paraId="0F3E0AC9" w14:textId="77777777" w:rsidR="002A2216" w:rsidRDefault="002A2216" w:rsidP="002A2216">
      <w:pPr>
        <w:pStyle w:val="Prrafodelista"/>
        <w:numPr>
          <w:ilvl w:val="0"/>
          <w:numId w:val="1"/>
        </w:numPr>
        <w:spacing w:line="360" w:lineRule="auto"/>
        <w:jc w:val="both"/>
        <w:rPr>
          <w:rFonts w:ascii="Century Gothic" w:hAnsi="Century Gothic"/>
          <w:sz w:val="24"/>
        </w:rPr>
      </w:pPr>
      <w:r>
        <w:rPr>
          <w:rFonts w:ascii="Century Gothic" w:hAnsi="Century Gothic"/>
          <w:sz w:val="24"/>
        </w:rPr>
        <w:t>Documentación sobre presupuesto de tiangue (empleados)</w:t>
      </w:r>
    </w:p>
    <w:p w14:paraId="5A308700" w14:textId="77777777" w:rsidR="002A2216" w:rsidRDefault="002A2216" w:rsidP="002A2216">
      <w:pPr>
        <w:pStyle w:val="Prrafodelista"/>
        <w:numPr>
          <w:ilvl w:val="0"/>
          <w:numId w:val="1"/>
        </w:numPr>
        <w:spacing w:line="360" w:lineRule="auto"/>
        <w:jc w:val="both"/>
        <w:rPr>
          <w:rFonts w:ascii="Century Gothic" w:hAnsi="Century Gothic"/>
          <w:sz w:val="24"/>
        </w:rPr>
      </w:pPr>
      <w:r>
        <w:rPr>
          <w:rFonts w:ascii="Century Gothic" w:hAnsi="Century Gothic"/>
          <w:sz w:val="24"/>
        </w:rPr>
        <w:t>Documentación de estadística de cartas de venta.</w:t>
      </w:r>
    </w:p>
    <w:p w14:paraId="12B7FDDE" w14:textId="77777777" w:rsidR="002A2216" w:rsidRDefault="002A2216" w:rsidP="002A2216">
      <w:pPr>
        <w:spacing w:line="360" w:lineRule="auto"/>
        <w:jc w:val="both"/>
        <w:rPr>
          <w:rFonts w:ascii="Century Gothic" w:hAnsi="Century Gothic"/>
          <w:sz w:val="24"/>
        </w:rPr>
      </w:pPr>
    </w:p>
    <w:p w14:paraId="3792F295" w14:textId="77777777" w:rsidR="002A2216" w:rsidRDefault="002A2216" w:rsidP="002A2216">
      <w:pPr>
        <w:spacing w:line="360" w:lineRule="auto"/>
        <w:jc w:val="both"/>
        <w:rPr>
          <w:rFonts w:ascii="Century Gothic" w:hAnsi="Century Gothic"/>
          <w:sz w:val="24"/>
        </w:rPr>
      </w:pPr>
      <w:r>
        <w:rPr>
          <w:rFonts w:ascii="Century Gothic" w:hAnsi="Century Gothic"/>
          <w:sz w:val="24"/>
        </w:rPr>
        <w:t>Nota:</w:t>
      </w:r>
    </w:p>
    <w:p w14:paraId="1B711C2B" w14:textId="77777777" w:rsidR="002A2216" w:rsidRDefault="002A2216" w:rsidP="002A2216">
      <w:pPr>
        <w:spacing w:line="360" w:lineRule="auto"/>
        <w:jc w:val="both"/>
        <w:rPr>
          <w:rFonts w:ascii="Century Gothic" w:hAnsi="Century Gothic"/>
          <w:sz w:val="24"/>
        </w:rPr>
      </w:pPr>
      <w:r>
        <w:rPr>
          <w:rFonts w:ascii="Century Gothic" w:hAnsi="Century Gothic"/>
          <w:sz w:val="24"/>
        </w:rPr>
        <w:tab/>
        <w:t>En el documento de estadística de cartas de venta se presenta en ese formato ya que la persona que lo controla lleva un libro de actas en el cual se refleja dicho dato.</w:t>
      </w:r>
    </w:p>
    <w:p w14:paraId="5D524F86" w14:textId="77777777" w:rsidR="002A2216" w:rsidRDefault="002A2216" w:rsidP="002A2216">
      <w:pPr>
        <w:spacing w:line="360" w:lineRule="auto"/>
        <w:jc w:val="both"/>
        <w:rPr>
          <w:rFonts w:ascii="Century Gothic" w:hAnsi="Century Gothic"/>
          <w:sz w:val="24"/>
        </w:rPr>
      </w:pPr>
    </w:p>
    <w:p w14:paraId="39C1A078" w14:textId="77777777" w:rsidR="002A2216" w:rsidRPr="002A2216" w:rsidRDefault="002A2216" w:rsidP="002A2216">
      <w:pPr>
        <w:spacing w:line="360" w:lineRule="auto"/>
        <w:jc w:val="center"/>
        <w:rPr>
          <w:rFonts w:ascii="Century Gothic" w:hAnsi="Century Gothic"/>
          <w:b/>
          <w:sz w:val="24"/>
        </w:rPr>
      </w:pPr>
      <w:r w:rsidRPr="002A2216">
        <w:rPr>
          <w:rFonts w:ascii="Century Gothic" w:hAnsi="Century Gothic"/>
          <w:b/>
          <w:sz w:val="24"/>
        </w:rPr>
        <w:t>Jorge Daniel García Rivera</w:t>
      </w:r>
    </w:p>
    <w:p w14:paraId="5435FECC" w14:textId="77777777" w:rsidR="002A2216" w:rsidRPr="002A2216" w:rsidRDefault="002A2216" w:rsidP="002A2216">
      <w:pPr>
        <w:spacing w:line="360" w:lineRule="auto"/>
        <w:jc w:val="center"/>
        <w:rPr>
          <w:rFonts w:ascii="Century Gothic" w:hAnsi="Century Gothic"/>
          <w:b/>
          <w:sz w:val="24"/>
        </w:rPr>
      </w:pPr>
      <w:r w:rsidRPr="002A2216">
        <w:rPr>
          <w:rFonts w:ascii="Century Gothic" w:hAnsi="Century Gothic"/>
          <w:b/>
          <w:sz w:val="24"/>
        </w:rPr>
        <w:t>Oficial de Información.</w:t>
      </w:r>
    </w:p>
    <w:sectPr w:rsidR="002A2216" w:rsidRPr="002A22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8D0318"/>
    <w:multiLevelType w:val="hybridMultilevel"/>
    <w:tmpl w:val="D50231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216"/>
    <w:rsid w:val="002A2216"/>
    <w:rsid w:val="00985529"/>
    <w:rsid w:val="00B95C9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7E85B"/>
  <w15:chartTrackingRefBased/>
  <w15:docId w15:val="{2A61A0CD-FF6E-458D-8635-06DB01D0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2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135</Words>
  <Characters>745</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dc:description/>
  <cp:lastModifiedBy>UAIP - OFICIAL</cp:lastModifiedBy>
  <cp:revision>2</cp:revision>
  <cp:lastPrinted>2015-10-27T21:20:00Z</cp:lastPrinted>
  <dcterms:created xsi:type="dcterms:W3CDTF">2020-01-13T15:40:00Z</dcterms:created>
  <dcterms:modified xsi:type="dcterms:W3CDTF">2020-01-13T15:40:00Z</dcterms:modified>
</cp:coreProperties>
</file>