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1279A6" w14:textId="5ED18735" w:rsidR="001C5C2B" w:rsidRPr="000F51B6" w:rsidRDefault="00EA2E25" w:rsidP="001C5C2B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125EC6">
        <w:rPr>
          <w:rFonts w:ascii="Century Gothic" w:hAnsi="Century Gothic"/>
          <w:sz w:val="24"/>
          <w:szCs w:val="24"/>
        </w:rPr>
        <w:t>08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1C5C2B">
        <w:rPr>
          <w:rFonts w:ascii="Century Gothic" w:hAnsi="Century Gothic"/>
          <w:sz w:val="24"/>
          <w:szCs w:val="24"/>
        </w:rPr>
        <w:t>20</w:t>
      </w:r>
      <w:bookmarkStart w:id="0" w:name="_GoBack"/>
      <w:bookmarkEnd w:id="0"/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1AE0185A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 201</w:t>
      </w:r>
      <w:r w:rsidR="005E1B34">
        <w:rPr>
          <w:rFonts w:ascii="Century Gothic" w:hAnsi="Century Gothic" w:cs="Arial"/>
          <w:i/>
          <w:iCs/>
          <w:sz w:val="24"/>
          <w:szCs w:val="24"/>
        </w:rPr>
        <w:t>4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71297733" w14:textId="57CC8719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10498" w14:textId="77777777" w:rsidR="005604A0" w:rsidRDefault="005604A0" w:rsidP="00012065">
      <w:pPr>
        <w:spacing w:after="0" w:line="240" w:lineRule="auto"/>
      </w:pPr>
      <w:r>
        <w:separator/>
      </w:r>
    </w:p>
  </w:endnote>
  <w:endnote w:type="continuationSeparator" w:id="0">
    <w:p w14:paraId="2DB2C8F1" w14:textId="77777777" w:rsidR="005604A0" w:rsidRDefault="005604A0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CEE6E" w14:textId="77777777" w:rsidR="005604A0" w:rsidRDefault="005604A0" w:rsidP="00012065">
      <w:pPr>
        <w:spacing w:after="0" w:line="240" w:lineRule="auto"/>
      </w:pPr>
      <w:r>
        <w:separator/>
      </w:r>
    </w:p>
  </w:footnote>
  <w:footnote w:type="continuationSeparator" w:id="0">
    <w:p w14:paraId="71351859" w14:textId="77777777" w:rsidR="005604A0" w:rsidRDefault="005604A0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1C5C2B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5604A0"/>
    <w:rsid w:val="00591B4F"/>
    <w:rsid w:val="005C20A0"/>
    <w:rsid w:val="005D5A24"/>
    <w:rsid w:val="005E1B34"/>
    <w:rsid w:val="005E3623"/>
    <w:rsid w:val="00602777"/>
    <w:rsid w:val="00603168"/>
    <w:rsid w:val="006813D0"/>
    <w:rsid w:val="00690682"/>
    <w:rsid w:val="006C5288"/>
    <w:rsid w:val="00796C87"/>
    <w:rsid w:val="007A3269"/>
    <w:rsid w:val="007F4273"/>
    <w:rsid w:val="0083011A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3AF5F-B382-43A2-AA36-CD61793C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4</cp:revision>
  <cp:lastPrinted>2018-01-10T14:54:00Z</cp:lastPrinted>
  <dcterms:created xsi:type="dcterms:W3CDTF">2020-01-08T17:57:00Z</dcterms:created>
  <dcterms:modified xsi:type="dcterms:W3CDTF">2020-01-17T19:49:00Z</dcterms:modified>
</cp:coreProperties>
</file>