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B49" w:rsidRPr="004D4219" w:rsidRDefault="00B51B49" w:rsidP="00B51B49">
      <w:pPr>
        <w:pStyle w:val="Textoindependiente2"/>
        <w:spacing w:after="0" w:line="240" w:lineRule="auto"/>
        <w:jc w:val="both"/>
        <w:rPr>
          <w:b w:val="0"/>
          <w:bCs w:val="0"/>
          <w:sz w:val="22"/>
          <w:szCs w:val="22"/>
          <w:lang w:val="es-MX"/>
        </w:rPr>
      </w:pPr>
      <w:bookmarkStart w:id="0" w:name="_Hlk102380367"/>
      <w:bookmarkStart w:id="1" w:name="_GoBack"/>
      <w:r w:rsidRPr="004D4219">
        <w:rPr>
          <w:sz w:val="22"/>
          <w:szCs w:val="22"/>
          <w:lang w:val="es-SV"/>
        </w:rPr>
        <w:t xml:space="preserve">ACTA NÚMERO </w:t>
      </w:r>
      <w:r w:rsidR="00320DD5">
        <w:rPr>
          <w:sz w:val="22"/>
          <w:szCs w:val="22"/>
          <w:lang w:val="es-SV"/>
        </w:rPr>
        <w:t>ONCE</w:t>
      </w:r>
      <w:r w:rsidRPr="004D4219">
        <w:rPr>
          <w:sz w:val="22"/>
          <w:szCs w:val="22"/>
          <w:lang w:val="es-SV"/>
        </w:rPr>
        <w:t xml:space="preserve">. SESIÓN ORDINARIA DEL CONSEJO DIRECTIVO DE LA AUTORIDAD MARÍTIMA PORTUARIA. </w:t>
      </w:r>
      <w:r w:rsidRPr="004D4219">
        <w:rPr>
          <w:b w:val="0"/>
          <w:bCs w:val="0"/>
          <w:sz w:val="22"/>
          <w:szCs w:val="22"/>
          <w:lang w:val="es-SV"/>
        </w:rPr>
        <w:t xml:space="preserve">En la ciudad de San Salvador, departamento de San Salvador, a las dieciséis horas  del día </w:t>
      </w:r>
      <w:r w:rsidR="00320DD5">
        <w:rPr>
          <w:b w:val="0"/>
          <w:bCs w:val="0"/>
          <w:sz w:val="22"/>
          <w:szCs w:val="22"/>
          <w:lang w:val="es-SV"/>
        </w:rPr>
        <w:t>veintidós</w:t>
      </w:r>
      <w:r w:rsidRPr="004D4219">
        <w:rPr>
          <w:b w:val="0"/>
          <w:bCs w:val="0"/>
          <w:sz w:val="22"/>
          <w:szCs w:val="22"/>
          <w:lang w:val="es-SV"/>
        </w:rPr>
        <w:t xml:space="preserve"> de marzo de dos mil veintidós; en las oficinas de la Autoridad Marítima Portuaria, situada en calle número dos, casa número ciento veintisiete, entre la calle loma linda y calle la mascota, colonia San Benito, con el objeto de celebrar sesión del Consejo Directivo, están </w:t>
      </w:r>
      <w:r w:rsidRPr="004D4219">
        <w:rPr>
          <w:b w:val="0"/>
          <w:bCs w:val="0"/>
          <w:color w:val="000000" w:themeColor="text1"/>
          <w:sz w:val="22"/>
          <w:szCs w:val="22"/>
          <w:lang w:val="es-ES"/>
        </w:rPr>
        <w:t xml:space="preserve">el Licenciado Christian Marcos Aguilar Durán, Director Propietario del Ente Rector actuando </w:t>
      </w:r>
      <w:r w:rsidRPr="004D4219">
        <w:rPr>
          <w:b w:val="0"/>
          <w:bCs w:val="0"/>
          <w:sz w:val="22"/>
          <w:szCs w:val="22"/>
          <w:lang w:val="es-SV"/>
        </w:rPr>
        <w:t xml:space="preserve"> como  Director  Presidente en funciones, quien preside la sesión; Ingeniero Mauricio Ernesto Velásquez Soriano, Director Propietario, I</w:t>
      </w:r>
      <w:proofErr w:type="spellStart"/>
      <w:r w:rsidRPr="004D4219">
        <w:rPr>
          <w:b w:val="0"/>
          <w:bCs w:val="0"/>
          <w:sz w:val="22"/>
          <w:szCs w:val="22"/>
          <w:lang w:val="es-MX"/>
        </w:rPr>
        <w:t>ngeniero</w:t>
      </w:r>
      <w:proofErr w:type="spellEnd"/>
      <w:r w:rsidRPr="004D4219">
        <w:rPr>
          <w:b w:val="0"/>
          <w:bCs w:val="0"/>
          <w:sz w:val="22"/>
          <w:szCs w:val="22"/>
          <w:lang w:val="es-MX"/>
        </w:rPr>
        <w:t xml:space="preserve"> Roberto Arístides Castellón Murcia, Director Suplente, Ingeniero Raúl Vicente Zablah Hernández, Director Suplente del Ente Rector, actuando como Director Propietario.</w:t>
      </w:r>
    </w:p>
    <w:p w:rsidR="00B51B49" w:rsidRPr="004D4219" w:rsidRDefault="00B51B49" w:rsidP="00B51B49">
      <w:pPr>
        <w:pStyle w:val="Textoindependiente2"/>
        <w:spacing w:after="0" w:line="240" w:lineRule="auto"/>
        <w:jc w:val="both"/>
        <w:rPr>
          <w:b w:val="0"/>
          <w:color w:val="000000" w:themeColor="text1"/>
          <w:sz w:val="22"/>
          <w:szCs w:val="22"/>
          <w:lang w:val="es-ES"/>
        </w:rPr>
      </w:pPr>
    </w:p>
    <w:p w:rsidR="00B51B49" w:rsidRPr="004D4219" w:rsidRDefault="00B51B49" w:rsidP="00B51B49">
      <w:pPr>
        <w:jc w:val="both"/>
        <w:rPr>
          <w:rFonts w:ascii="Arial" w:hAnsi="Arial" w:cs="Arial"/>
        </w:rPr>
      </w:pPr>
      <w:r w:rsidRPr="004D4219">
        <w:rPr>
          <w:rFonts w:ascii="Arial" w:hAnsi="Arial" w:cs="Arial"/>
          <w:b/>
        </w:rPr>
        <w:t xml:space="preserve">I) ESTABLECIMIENTO DE QUORUM.  </w:t>
      </w:r>
      <w:r w:rsidRPr="004D4219">
        <w:rPr>
          <w:rFonts w:ascii="Arial" w:hAnsi="Arial" w:cs="Arial"/>
        </w:rPr>
        <w:t>El Director Presidente en funciones, conforme a lo establecido por el artículo 8 de la Ley General Marítimo Portuaria y 12 del Reglamento Interno del Consejo Directivo de la AMP verificó y aprobó el quorum.</w:t>
      </w:r>
    </w:p>
    <w:p w:rsidR="00B51B49" w:rsidRPr="004D4219" w:rsidRDefault="00B51B49" w:rsidP="00B51B49">
      <w:pPr>
        <w:pStyle w:val="Prrafodelista"/>
        <w:ind w:left="1788"/>
        <w:jc w:val="both"/>
        <w:rPr>
          <w:rFonts w:ascii="Arial" w:hAnsi="Arial" w:cs="Arial"/>
          <w:b/>
        </w:rPr>
      </w:pPr>
    </w:p>
    <w:p w:rsidR="00B51B49" w:rsidRPr="004D4219" w:rsidRDefault="00B51B49" w:rsidP="00B51B49">
      <w:pPr>
        <w:jc w:val="both"/>
        <w:rPr>
          <w:rFonts w:ascii="Arial" w:hAnsi="Arial" w:cs="Arial"/>
        </w:rPr>
      </w:pPr>
      <w:r w:rsidRPr="004D4219">
        <w:rPr>
          <w:rFonts w:ascii="Arial" w:hAnsi="Arial" w:cs="Arial"/>
          <w:b/>
        </w:rPr>
        <w:t>II) APROBACIÓN DE AGENDA</w:t>
      </w:r>
      <w:r w:rsidRPr="004D4219">
        <w:rPr>
          <w:rFonts w:ascii="Arial" w:hAnsi="Arial" w:cs="Arial"/>
        </w:rPr>
        <w:t xml:space="preserve">. Los señores </w:t>
      </w:r>
      <w:proofErr w:type="gramStart"/>
      <w:r w:rsidRPr="004D4219">
        <w:rPr>
          <w:rFonts w:ascii="Arial" w:hAnsi="Arial" w:cs="Arial"/>
        </w:rPr>
        <w:t>Directores</w:t>
      </w:r>
      <w:proofErr w:type="gramEnd"/>
      <w:r w:rsidRPr="004D4219">
        <w:rPr>
          <w:rFonts w:ascii="Arial" w:hAnsi="Arial" w:cs="Arial"/>
        </w:rPr>
        <w:t xml:space="preserve"> aprobaron la agenda que se desarrolla a continuación. </w:t>
      </w:r>
    </w:p>
    <w:p w:rsidR="00B51B49" w:rsidRPr="004D4219" w:rsidRDefault="00B51B49" w:rsidP="00B51B49">
      <w:pPr>
        <w:jc w:val="both"/>
        <w:rPr>
          <w:rFonts w:ascii="Arial" w:hAnsi="Arial" w:cs="Arial"/>
        </w:rPr>
      </w:pPr>
    </w:p>
    <w:p w:rsidR="00B51B49" w:rsidRPr="004D4219" w:rsidRDefault="00B51B49" w:rsidP="00B51B49">
      <w:pPr>
        <w:jc w:val="both"/>
        <w:rPr>
          <w:rFonts w:ascii="Arial" w:hAnsi="Arial" w:cs="Arial"/>
        </w:rPr>
      </w:pPr>
      <w:r w:rsidRPr="004D4219">
        <w:rPr>
          <w:rFonts w:ascii="Arial" w:hAnsi="Arial" w:cs="Arial"/>
          <w:b/>
        </w:rPr>
        <w:t>III) LECTURA Y APROBACIÓN DEL ACTA ANTERIOR</w:t>
      </w:r>
      <w:r w:rsidRPr="004D4219">
        <w:rPr>
          <w:rFonts w:ascii="Arial" w:hAnsi="Arial" w:cs="Arial"/>
        </w:rPr>
        <w:t xml:space="preserve">. Se dio lectura al acta correspondiente a la sesión ordinaria número CD-AMP </w:t>
      </w:r>
      <w:r w:rsidR="00320DD5">
        <w:rPr>
          <w:rFonts w:ascii="Arial" w:hAnsi="Arial" w:cs="Arial"/>
        </w:rPr>
        <w:t>10</w:t>
      </w:r>
      <w:r w:rsidRPr="004D4219">
        <w:rPr>
          <w:rFonts w:ascii="Arial" w:hAnsi="Arial" w:cs="Arial"/>
        </w:rPr>
        <w:t xml:space="preserve">/2022, de fecha </w:t>
      </w:r>
      <w:r w:rsidR="00D826A2">
        <w:rPr>
          <w:rFonts w:ascii="Arial" w:hAnsi="Arial" w:cs="Arial"/>
        </w:rPr>
        <w:t>quince</w:t>
      </w:r>
      <w:r w:rsidRPr="004D4219">
        <w:rPr>
          <w:rFonts w:ascii="Arial" w:hAnsi="Arial" w:cs="Arial"/>
        </w:rPr>
        <w:t xml:space="preserve"> de marzo de dos mil veintidós, la cual fue ratificada.</w:t>
      </w:r>
    </w:p>
    <w:p w:rsidR="00B51B49" w:rsidRPr="004D4219" w:rsidRDefault="00B51B49" w:rsidP="00B51B49">
      <w:pPr>
        <w:tabs>
          <w:tab w:val="left" w:pos="3331"/>
        </w:tabs>
        <w:rPr>
          <w:rFonts w:ascii="Arial" w:hAnsi="Arial" w:cs="Arial"/>
        </w:rPr>
      </w:pPr>
    </w:p>
    <w:p w:rsidR="003B33EE" w:rsidRPr="00EF477F" w:rsidRDefault="008D76F3" w:rsidP="00EF47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477F">
        <w:rPr>
          <w:rFonts w:ascii="Arial" w:hAnsi="Arial" w:cs="Arial"/>
          <w:b/>
          <w:bCs/>
          <w:lang w:val="es-ES"/>
        </w:rPr>
        <w:t>I</w:t>
      </w:r>
      <w:r w:rsidR="00B51B49" w:rsidRPr="00EF477F">
        <w:rPr>
          <w:rFonts w:ascii="Arial" w:hAnsi="Arial" w:cs="Arial"/>
          <w:b/>
          <w:bCs/>
          <w:lang w:val="es-ES"/>
        </w:rPr>
        <w:t xml:space="preserve">V) </w:t>
      </w:r>
      <w:r w:rsidR="00D826A7" w:rsidRPr="00EF477F">
        <w:rPr>
          <w:rFonts w:ascii="Arial" w:hAnsi="Arial" w:cs="Arial"/>
          <w:b/>
          <w:bCs/>
          <w:lang w:val="es-ES"/>
        </w:rPr>
        <w:t xml:space="preserve">APROBACIÓN DE PRESUPUESTO PARA REPARACIÓN DE </w:t>
      </w:r>
      <w:r w:rsidRPr="00EF477F">
        <w:rPr>
          <w:rFonts w:ascii="Arial" w:hAnsi="Arial" w:cs="Arial"/>
          <w:b/>
          <w:bCs/>
          <w:lang w:val="es-ES"/>
        </w:rPr>
        <w:t xml:space="preserve">UNA </w:t>
      </w:r>
      <w:r w:rsidR="00D826A7" w:rsidRPr="00EF477F">
        <w:rPr>
          <w:rFonts w:ascii="Arial" w:hAnsi="Arial" w:cs="Arial"/>
          <w:b/>
          <w:bCs/>
          <w:lang w:val="es-ES"/>
        </w:rPr>
        <w:t>EMBARCACION</w:t>
      </w:r>
      <w:r w:rsidRPr="00EF477F">
        <w:rPr>
          <w:rFonts w:ascii="Arial" w:hAnsi="Arial" w:cs="Arial"/>
          <w:b/>
          <w:bCs/>
          <w:lang w:val="es-ES"/>
        </w:rPr>
        <w:t xml:space="preserve"> </w:t>
      </w:r>
      <w:r w:rsidR="00D826A7" w:rsidRPr="00EF477F">
        <w:rPr>
          <w:rFonts w:ascii="Arial" w:hAnsi="Arial" w:cs="Arial"/>
          <w:b/>
          <w:bCs/>
          <w:lang w:val="es-ES"/>
        </w:rPr>
        <w:t xml:space="preserve">AMP. </w:t>
      </w:r>
      <w:r w:rsidRPr="00EF477F">
        <w:rPr>
          <w:rFonts w:ascii="Arial" w:hAnsi="Arial" w:cs="Arial"/>
          <w:b/>
          <w:bCs/>
          <w:lang w:val="es-ES"/>
        </w:rPr>
        <w:t xml:space="preserve"> </w:t>
      </w:r>
      <w:r w:rsidRPr="00EF477F">
        <w:rPr>
          <w:rFonts w:ascii="Arial" w:hAnsi="Arial" w:cs="Arial"/>
          <w:lang w:val="es-ES"/>
        </w:rPr>
        <w:t>El Ingeniero Juan Cabrera, Gerente Marítimo, desarrolló el tema</w:t>
      </w:r>
      <w:r w:rsidR="003B60F6" w:rsidRPr="00EF477F">
        <w:rPr>
          <w:rFonts w:ascii="Arial" w:hAnsi="Arial" w:cs="Arial"/>
          <w:lang w:val="es-ES"/>
        </w:rPr>
        <w:t xml:space="preserve"> sobre la reparación de una embarcación de la AMP</w:t>
      </w:r>
      <w:r w:rsidRPr="00EF477F">
        <w:rPr>
          <w:rFonts w:ascii="Arial" w:hAnsi="Arial" w:cs="Arial"/>
          <w:lang w:val="es-ES"/>
        </w:rPr>
        <w:t xml:space="preserve">, manifestando que la </w:t>
      </w:r>
      <w:r w:rsidR="004A5DE8" w:rsidRPr="00EF477F">
        <w:rPr>
          <w:rFonts w:ascii="Arial" w:hAnsi="Arial" w:cs="Arial"/>
          <w:lang w:val="es-ES"/>
        </w:rPr>
        <w:t xml:space="preserve">embarcación necesita ciertos arreglos, entre ellos están: </w:t>
      </w:r>
      <w:r w:rsidR="00870D31" w:rsidRPr="00EF477F">
        <w:rPr>
          <w:rFonts w:ascii="Arial" w:hAnsi="Arial" w:cs="Arial"/>
          <w:lang w:val="es-ES"/>
        </w:rPr>
        <w:t xml:space="preserve">sistema de fondeo, </w:t>
      </w:r>
      <w:r w:rsidR="00D826A2" w:rsidRPr="00EF477F">
        <w:rPr>
          <w:rFonts w:ascii="Arial" w:hAnsi="Arial" w:cs="Arial"/>
          <w:lang w:val="es-ES"/>
        </w:rPr>
        <w:t xml:space="preserve">el </w:t>
      </w:r>
      <w:r w:rsidR="00870D31" w:rsidRPr="00EF477F">
        <w:rPr>
          <w:rFonts w:ascii="Arial" w:hAnsi="Arial" w:cs="Arial"/>
          <w:lang w:val="es-ES"/>
        </w:rPr>
        <w:t>generador marino</w:t>
      </w:r>
      <w:r w:rsidR="00D826A2" w:rsidRPr="00EF477F">
        <w:rPr>
          <w:rFonts w:ascii="Arial" w:hAnsi="Arial" w:cs="Arial"/>
          <w:lang w:val="es-ES"/>
        </w:rPr>
        <w:t xml:space="preserve">, las luces de </w:t>
      </w:r>
      <w:r w:rsidR="009F3C08" w:rsidRPr="00EF477F">
        <w:rPr>
          <w:rFonts w:ascii="Arial" w:hAnsi="Arial" w:cs="Arial"/>
          <w:lang w:val="es-ES"/>
        </w:rPr>
        <w:t>búsqueda, tapicería, pintura, antenas de radio, brújula,</w:t>
      </w:r>
      <w:r w:rsidR="00E70FDA" w:rsidRPr="00EF477F">
        <w:rPr>
          <w:rFonts w:ascii="Arial" w:hAnsi="Arial" w:cs="Arial"/>
          <w:lang w:val="es-ES"/>
        </w:rPr>
        <w:t xml:space="preserve"> radar, GPS, cartas electrónicas, servicios sanitarios, sistema de achique</w:t>
      </w:r>
      <w:r w:rsidR="00494D1D" w:rsidRPr="00EF477F">
        <w:rPr>
          <w:rFonts w:ascii="Arial" w:hAnsi="Arial" w:cs="Arial"/>
          <w:lang w:val="es-ES"/>
        </w:rPr>
        <w:t xml:space="preserve">, presentando </w:t>
      </w:r>
      <w:r w:rsidR="00B406CB" w:rsidRPr="00EF477F">
        <w:rPr>
          <w:rFonts w:ascii="Arial" w:hAnsi="Arial" w:cs="Arial"/>
          <w:lang w:val="es-ES"/>
        </w:rPr>
        <w:t>el detalle de</w:t>
      </w:r>
      <w:r w:rsidR="00494D1D" w:rsidRPr="00EF477F">
        <w:rPr>
          <w:rFonts w:ascii="Arial" w:hAnsi="Arial" w:cs="Arial"/>
          <w:lang w:val="es-ES"/>
        </w:rPr>
        <w:t xml:space="preserve"> presupuesto aproximado </w:t>
      </w:r>
      <w:r w:rsidR="00630665" w:rsidRPr="00EF477F">
        <w:rPr>
          <w:rFonts w:ascii="Arial" w:hAnsi="Arial" w:cs="Arial"/>
          <w:lang w:val="es-ES"/>
        </w:rPr>
        <w:t>de la</w:t>
      </w:r>
      <w:r w:rsidR="00B406CB" w:rsidRPr="00EF477F">
        <w:rPr>
          <w:rFonts w:ascii="Arial" w:hAnsi="Arial" w:cs="Arial"/>
          <w:lang w:val="es-ES"/>
        </w:rPr>
        <w:t xml:space="preserve"> reparación de la </w:t>
      </w:r>
      <w:r w:rsidR="00672AD7" w:rsidRPr="00EF477F">
        <w:rPr>
          <w:rFonts w:ascii="Arial" w:hAnsi="Arial" w:cs="Arial"/>
          <w:lang w:val="es-ES"/>
        </w:rPr>
        <w:t xml:space="preserve">embarcación. </w:t>
      </w:r>
      <w:r w:rsidR="00630665" w:rsidRPr="00EF477F">
        <w:rPr>
          <w:rFonts w:ascii="Arial" w:hAnsi="Arial" w:cs="Arial"/>
          <w:b/>
          <w:bCs/>
        </w:rPr>
        <w:t>RESOLUCIÒN 3</w:t>
      </w:r>
      <w:r w:rsidR="00E434C6">
        <w:rPr>
          <w:rFonts w:ascii="Arial" w:hAnsi="Arial" w:cs="Arial"/>
          <w:b/>
          <w:bCs/>
        </w:rPr>
        <w:t>8</w:t>
      </w:r>
      <w:r w:rsidR="00630665" w:rsidRPr="00EF477F">
        <w:rPr>
          <w:rFonts w:ascii="Arial" w:hAnsi="Arial" w:cs="Arial"/>
          <w:b/>
          <w:bCs/>
        </w:rPr>
        <w:t xml:space="preserve">/2022 </w:t>
      </w:r>
      <w:r w:rsidR="00630665" w:rsidRPr="00EF477F">
        <w:rPr>
          <w:rFonts w:ascii="Arial" w:hAnsi="Arial" w:cs="Arial"/>
        </w:rPr>
        <w:t xml:space="preserve">Los señores miembros del Consejo Directivo, por </w:t>
      </w:r>
      <w:r w:rsidR="00630665" w:rsidRPr="00EF477F">
        <w:rPr>
          <w:rFonts w:ascii="Arial" w:hAnsi="Arial" w:cs="Arial"/>
          <w:b/>
        </w:rPr>
        <w:t>UNANIMIDAD ACUERDAN</w:t>
      </w:r>
      <w:r w:rsidR="003B33EE" w:rsidRPr="00EF477F">
        <w:rPr>
          <w:rFonts w:ascii="Arial" w:hAnsi="Arial" w:cs="Arial"/>
          <w:b/>
        </w:rPr>
        <w:t xml:space="preserve"> a) </w:t>
      </w:r>
      <w:r w:rsidR="003B33EE" w:rsidRPr="00EF477F">
        <w:rPr>
          <w:rFonts w:ascii="Times New Roman" w:hAnsi="Times New Roman" w:cs="Times New Roman"/>
          <w:sz w:val="24"/>
        </w:rPr>
        <w:t>Aprobar el presupuesto para remodelación de lancha por un monto de $72,373.10, de acuerdo al siguiente detalle:</w:t>
      </w:r>
    </w:p>
    <w:p w:rsidR="003B33EE" w:rsidRPr="00997D51" w:rsidRDefault="003B33EE" w:rsidP="003B33EE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6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4"/>
        <w:gridCol w:w="146"/>
        <w:gridCol w:w="200"/>
        <w:gridCol w:w="1400"/>
      </w:tblGrid>
      <w:tr w:rsidR="003B33EE" w:rsidRPr="00A1036D" w:rsidTr="00382D87">
        <w:trPr>
          <w:trHeight w:val="360"/>
          <w:jc w:val="center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DESCRIPCIÓN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MONTO</w:t>
            </w:r>
          </w:p>
        </w:tc>
      </w:tr>
      <w:tr w:rsidR="003B33EE" w:rsidRPr="00A1036D" w:rsidTr="00382D87">
        <w:trPr>
          <w:trHeight w:val="360"/>
          <w:jc w:val="center"/>
        </w:trPr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Accesorios y equipo de seguridad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$    3,229.10 </w:t>
            </w:r>
          </w:p>
        </w:tc>
      </w:tr>
      <w:tr w:rsidR="003B33EE" w:rsidRPr="00A1036D" w:rsidTr="00382D87">
        <w:trPr>
          <w:trHeight w:val="360"/>
          <w:jc w:val="center"/>
        </w:trPr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Sistema de Agua Dulce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$    3,476.00 </w:t>
            </w:r>
          </w:p>
        </w:tc>
      </w:tr>
      <w:tr w:rsidR="003B33EE" w:rsidRPr="00A1036D" w:rsidTr="00382D87">
        <w:trPr>
          <w:trHeight w:val="360"/>
          <w:jc w:val="center"/>
        </w:trPr>
        <w:tc>
          <w:tcPr>
            <w:tcW w:w="46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Sistema de Servicio Sanitario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$    3,069.00 </w:t>
            </w:r>
          </w:p>
        </w:tc>
      </w:tr>
      <w:tr w:rsidR="003B33EE" w:rsidRPr="00A1036D" w:rsidTr="00382D87">
        <w:trPr>
          <w:trHeight w:val="360"/>
          <w:jc w:val="center"/>
        </w:trPr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Sistema de Achique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$    2,516.00 </w:t>
            </w:r>
          </w:p>
        </w:tc>
      </w:tr>
      <w:tr w:rsidR="003B33EE" w:rsidRPr="00A1036D" w:rsidTr="00382D87">
        <w:trPr>
          <w:trHeight w:val="360"/>
          <w:jc w:val="center"/>
        </w:trPr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Sistema eléctrico y luces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$    8,996.00 </w:t>
            </w:r>
          </w:p>
        </w:tc>
      </w:tr>
      <w:tr w:rsidR="003B33EE" w:rsidRPr="00A1036D" w:rsidTr="00382D87">
        <w:trPr>
          <w:trHeight w:val="360"/>
          <w:jc w:val="center"/>
        </w:trPr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Generador marino 11 </w:t>
            </w:r>
            <w:proofErr w:type="spellStart"/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kw</w:t>
            </w:r>
            <w:proofErr w:type="spellEnd"/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</w:t>
            </w:r>
            <w:proofErr w:type="gramStart"/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$  15,699.00</w:t>
            </w:r>
            <w:proofErr w:type="gramEnd"/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B33EE" w:rsidRPr="00A1036D" w:rsidTr="00382D87">
        <w:trPr>
          <w:trHeight w:val="360"/>
          <w:jc w:val="center"/>
        </w:trPr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Equipo de navegación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</w:t>
            </w:r>
            <w:proofErr w:type="gramStart"/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$  10,399.00</w:t>
            </w:r>
            <w:proofErr w:type="gramEnd"/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B33EE" w:rsidRPr="00A1036D" w:rsidTr="00382D87">
        <w:trPr>
          <w:trHeight w:val="360"/>
          <w:jc w:val="center"/>
        </w:trPr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Equipo </w:t>
            </w:r>
            <w:proofErr w:type="spellStart"/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Shorepower</w:t>
            </w:r>
            <w:proofErr w:type="spellEnd"/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</w:t>
            </w:r>
            <w:proofErr w:type="gramStart"/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$  14,509.00</w:t>
            </w:r>
            <w:proofErr w:type="gramEnd"/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B33EE" w:rsidRPr="00A1036D" w:rsidTr="00382D87">
        <w:trPr>
          <w:trHeight w:val="360"/>
          <w:jc w:val="center"/>
        </w:trPr>
        <w:tc>
          <w:tcPr>
            <w:tcW w:w="46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Pintura, tapicería y otros gastos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</w:t>
            </w:r>
            <w:proofErr w:type="gramStart"/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$  10,480.00</w:t>
            </w:r>
            <w:proofErr w:type="gramEnd"/>
            <w:r w:rsidRPr="00A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B33EE" w:rsidRPr="00A1036D" w:rsidTr="00382D87">
        <w:trPr>
          <w:trHeight w:val="360"/>
          <w:jc w:val="center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proofErr w:type="gramStart"/>
            <w:r w:rsidRPr="00A1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  <w:proofErr w:type="gramEnd"/>
            <w:r w:rsidRPr="00A1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PRESUPUESTO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3EE" w:rsidRPr="00A1036D" w:rsidRDefault="003B33EE" w:rsidP="00382D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A1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proofErr w:type="gramStart"/>
            <w:r w:rsidRPr="00A1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$  72,373.10</w:t>
            </w:r>
            <w:proofErr w:type="gramEnd"/>
            <w:r w:rsidRPr="00A10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:rsidR="003B33EE" w:rsidRPr="00997D51" w:rsidRDefault="003B33EE" w:rsidP="003B33EE">
      <w:pPr>
        <w:rPr>
          <w:rFonts w:ascii="Times New Roman" w:hAnsi="Times New Roman" w:cs="Times New Roman"/>
          <w:sz w:val="24"/>
        </w:rPr>
      </w:pPr>
    </w:p>
    <w:p w:rsidR="003B33EE" w:rsidRPr="00997D51" w:rsidRDefault="003B33EE" w:rsidP="003B33EE">
      <w:pPr>
        <w:ind w:left="425"/>
        <w:jc w:val="both"/>
        <w:rPr>
          <w:rFonts w:ascii="Times New Roman" w:hAnsi="Times New Roman" w:cs="Times New Roman"/>
          <w:sz w:val="24"/>
        </w:rPr>
      </w:pPr>
      <w:r w:rsidRPr="00997D51">
        <w:rPr>
          <w:rFonts w:ascii="Times New Roman" w:hAnsi="Times New Roman" w:cs="Times New Roman"/>
          <w:b/>
          <w:bCs/>
          <w:sz w:val="24"/>
        </w:rPr>
        <w:t>b)</w:t>
      </w:r>
      <w:r w:rsidRPr="00997D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97D51">
        <w:rPr>
          <w:rFonts w:ascii="Times New Roman" w:hAnsi="Times New Roman" w:cs="Times New Roman"/>
          <w:sz w:val="24"/>
        </w:rPr>
        <w:t>Aprobar modificaciones presupuestarias a efecto de financiar los gastos que en concepto de remodelación de lancha deban realizarse en el presente ejercicio financiero, de la siguiente manera:</w:t>
      </w:r>
      <w:r w:rsidRPr="00997D51">
        <w:rPr>
          <w:rFonts w:ascii="Times New Roman" w:hAnsi="Times New Roman" w:cs="Times New Roman"/>
          <w:sz w:val="24"/>
        </w:rPr>
        <w:fldChar w:fldCharType="begin"/>
      </w:r>
      <w:r w:rsidRPr="00997D51">
        <w:rPr>
          <w:rFonts w:ascii="Times New Roman" w:hAnsi="Times New Roman" w:cs="Times New Roman"/>
          <w:sz w:val="24"/>
        </w:rPr>
        <w:instrText xml:space="preserve"> LINK </w:instrText>
      </w:r>
      <w:r>
        <w:rPr>
          <w:rFonts w:ascii="Times New Roman" w:hAnsi="Times New Roman" w:cs="Times New Roman"/>
          <w:sz w:val="24"/>
        </w:rPr>
        <w:instrText xml:space="preserve">Excel.Sheet.12 "C:\\Users\\gcampos\\Documents\\DOCUMENTOS UFI 2022\\MODIFICACIÓN PRESUPUESTARIA POR COMPRA DE LANCHAS.xlsx" Hoja1!F4C1:F38C5 </w:instrText>
      </w:r>
      <w:r w:rsidRPr="00997D51">
        <w:rPr>
          <w:rFonts w:ascii="Times New Roman" w:hAnsi="Times New Roman" w:cs="Times New Roman"/>
          <w:sz w:val="24"/>
        </w:rPr>
        <w:instrText xml:space="preserve">\a \f 4 \h  \* MERGEFORMAT </w:instrText>
      </w:r>
      <w:r w:rsidRPr="00997D51">
        <w:rPr>
          <w:rFonts w:ascii="Times New Roman" w:hAnsi="Times New Roman" w:cs="Times New Roman"/>
          <w:sz w:val="24"/>
        </w:rPr>
        <w:fldChar w:fldCharType="separate"/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00"/>
        <w:gridCol w:w="5703"/>
        <w:gridCol w:w="177"/>
        <w:gridCol w:w="740"/>
        <w:gridCol w:w="1540"/>
      </w:tblGrid>
      <w:tr w:rsidR="003B33EE" w:rsidRPr="00187884" w:rsidTr="00382D87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997D51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  <w:t>M</w:t>
            </w:r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  <w:t>odificación presupuestaria en rubro "</w:t>
            </w: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  <w:t>A</w:t>
            </w:r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  <w:t xml:space="preserve">dquisición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  <w:t>B</w:t>
            </w:r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  <w:t xml:space="preserve">ienes 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  <w:t>S</w:t>
            </w:r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  <w:t>ervicios"</w:t>
            </w:r>
          </w:p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</w:pPr>
          </w:p>
        </w:tc>
      </w:tr>
      <w:tr w:rsidR="003B33EE" w:rsidRPr="00187884" w:rsidTr="00382D87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</w:pPr>
          </w:p>
        </w:tc>
        <w:tc>
          <w:tcPr>
            <w:tcW w:w="6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3EE" w:rsidRPr="00997D51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s-SV"/>
              </w:rPr>
              <w:lastRenderedPageBreak/>
              <w:t xml:space="preserve">Cifrado presupuestario: 2022-4307-4-01-01-21-2 Recursos Propios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</w:tr>
      <w:tr w:rsidR="003B33EE" w:rsidRPr="00187884" w:rsidTr="00382D87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</w:p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E</w:t>
            </w:r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specíficos presupuestarios a incrementar en la</w:t>
            </w: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 xml:space="preserve"> PEP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54104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Productos Textiles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 $          582.00 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54106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Productos de cuero y caucho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 $          575.00 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54107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Productos Químicos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 $        1,230.00 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5411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2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Minerales metálicos y productos derivados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 $          785.00 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5411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5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Materiales Informáticos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 $          399.00 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54118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Herramientas, repue</w:t>
            </w:r>
            <w:r w:rsidRPr="00997D51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s</w:t>
            </w: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tos y accesorios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 $        9,478.10 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54119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Materiales Eléctricos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 $        7,025.00 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54199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Bienes de uso y consumo diversos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 $        5,658.00 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54399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Servicios generales y arrendamientos diversos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 $      14,039.00 </w:t>
            </w:r>
          </w:p>
        </w:tc>
      </w:tr>
      <w:tr w:rsidR="003B33EE" w:rsidRPr="00187884" w:rsidTr="00382D87">
        <w:trPr>
          <w:trHeight w:val="300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  <w:proofErr w:type="gramStart"/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T</w:t>
            </w:r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otal</w:t>
            </w:r>
            <w:proofErr w:type="gramEnd"/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 xml:space="preserve"> incrementos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 xml:space="preserve"> $      39,771.10 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</w:tr>
      <w:tr w:rsidR="003B33EE" w:rsidRPr="00187884" w:rsidTr="00382D87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E</w:t>
            </w:r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specíficos presupuestarios a disminuir en la</w:t>
            </w: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 xml:space="preserve"> PEP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54302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Mantenimientos y reparaciones de vehículos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 $      20,000.00 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54313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Impresiones publicaciones y reproducciones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 $        9,771.10 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54599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Consultorías, estudios e investigaciones diversas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 $      10,000.00 </w:t>
            </w:r>
          </w:p>
        </w:tc>
      </w:tr>
      <w:tr w:rsidR="003B33EE" w:rsidRPr="00187884" w:rsidTr="00382D87">
        <w:trPr>
          <w:trHeight w:val="375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  <w:proofErr w:type="gramStart"/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T</w:t>
            </w:r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otal</w:t>
            </w:r>
            <w:proofErr w:type="gramEnd"/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 xml:space="preserve"> disminuciones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 xml:space="preserve"> $      39,771.10 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  <w:p w:rsidR="003B33EE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  <w:p w:rsidR="003B33EE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B33EE">
            <w:pPr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</w:tr>
      <w:tr w:rsidR="003B33EE" w:rsidRPr="00187884" w:rsidTr="00382D87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  <w:t>M</w:t>
            </w:r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  <w:t>odificación presupuestaria en rubro " Inversiones en Activos Fijos"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u w:val="single"/>
                <w:lang w:eastAsia="es-SV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</w:tr>
      <w:tr w:rsidR="003B33EE" w:rsidRPr="00187884" w:rsidTr="00382D87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Default="003B33EE" w:rsidP="00382D87">
            <w:pPr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s-SV"/>
              </w:rPr>
              <w:t>Cifrado presupuestario: 2022-4307-4-01-01-21-2 Recursos Propios</w:t>
            </w:r>
          </w:p>
          <w:p w:rsidR="003B33EE" w:rsidRDefault="003B33EE" w:rsidP="00382D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</w:p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E</w:t>
            </w:r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specíficos presupuestarios a incrementar en la</w:t>
            </w: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 xml:space="preserve"> PEP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61102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Maquinarias y equipos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 $      25,519.00 </w:t>
            </w:r>
          </w:p>
        </w:tc>
      </w:tr>
      <w:tr w:rsidR="003B33EE" w:rsidRPr="00187884" w:rsidTr="00382D87">
        <w:trPr>
          <w:trHeight w:val="300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  <w:proofErr w:type="gramStart"/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T</w:t>
            </w:r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otal</w:t>
            </w:r>
            <w:proofErr w:type="gramEnd"/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 xml:space="preserve"> incrementos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 xml:space="preserve"> $      25,519.00 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</w:tr>
      <w:tr w:rsidR="003B33EE" w:rsidRPr="00187884" w:rsidTr="00382D87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E</w:t>
            </w:r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specíficos presupuestarios a disminuir en la</w:t>
            </w: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 xml:space="preserve"> PEP</w:t>
            </w: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s-SV"/>
              </w:rPr>
            </w:pPr>
          </w:p>
        </w:tc>
      </w:tr>
      <w:tr w:rsidR="003B33EE" w:rsidRPr="00187884" w:rsidTr="00382D8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61108</w:t>
            </w: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Herramientas y repuestos principales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 $      25,</w:t>
            </w:r>
            <w:r w:rsidR="00353155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>5</w:t>
            </w:r>
            <w:r w:rsidRPr="00187884">
              <w:rPr>
                <w:rFonts w:ascii="Times New Roman" w:eastAsia="Times New Roman" w:hAnsi="Times New Roman" w:cs="Times New Roman"/>
                <w:color w:val="000000"/>
                <w:szCs w:val="20"/>
                <w:lang w:eastAsia="es-SV"/>
              </w:rPr>
              <w:t xml:space="preserve">19.00 </w:t>
            </w:r>
          </w:p>
        </w:tc>
      </w:tr>
      <w:tr w:rsidR="003B33EE" w:rsidRPr="00187884" w:rsidTr="00382D87">
        <w:trPr>
          <w:trHeight w:val="300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  <w:proofErr w:type="gramStart"/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T</w:t>
            </w:r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otal</w:t>
            </w:r>
            <w:proofErr w:type="gramEnd"/>
            <w:r w:rsidRPr="00997D5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 xml:space="preserve"> disminuciones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3EE" w:rsidRPr="00187884" w:rsidRDefault="003B33EE" w:rsidP="00382D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</w:pP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 xml:space="preserve"> $      25,</w:t>
            </w:r>
            <w:r w:rsidR="0035315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>5</w:t>
            </w:r>
            <w:r w:rsidRPr="001878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es-SV"/>
              </w:rPr>
              <w:t xml:space="preserve">19.00 </w:t>
            </w:r>
          </w:p>
        </w:tc>
      </w:tr>
    </w:tbl>
    <w:p w:rsidR="003B33EE" w:rsidRPr="00997D51" w:rsidRDefault="003B33EE" w:rsidP="003B33EE">
      <w:pPr>
        <w:rPr>
          <w:rFonts w:ascii="Times New Roman" w:hAnsi="Times New Roman" w:cs="Times New Roman"/>
          <w:sz w:val="24"/>
        </w:rPr>
      </w:pPr>
      <w:r w:rsidRPr="00997D51">
        <w:rPr>
          <w:rFonts w:ascii="Times New Roman" w:hAnsi="Times New Roman" w:cs="Times New Roman"/>
          <w:sz w:val="24"/>
        </w:rPr>
        <w:fldChar w:fldCharType="end"/>
      </w:r>
    </w:p>
    <w:p w:rsidR="003B33EE" w:rsidRPr="00997D51" w:rsidRDefault="003B33EE" w:rsidP="003B33EE">
      <w:pPr>
        <w:rPr>
          <w:rFonts w:ascii="Times New Roman" w:hAnsi="Times New Roman" w:cs="Times New Roman"/>
          <w:sz w:val="24"/>
        </w:rPr>
      </w:pPr>
    </w:p>
    <w:p w:rsidR="003B33EE" w:rsidRPr="00997D51" w:rsidRDefault="003B33EE" w:rsidP="003B33E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7D51">
        <w:rPr>
          <w:rFonts w:ascii="Times New Roman" w:hAnsi="Times New Roman" w:cs="Times New Roman"/>
          <w:sz w:val="24"/>
        </w:rPr>
        <w:t xml:space="preserve">Autorizar el inicio de los procesos de adquisición </w:t>
      </w:r>
      <w:r>
        <w:rPr>
          <w:rFonts w:ascii="Times New Roman" w:hAnsi="Times New Roman" w:cs="Times New Roman"/>
          <w:sz w:val="24"/>
        </w:rPr>
        <w:t>correspondientes</w:t>
      </w:r>
      <w:r w:rsidRPr="00997D51">
        <w:rPr>
          <w:rFonts w:ascii="Times New Roman" w:hAnsi="Times New Roman" w:cs="Times New Roman"/>
          <w:sz w:val="24"/>
        </w:rPr>
        <w:t>.</w:t>
      </w:r>
    </w:p>
    <w:p w:rsidR="00B51B49" w:rsidRPr="008D76F3" w:rsidRDefault="00B51B49" w:rsidP="00D826A7">
      <w:pPr>
        <w:spacing w:line="276" w:lineRule="auto"/>
        <w:contextualSpacing/>
        <w:jc w:val="both"/>
        <w:rPr>
          <w:rFonts w:ascii="Arial" w:hAnsi="Arial" w:cs="Arial"/>
        </w:rPr>
      </w:pPr>
    </w:p>
    <w:p w:rsidR="00D826A7" w:rsidRDefault="00D826A7" w:rsidP="00D826A7">
      <w:pPr>
        <w:spacing w:line="276" w:lineRule="auto"/>
        <w:contextualSpacing/>
        <w:jc w:val="both"/>
        <w:rPr>
          <w:rFonts w:ascii="Arial" w:hAnsi="Arial" w:cs="Arial"/>
        </w:rPr>
      </w:pPr>
    </w:p>
    <w:p w:rsidR="00CB5189" w:rsidRDefault="00D826A7" w:rsidP="00D826A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V) ESTADO ACTUAL DE RESOLUCIONES CDAMP</w:t>
      </w:r>
      <w:r w:rsidR="007C355F">
        <w:rPr>
          <w:rFonts w:ascii="Arial" w:hAnsi="Arial" w:cs="Arial"/>
          <w:b/>
          <w:bCs/>
        </w:rPr>
        <w:t xml:space="preserve">. </w:t>
      </w:r>
      <w:r w:rsidR="007C355F">
        <w:rPr>
          <w:rFonts w:ascii="Arial" w:hAnsi="Arial" w:cs="Arial"/>
        </w:rPr>
        <w:t>EL ingeniero Francisco Herrera</w:t>
      </w:r>
      <w:r w:rsidR="00DC3E26">
        <w:rPr>
          <w:rFonts w:ascii="Arial" w:hAnsi="Arial" w:cs="Arial"/>
        </w:rPr>
        <w:t xml:space="preserve">, jefe de planificación, </w:t>
      </w:r>
      <w:r w:rsidR="007C355F">
        <w:rPr>
          <w:rFonts w:ascii="Arial" w:hAnsi="Arial" w:cs="Arial"/>
        </w:rPr>
        <w:t xml:space="preserve">presentó </w:t>
      </w:r>
      <w:r w:rsidR="00DC3E26">
        <w:rPr>
          <w:rFonts w:ascii="Arial" w:hAnsi="Arial" w:cs="Arial"/>
        </w:rPr>
        <w:t>el estado de las resoluciones</w:t>
      </w:r>
      <w:r w:rsidR="00751161">
        <w:rPr>
          <w:rFonts w:ascii="Arial" w:hAnsi="Arial" w:cs="Arial"/>
        </w:rPr>
        <w:t xml:space="preserve"> pendientes</w:t>
      </w:r>
      <w:r w:rsidR="00CC7CAC">
        <w:rPr>
          <w:rFonts w:ascii="Arial" w:hAnsi="Arial" w:cs="Arial"/>
        </w:rPr>
        <w:t xml:space="preserve"> de</w:t>
      </w:r>
      <w:r w:rsidR="000A7F82">
        <w:rPr>
          <w:rFonts w:ascii="Arial" w:hAnsi="Arial" w:cs="Arial"/>
        </w:rPr>
        <w:t xml:space="preserve"> finalizarse que se encuentran comprendidas a partir del </w:t>
      </w:r>
      <w:r w:rsidR="00EC34E8">
        <w:rPr>
          <w:rFonts w:ascii="Arial" w:hAnsi="Arial" w:cs="Arial"/>
        </w:rPr>
        <w:t>mes de</w:t>
      </w:r>
      <w:r w:rsidR="00510FFF">
        <w:rPr>
          <w:rFonts w:ascii="Arial" w:hAnsi="Arial" w:cs="Arial"/>
        </w:rPr>
        <w:t xml:space="preserve"> julio a diciembre </w:t>
      </w:r>
      <w:r w:rsidR="00751161">
        <w:rPr>
          <w:rFonts w:ascii="Arial" w:hAnsi="Arial" w:cs="Arial"/>
        </w:rPr>
        <w:t xml:space="preserve">del año </w:t>
      </w:r>
      <w:r w:rsidR="00510FFF">
        <w:rPr>
          <w:rFonts w:ascii="Arial" w:hAnsi="Arial" w:cs="Arial"/>
        </w:rPr>
        <w:t>2020</w:t>
      </w:r>
      <w:r w:rsidR="00751161">
        <w:rPr>
          <w:rFonts w:ascii="Arial" w:hAnsi="Arial" w:cs="Arial"/>
        </w:rPr>
        <w:t>, siendo estas 9 y las resoluciones pendientes</w:t>
      </w:r>
      <w:r w:rsidR="00CC7CAC">
        <w:rPr>
          <w:rFonts w:ascii="Arial" w:hAnsi="Arial" w:cs="Arial"/>
        </w:rPr>
        <w:t xml:space="preserve"> de</w:t>
      </w:r>
      <w:r w:rsidR="00751161">
        <w:rPr>
          <w:rFonts w:ascii="Arial" w:hAnsi="Arial" w:cs="Arial"/>
        </w:rPr>
        <w:t xml:space="preserve"> enero a septiembre</w:t>
      </w:r>
      <w:r w:rsidR="000A7F82">
        <w:rPr>
          <w:rFonts w:ascii="Arial" w:hAnsi="Arial" w:cs="Arial"/>
        </w:rPr>
        <w:t xml:space="preserve"> 2021</w:t>
      </w:r>
      <w:r w:rsidR="00751161">
        <w:rPr>
          <w:rFonts w:ascii="Arial" w:hAnsi="Arial" w:cs="Arial"/>
        </w:rPr>
        <w:t xml:space="preserve"> habiendo 7. El Ingeniero Herrera desarrolló el tablero de los indicadores de cada una de las resoluciones</w:t>
      </w:r>
      <w:r w:rsidR="00CC7CAC">
        <w:rPr>
          <w:rFonts w:ascii="Arial" w:hAnsi="Arial" w:cs="Arial"/>
        </w:rPr>
        <w:t xml:space="preserve"> pendientes, entre ellas se encuentran: el reglamento para la operación de marinas turísticas y muelles recreativos, actualización de perfiles de puestos de Gerencia </w:t>
      </w:r>
      <w:r w:rsidR="00EC34E8">
        <w:rPr>
          <w:rFonts w:ascii="Arial" w:hAnsi="Arial" w:cs="Arial"/>
        </w:rPr>
        <w:t>Administrativa, eliminación de cobro de FOVIAL a pescadores artesanales, habilitación del centro de operaciones de seguridad (COS) de la AMP;</w:t>
      </w:r>
      <w:r w:rsidR="00A80AF3">
        <w:rPr>
          <w:rFonts w:ascii="Arial" w:hAnsi="Arial" w:cs="Arial"/>
        </w:rPr>
        <w:t xml:space="preserve"> </w:t>
      </w:r>
      <w:r w:rsidR="00A80AF3" w:rsidRPr="0095414B">
        <w:rPr>
          <w:rFonts w:ascii="Arial" w:hAnsi="Arial" w:cs="Arial"/>
          <w:b/>
          <w:bCs/>
        </w:rPr>
        <w:t xml:space="preserve">RESOLUCIÒN </w:t>
      </w:r>
      <w:r w:rsidR="00A80AF3">
        <w:rPr>
          <w:rFonts w:ascii="Arial" w:hAnsi="Arial" w:cs="Arial"/>
          <w:b/>
          <w:bCs/>
        </w:rPr>
        <w:t>3</w:t>
      </w:r>
      <w:r w:rsidR="00E434C6">
        <w:rPr>
          <w:rFonts w:ascii="Arial" w:hAnsi="Arial" w:cs="Arial"/>
          <w:b/>
          <w:bCs/>
        </w:rPr>
        <w:t>9</w:t>
      </w:r>
      <w:r w:rsidR="00A80AF3" w:rsidRPr="0095414B">
        <w:rPr>
          <w:rFonts w:ascii="Arial" w:hAnsi="Arial" w:cs="Arial"/>
          <w:b/>
          <w:bCs/>
        </w:rPr>
        <w:t xml:space="preserve">/2022 </w:t>
      </w:r>
      <w:r w:rsidR="00A80AF3" w:rsidRPr="0095414B">
        <w:rPr>
          <w:rFonts w:ascii="Arial" w:hAnsi="Arial" w:cs="Arial"/>
        </w:rPr>
        <w:t xml:space="preserve">Los señores miembros del Consejo Directivo, por </w:t>
      </w:r>
      <w:r w:rsidR="00A80AF3" w:rsidRPr="0095414B">
        <w:rPr>
          <w:rFonts w:ascii="Arial" w:hAnsi="Arial" w:cs="Arial"/>
          <w:b/>
        </w:rPr>
        <w:t>UNANIMIDAD ACUERDAN</w:t>
      </w:r>
      <w:r w:rsidR="00353155">
        <w:rPr>
          <w:rFonts w:ascii="Arial" w:hAnsi="Arial" w:cs="Arial"/>
          <w:b/>
        </w:rPr>
        <w:t xml:space="preserve"> a)</w:t>
      </w:r>
      <w:r w:rsidR="00EC34E8">
        <w:rPr>
          <w:rFonts w:ascii="Arial" w:hAnsi="Arial" w:cs="Arial"/>
        </w:rPr>
        <w:t xml:space="preserve"> </w:t>
      </w:r>
      <w:r w:rsidR="00FA2179">
        <w:rPr>
          <w:rFonts w:ascii="Arial" w:hAnsi="Arial" w:cs="Arial"/>
        </w:rPr>
        <w:t xml:space="preserve"> </w:t>
      </w:r>
      <w:r w:rsidR="00CB5189">
        <w:rPr>
          <w:rFonts w:ascii="Arial" w:hAnsi="Arial" w:cs="Arial"/>
        </w:rPr>
        <w:t xml:space="preserve">Instruir al Director Ejecutivo para a) que se dé prioridad al cumplimiento de las resoluciones pendientes, </w:t>
      </w:r>
      <w:r w:rsidR="00CB5189" w:rsidRPr="00353155">
        <w:rPr>
          <w:rFonts w:ascii="Arial" w:hAnsi="Arial" w:cs="Arial"/>
          <w:b/>
          <w:bCs/>
        </w:rPr>
        <w:t>b)</w:t>
      </w:r>
      <w:r w:rsidR="00CB5189">
        <w:rPr>
          <w:rFonts w:ascii="Arial" w:hAnsi="Arial" w:cs="Arial"/>
        </w:rPr>
        <w:t xml:space="preserve"> Trasladar a la Auditoria Interna la necesidad de revisar los criterios de cumplimiento de las resoluciones, para definir si el cumplimiento de estas deberían de requerir una resolución del Consejo Directivo o bastaría con el reporte de cumplimiento de la administración; </w:t>
      </w:r>
      <w:r w:rsidR="00CB5189" w:rsidRPr="00353155">
        <w:rPr>
          <w:rFonts w:ascii="Arial" w:hAnsi="Arial" w:cs="Arial"/>
          <w:b/>
          <w:bCs/>
        </w:rPr>
        <w:t>c)</w:t>
      </w:r>
      <w:r w:rsidR="00CB5189">
        <w:rPr>
          <w:rFonts w:ascii="Arial" w:hAnsi="Arial" w:cs="Arial"/>
        </w:rPr>
        <w:t xml:space="preserve"> Con base a los literales anteriores se presente al Consejo Directivo un nuevo reporte de cumplimiento de resoluciones</w:t>
      </w:r>
      <w:r w:rsidR="004E38FB">
        <w:rPr>
          <w:rFonts w:ascii="Arial" w:hAnsi="Arial" w:cs="Arial"/>
        </w:rPr>
        <w:t>.</w:t>
      </w:r>
    </w:p>
    <w:p w:rsidR="008D76F3" w:rsidRDefault="008D76F3" w:rsidP="00D826A7">
      <w:pPr>
        <w:jc w:val="both"/>
        <w:rPr>
          <w:rFonts w:ascii="Arial" w:hAnsi="Arial" w:cs="Arial"/>
          <w:sz w:val="24"/>
          <w:szCs w:val="24"/>
        </w:rPr>
      </w:pPr>
      <w:r w:rsidRPr="004D4219">
        <w:rPr>
          <w:rFonts w:ascii="Arial" w:hAnsi="Arial" w:cs="Arial"/>
          <w:b/>
          <w:bCs/>
        </w:rPr>
        <w:t xml:space="preserve">VI) </w:t>
      </w:r>
      <w:r>
        <w:rPr>
          <w:rFonts w:ascii="Arial" w:hAnsi="Arial" w:cs="Arial"/>
          <w:b/>
          <w:bCs/>
        </w:rPr>
        <w:t>CONVENIO U</w:t>
      </w:r>
      <w:r w:rsidR="00A80AF3">
        <w:rPr>
          <w:rFonts w:ascii="Arial" w:hAnsi="Arial" w:cs="Arial"/>
          <w:b/>
          <w:bCs/>
        </w:rPr>
        <w:t xml:space="preserve">NIVERSIDAD </w:t>
      </w:r>
      <w:r>
        <w:rPr>
          <w:rFonts w:ascii="Arial" w:hAnsi="Arial" w:cs="Arial"/>
          <w:b/>
          <w:bCs/>
        </w:rPr>
        <w:t>G</w:t>
      </w:r>
      <w:r w:rsidR="00A80AF3">
        <w:rPr>
          <w:rFonts w:ascii="Arial" w:hAnsi="Arial" w:cs="Arial"/>
          <w:b/>
          <w:bCs/>
        </w:rPr>
        <w:t>ERARDO BARRIOS Y</w:t>
      </w:r>
      <w:r>
        <w:rPr>
          <w:rFonts w:ascii="Arial" w:hAnsi="Arial" w:cs="Arial"/>
          <w:b/>
          <w:bCs/>
        </w:rPr>
        <w:t xml:space="preserve"> A</w:t>
      </w:r>
      <w:r w:rsidR="00A80AF3">
        <w:rPr>
          <w:rFonts w:ascii="Arial" w:hAnsi="Arial" w:cs="Arial"/>
          <w:b/>
          <w:bCs/>
        </w:rPr>
        <w:t xml:space="preserve">UTORIDAD </w:t>
      </w:r>
      <w:r>
        <w:rPr>
          <w:rFonts w:ascii="Arial" w:hAnsi="Arial" w:cs="Arial"/>
          <w:b/>
          <w:bCs/>
        </w:rPr>
        <w:t>M</w:t>
      </w:r>
      <w:r w:rsidR="00A80AF3">
        <w:rPr>
          <w:rFonts w:ascii="Arial" w:hAnsi="Arial" w:cs="Arial"/>
          <w:b/>
          <w:bCs/>
        </w:rPr>
        <w:t xml:space="preserve">ARITIMA PORTUARIA. </w:t>
      </w:r>
      <w:r w:rsidR="00A80AF3">
        <w:rPr>
          <w:rFonts w:ascii="Arial" w:hAnsi="Arial" w:cs="Arial"/>
        </w:rPr>
        <w:t xml:space="preserve">El ingeniero Juan Cabrera, Gerente Marítimo, leyó la propuesta de convenio entre AMP y la Universidad Gerardo Barrios, la cual tiene como objetivo </w:t>
      </w:r>
      <w:r w:rsidR="00A80AF3" w:rsidRPr="00455295">
        <w:rPr>
          <w:rFonts w:ascii="Museo Sans 300" w:hAnsi="Museo Sans 300" w:cs="Arial"/>
          <w:bCs/>
          <w:sz w:val="20"/>
        </w:rPr>
        <w:t xml:space="preserve">establecer y regular las relaciones de cooperación interinstitucionales entre </w:t>
      </w:r>
      <w:r w:rsidR="00A80AF3">
        <w:rPr>
          <w:rFonts w:ascii="Museo Sans 300" w:hAnsi="Museo Sans 300" w:cs="Arial"/>
          <w:bCs/>
          <w:sz w:val="20"/>
        </w:rPr>
        <w:t>la AMP y la UGB</w:t>
      </w:r>
      <w:r w:rsidR="00A80AF3" w:rsidRPr="00455295">
        <w:rPr>
          <w:rFonts w:ascii="Museo Sans 300" w:hAnsi="Museo Sans 300" w:cs="Arial"/>
          <w:bCs/>
          <w:sz w:val="20"/>
        </w:rPr>
        <w:t xml:space="preserve">, para la realización de actividades de interés común de tipo académico, técnico, legal, </w:t>
      </w:r>
      <w:r w:rsidR="00A80AF3">
        <w:rPr>
          <w:rFonts w:ascii="Museo Sans 300" w:hAnsi="Museo Sans 300" w:cs="Arial"/>
          <w:bCs/>
          <w:sz w:val="20"/>
        </w:rPr>
        <w:t xml:space="preserve">científico, </w:t>
      </w:r>
      <w:r w:rsidR="00A80AF3" w:rsidRPr="00455295">
        <w:rPr>
          <w:rFonts w:ascii="Museo Sans 300" w:hAnsi="Museo Sans 300" w:cs="Arial"/>
          <w:bCs/>
          <w:sz w:val="20"/>
        </w:rPr>
        <w:t xml:space="preserve">investigativo, </w:t>
      </w:r>
      <w:r w:rsidR="00A80AF3">
        <w:rPr>
          <w:rFonts w:ascii="Museo Sans 300" w:hAnsi="Museo Sans 300" w:cs="Arial"/>
          <w:bCs/>
          <w:sz w:val="20"/>
        </w:rPr>
        <w:t xml:space="preserve">tecnológico, </w:t>
      </w:r>
      <w:r w:rsidR="00A80AF3" w:rsidRPr="00455295">
        <w:rPr>
          <w:rFonts w:ascii="Museo Sans 300" w:hAnsi="Museo Sans 300" w:cs="Arial"/>
          <w:bCs/>
          <w:sz w:val="20"/>
        </w:rPr>
        <w:t>de difusión de la cultura o de tran</w:t>
      </w:r>
      <w:r w:rsidR="00A80AF3">
        <w:rPr>
          <w:rFonts w:ascii="Museo Sans 300" w:hAnsi="Museo Sans 300" w:cs="Arial"/>
          <w:bCs/>
          <w:sz w:val="20"/>
        </w:rPr>
        <w:t xml:space="preserve">sferencia de conocimientos y </w:t>
      </w:r>
      <w:r w:rsidR="00A80AF3" w:rsidRPr="00455295">
        <w:rPr>
          <w:rFonts w:ascii="Museo Sans 300" w:hAnsi="Museo Sans 300" w:cs="Arial"/>
          <w:bCs/>
          <w:sz w:val="20"/>
        </w:rPr>
        <w:t xml:space="preserve">función social, siempre en </w:t>
      </w:r>
      <w:r w:rsidR="00A80AF3">
        <w:rPr>
          <w:rFonts w:ascii="Museo Sans 300" w:hAnsi="Museo Sans 300" w:cs="Arial"/>
          <w:bCs/>
          <w:sz w:val="20"/>
        </w:rPr>
        <w:t>benefici</w:t>
      </w:r>
      <w:r w:rsidR="00A80AF3" w:rsidRPr="00455295">
        <w:rPr>
          <w:rFonts w:ascii="Museo Sans 300" w:hAnsi="Museo Sans 300" w:cs="Arial"/>
          <w:bCs/>
          <w:sz w:val="20"/>
        </w:rPr>
        <w:t>o de sus respectivos intereses y velando por el aprovechamiento racional de sus respectivos recursos.</w:t>
      </w:r>
      <w:r w:rsidR="00597E95">
        <w:rPr>
          <w:rFonts w:ascii="Museo Sans 300" w:hAnsi="Museo Sans 300" w:cs="Arial"/>
          <w:bCs/>
          <w:sz w:val="20"/>
        </w:rPr>
        <w:t xml:space="preserve"> </w:t>
      </w:r>
      <w:r w:rsidR="00597E95" w:rsidRPr="0095414B">
        <w:rPr>
          <w:rFonts w:ascii="Arial" w:hAnsi="Arial" w:cs="Arial"/>
          <w:b/>
          <w:bCs/>
        </w:rPr>
        <w:t xml:space="preserve">RESOLUCIÒN </w:t>
      </w:r>
      <w:r w:rsidR="00E434C6">
        <w:rPr>
          <w:rFonts w:ascii="Arial" w:hAnsi="Arial" w:cs="Arial"/>
          <w:b/>
          <w:bCs/>
        </w:rPr>
        <w:t>40</w:t>
      </w:r>
      <w:r w:rsidR="00597E95" w:rsidRPr="0095414B">
        <w:rPr>
          <w:rFonts w:ascii="Arial" w:hAnsi="Arial" w:cs="Arial"/>
          <w:b/>
          <w:bCs/>
        </w:rPr>
        <w:t xml:space="preserve">/2022 </w:t>
      </w:r>
      <w:r w:rsidR="00597E95" w:rsidRPr="0095414B">
        <w:rPr>
          <w:rFonts w:ascii="Arial" w:hAnsi="Arial" w:cs="Arial"/>
        </w:rPr>
        <w:t xml:space="preserve">Los señores miembros del Consejo Directivo, por </w:t>
      </w:r>
      <w:r w:rsidR="00597E95" w:rsidRPr="0095414B">
        <w:rPr>
          <w:rFonts w:ascii="Arial" w:hAnsi="Arial" w:cs="Arial"/>
          <w:b/>
        </w:rPr>
        <w:t>UNANIMIDAD ACUERDAN</w:t>
      </w:r>
      <w:r w:rsidR="00597E95">
        <w:rPr>
          <w:rFonts w:ascii="Arial" w:hAnsi="Arial" w:cs="Arial"/>
          <w:b/>
        </w:rPr>
        <w:t xml:space="preserve"> </w:t>
      </w:r>
      <w:r w:rsidR="00CB5189">
        <w:rPr>
          <w:rFonts w:ascii="Arial" w:hAnsi="Arial" w:cs="Arial"/>
          <w:b/>
        </w:rPr>
        <w:t xml:space="preserve">a) </w:t>
      </w:r>
      <w:r w:rsidR="00597E95" w:rsidRPr="00C4025B">
        <w:rPr>
          <w:rFonts w:ascii="Arial" w:hAnsi="Arial" w:cs="Arial"/>
          <w:sz w:val="24"/>
          <w:szCs w:val="24"/>
        </w:rPr>
        <w:t>instruir al Director Ejecutivo</w:t>
      </w:r>
      <w:r w:rsidR="00CB5189">
        <w:rPr>
          <w:rFonts w:ascii="Arial" w:hAnsi="Arial" w:cs="Arial"/>
          <w:sz w:val="24"/>
          <w:szCs w:val="24"/>
        </w:rPr>
        <w:t xml:space="preserve"> para que en coordinación con las autoridades de la Universidad Gerardo Barrios, aseguren que los compromisos plasmados serán realizados dentro del periodo de vigencia del convenio marco y que se hagan los ajustes necesarios; b) instruir al Director Ejecutivo </w:t>
      </w:r>
      <w:r w:rsidR="00597E95" w:rsidRPr="00C4025B">
        <w:rPr>
          <w:rFonts w:ascii="Arial" w:hAnsi="Arial" w:cs="Arial"/>
          <w:sz w:val="24"/>
          <w:szCs w:val="24"/>
        </w:rPr>
        <w:t>para que apoyado</w:t>
      </w:r>
      <w:r w:rsidR="00597E95">
        <w:rPr>
          <w:rFonts w:ascii="Arial" w:hAnsi="Arial" w:cs="Arial"/>
          <w:sz w:val="24"/>
          <w:szCs w:val="24"/>
        </w:rPr>
        <w:t xml:space="preserve"> de la Gerencia legal revise el convenio entre la Universidad Gerardo Barrio y la </w:t>
      </w:r>
      <w:r w:rsidR="0031724E">
        <w:rPr>
          <w:rFonts w:ascii="Arial" w:hAnsi="Arial" w:cs="Arial"/>
          <w:sz w:val="24"/>
          <w:szCs w:val="24"/>
        </w:rPr>
        <w:t>AMP y</w:t>
      </w:r>
      <w:r w:rsidR="00597E95">
        <w:rPr>
          <w:rFonts w:ascii="Arial" w:hAnsi="Arial" w:cs="Arial"/>
          <w:sz w:val="24"/>
          <w:szCs w:val="24"/>
        </w:rPr>
        <w:t xml:space="preserve"> establezca quien es la persona apta legalmente para firmar</w:t>
      </w:r>
      <w:r w:rsidR="0031724E">
        <w:rPr>
          <w:rFonts w:ascii="Arial" w:hAnsi="Arial" w:cs="Arial"/>
          <w:sz w:val="24"/>
          <w:szCs w:val="24"/>
        </w:rPr>
        <w:t xml:space="preserve"> dicho convenio, tomando en cuenta que actualmente hay un Director Presidente en funciones. </w:t>
      </w:r>
      <w:r w:rsidR="00597E95">
        <w:rPr>
          <w:rFonts w:ascii="Arial" w:hAnsi="Arial" w:cs="Arial"/>
          <w:sz w:val="24"/>
          <w:szCs w:val="24"/>
        </w:rPr>
        <w:t xml:space="preserve"> </w:t>
      </w:r>
    </w:p>
    <w:p w:rsidR="00034798" w:rsidRPr="004D4219" w:rsidRDefault="00034798" w:rsidP="00034798">
      <w:pPr>
        <w:jc w:val="both"/>
        <w:rPr>
          <w:rFonts w:ascii="Arial" w:hAnsi="Arial" w:cs="Arial"/>
        </w:rPr>
      </w:pPr>
      <w:r w:rsidRPr="004D4219">
        <w:rPr>
          <w:rFonts w:ascii="Arial" w:hAnsi="Arial" w:cs="Arial"/>
        </w:rPr>
        <w:t>Habiéndose desarrollado la agenda aprobada se da por terminada la reunión a las diecinueve horas con treinta minutos del día de su fecha.</w:t>
      </w:r>
    </w:p>
    <w:p w:rsidR="00034798" w:rsidRPr="00A80AF3" w:rsidRDefault="00034798" w:rsidP="00D826A7">
      <w:pPr>
        <w:jc w:val="both"/>
        <w:rPr>
          <w:rFonts w:ascii="Arial" w:hAnsi="Arial" w:cs="Arial"/>
        </w:rPr>
      </w:pPr>
    </w:p>
    <w:p w:rsidR="00D826A7" w:rsidRPr="004D4219" w:rsidRDefault="00D826A7" w:rsidP="00D826A7">
      <w:pPr>
        <w:jc w:val="both"/>
        <w:rPr>
          <w:rFonts w:ascii="Arial" w:hAnsi="Arial" w:cs="Arial"/>
        </w:rPr>
      </w:pPr>
    </w:p>
    <w:p w:rsidR="00B51B49" w:rsidRPr="004D4219" w:rsidRDefault="00B51B49" w:rsidP="00B51B49">
      <w:pPr>
        <w:jc w:val="both"/>
        <w:rPr>
          <w:rFonts w:ascii="Arial" w:hAnsi="Arial" w:cs="Arial"/>
        </w:rPr>
      </w:pPr>
    </w:p>
    <w:p w:rsidR="00B51B49" w:rsidRDefault="00B51B49" w:rsidP="00B51B49">
      <w:pPr>
        <w:spacing w:after="0" w:line="30" w:lineRule="atLeast"/>
        <w:jc w:val="both"/>
        <w:rPr>
          <w:rFonts w:ascii="Arial" w:hAnsi="Arial" w:cs="Arial"/>
          <w:b/>
        </w:rPr>
      </w:pPr>
    </w:p>
    <w:p w:rsidR="00353155" w:rsidRPr="00740412" w:rsidRDefault="00353155" w:rsidP="00353155">
      <w:pPr>
        <w:spacing w:after="0" w:line="30" w:lineRule="atLeast"/>
        <w:jc w:val="both"/>
        <w:rPr>
          <w:rFonts w:ascii="Arial" w:hAnsi="Arial" w:cs="Arial"/>
          <w:b/>
          <w:sz w:val="21"/>
          <w:szCs w:val="21"/>
        </w:rPr>
      </w:pPr>
      <w:r w:rsidRPr="00740412">
        <w:rPr>
          <w:rFonts w:ascii="Arial" w:hAnsi="Arial" w:cs="Arial"/>
          <w:b/>
          <w:sz w:val="21"/>
          <w:szCs w:val="21"/>
        </w:rPr>
        <w:t xml:space="preserve">Christian Marcos Aguilar Durán                       Mauricio Ernesto Velásquez Soriano                </w:t>
      </w:r>
      <w:r>
        <w:rPr>
          <w:rFonts w:ascii="Arial" w:hAnsi="Arial" w:cs="Arial"/>
          <w:b/>
          <w:sz w:val="21"/>
          <w:szCs w:val="21"/>
        </w:rPr>
        <w:t xml:space="preserve">           </w:t>
      </w:r>
    </w:p>
    <w:p w:rsidR="00353155" w:rsidRPr="00740412" w:rsidRDefault="00353155" w:rsidP="00353155">
      <w:pPr>
        <w:spacing w:after="0" w:line="30" w:lineRule="atLeast"/>
        <w:jc w:val="both"/>
        <w:rPr>
          <w:rFonts w:ascii="Arial" w:hAnsi="Arial" w:cs="Arial"/>
          <w:b/>
          <w:sz w:val="21"/>
          <w:szCs w:val="21"/>
        </w:rPr>
      </w:pPr>
      <w:r w:rsidRPr="00740412">
        <w:rPr>
          <w:rFonts w:ascii="Arial" w:hAnsi="Arial" w:cs="Arial"/>
          <w:b/>
          <w:sz w:val="21"/>
          <w:szCs w:val="21"/>
        </w:rPr>
        <w:t xml:space="preserve">Director </w:t>
      </w:r>
      <w:r>
        <w:rPr>
          <w:rFonts w:ascii="Arial" w:hAnsi="Arial" w:cs="Arial"/>
          <w:b/>
          <w:sz w:val="21"/>
          <w:szCs w:val="21"/>
        </w:rPr>
        <w:t>propietario actuando</w:t>
      </w:r>
      <w:r w:rsidRPr="00740412">
        <w:rPr>
          <w:rFonts w:ascii="Arial" w:hAnsi="Arial" w:cs="Arial"/>
          <w:b/>
          <w:sz w:val="21"/>
          <w:szCs w:val="21"/>
        </w:rPr>
        <w:tab/>
      </w:r>
      <w:r w:rsidRPr="00740412">
        <w:rPr>
          <w:rFonts w:ascii="Arial" w:hAnsi="Arial" w:cs="Arial"/>
          <w:b/>
          <w:sz w:val="21"/>
          <w:szCs w:val="21"/>
        </w:rPr>
        <w:tab/>
        <w:t xml:space="preserve">                     </w:t>
      </w:r>
      <w:proofErr w:type="gramStart"/>
      <w:r w:rsidRPr="00740412">
        <w:rPr>
          <w:rFonts w:ascii="Arial" w:hAnsi="Arial" w:cs="Arial"/>
          <w:b/>
          <w:sz w:val="21"/>
          <w:szCs w:val="21"/>
        </w:rPr>
        <w:t>Director</w:t>
      </w:r>
      <w:proofErr w:type="gramEnd"/>
      <w:r w:rsidRPr="00740412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propietario</w:t>
      </w:r>
    </w:p>
    <w:p w:rsidR="00353155" w:rsidRPr="00740412" w:rsidRDefault="00353155" w:rsidP="00353155">
      <w:pPr>
        <w:spacing w:after="0" w:line="30" w:lineRule="atLeas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como </w:t>
      </w:r>
      <w:proofErr w:type="gramStart"/>
      <w:r w:rsidRPr="00740412">
        <w:rPr>
          <w:rFonts w:ascii="Arial" w:hAnsi="Arial" w:cs="Arial"/>
          <w:b/>
          <w:sz w:val="21"/>
          <w:szCs w:val="21"/>
        </w:rPr>
        <w:t>Presidente</w:t>
      </w:r>
      <w:proofErr w:type="gramEnd"/>
      <w:r w:rsidRPr="00740412">
        <w:rPr>
          <w:rFonts w:ascii="Arial" w:hAnsi="Arial" w:cs="Arial"/>
          <w:b/>
          <w:sz w:val="21"/>
          <w:szCs w:val="21"/>
        </w:rPr>
        <w:t xml:space="preserve"> en funciones</w:t>
      </w:r>
    </w:p>
    <w:p w:rsidR="00353155" w:rsidRDefault="00353155" w:rsidP="00353155">
      <w:pPr>
        <w:spacing w:after="0" w:line="30" w:lineRule="atLeast"/>
        <w:jc w:val="both"/>
        <w:rPr>
          <w:rFonts w:ascii="Arial" w:hAnsi="Arial" w:cs="Arial"/>
          <w:b/>
        </w:rPr>
      </w:pPr>
    </w:p>
    <w:p w:rsidR="00353155" w:rsidRDefault="00353155" w:rsidP="00353155">
      <w:pPr>
        <w:spacing w:after="0" w:line="30" w:lineRule="atLeast"/>
        <w:jc w:val="both"/>
        <w:rPr>
          <w:rFonts w:ascii="Arial" w:hAnsi="Arial" w:cs="Arial"/>
          <w:b/>
        </w:rPr>
      </w:pPr>
    </w:p>
    <w:p w:rsidR="00353155" w:rsidRDefault="00353155" w:rsidP="00353155">
      <w:pPr>
        <w:spacing w:after="0" w:line="30" w:lineRule="atLeast"/>
        <w:jc w:val="both"/>
        <w:rPr>
          <w:rFonts w:ascii="Arial" w:hAnsi="Arial" w:cs="Arial"/>
          <w:b/>
        </w:rPr>
      </w:pPr>
    </w:p>
    <w:p w:rsidR="00353155" w:rsidRDefault="00353155" w:rsidP="00353155">
      <w:pPr>
        <w:spacing w:after="0" w:line="30" w:lineRule="atLeast"/>
        <w:jc w:val="both"/>
        <w:rPr>
          <w:rFonts w:ascii="Arial" w:hAnsi="Arial" w:cs="Arial"/>
          <w:b/>
        </w:rPr>
      </w:pPr>
    </w:p>
    <w:p w:rsidR="00353155" w:rsidRDefault="00353155" w:rsidP="00353155">
      <w:pPr>
        <w:spacing w:after="0" w:line="30" w:lineRule="atLeast"/>
        <w:jc w:val="both"/>
        <w:rPr>
          <w:rFonts w:ascii="Arial" w:hAnsi="Arial" w:cs="Arial"/>
          <w:b/>
        </w:rPr>
      </w:pPr>
    </w:p>
    <w:p w:rsidR="00353155" w:rsidRDefault="00353155" w:rsidP="00353155">
      <w:pPr>
        <w:spacing w:after="0" w:line="30" w:lineRule="atLeast"/>
        <w:jc w:val="both"/>
        <w:rPr>
          <w:rFonts w:ascii="Arial" w:hAnsi="Arial" w:cs="Arial"/>
          <w:b/>
        </w:rPr>
      </w:pPr>
    </w:p>
    <w:p w:rsidR="00353155" w:rsidRDefault="00353155" w:rsidP="00353155">
      <w:pPr>
        <w:spacing w:after="0" w:line="30" w:lineRule="atLeast"/>
        <w:jc w:val="both"/>
        <w:rPr>
          <w:rFonts w:ascii="Arial" w:hAnsi="Arial" w:cs="Arial"/>
          <w:b/>
        </w:rPr>
      </w:pPr>
    </w:p>
    <w:p w:rsidR="00353155" w:rsidRDefault="00353155" w:rsidP="00353155">
      <w:pPr>
        <w:spacing w:after="0" w:line="30" w:lineRule="atLeast"/>
        <w:jc w:val="both"/>
        <w:rPr>
          <w:rFonts w:ascii="Arial" w:hAnsi="Arial" w:cs="Arial"/>
          <w:b/>
        </w:rPr>
      </w:pPr>
    </w:p>
    <w:p w:rsidR="00353155" w:rsidRDefault="00353155" w:rsidP="00353155">
      <w:pPr>
        <w:spacing w:after="0" w:line="30" w:lineRule="atLeast"/>
        <w:jc w:val="both"/>
        <w:rPr>
          <w:rFonts w:ascii="Arial" w:hAnsi="Arial" w:cs="Arial"/>
          <w:b/>
        </w:rPr>
      </w:pPr>
    </w:p>
    <w:p w:rsidR="00353155" w:rsidRPr="006A52C0" w:rsidRDefault="00353155" w:rsidP="00353155">
      <w:pPr>
        <w:rPr>
          <w:rFonts w:ascii="Arial" w:hAnsi="Arial" w:cs="Arial"/>
        </w:rPr>
      </w:pPr>
      <w:r w:rsidRPr="00740412">
        <w:rPr>
          <w:rFonts w:ascii="Arial" w:hAnsi="Arial" w:cs="Arial"/>
          <w:b/>
          <w:sz w:val="21"/>
          <w:szCs w:val="21"/>
        </w:rPr>
        <w:t xml:space="preserve"> Roberto Arístides Castellón Murcia  </w:t>
      </w:r>
      <w:r>
        <w:rPr>
          <w:rFonts w:ascii="Arial" w:hAnsi="Arial" w:cs="Arial"/>
        </w:rPr>
        <w:t xml:space="preserve">                    </w:t>
      </w:r>
      <w:r w:rsidRPr="00740412">
        <w:rPr>
          <w:rFonts w:ascii="Arial" w:hAnsi="Arial" w:cs="Arial"/>
          <w:b/>
          <w:sz w:val="21"/>
          <w:szCs w:val="21"/>
        </w:rPr>
        <w:t xml:space="preserve"> Raúl Vicente Zablah Hernández</w:t>
      </w:r>
    </w:p>
    <w:p w:rsidR="00353155" w:rsidRPr="00740412" w:rsidRDefault="00353155" w:rsidP="00353155">
      <w:pPr>
        <w:spacing w:after="0" w:line="30" w:lineRule="atLeast"/>
        <w:ind w:left="708"/>
        <w:jc w:val="both"/>
        <w:rPr>
          <w:rFonts w:ascii="Arial" w:hAnsi="Arial" w:cs="Arial"/>
          <w:b/>
          <w:sz w:val="21"/>
          <w:szCs w:val="21"/>
        </w:rPr>
      </w:pPr>
      <w:r w:rsidRPr="00740412">
        <w:rPr>
          <w:rFonts w:ascii="Arial" w:hAnsi="Arial" w:cs="Arial"/>
          <w:b/>
          <w:sz w:val="21"/>
          <w:szCs w:val="21"/>
        </w:rPr>
        <w:t xml:space="preserve">Director </w:t>
      </w:r>
      <w:r>
        <w:rPr>
          <w:rFonts w:ascii="Arial" w:hAnsi="Arial" w:cs="Arial"/>
          <w:b/>
          <w:sz w:val="21"/>
          <w:szCs w:val="21"/>
        </w:rPr>
        <w:t>suplente</w:t>
      </w:r>
      <w:r w:rsidRPr="00740412">
        <w:rPr>
          <w:rFonts w:ascii="Arial" w:hAnsi="Arial" w:cs="Arial"/>
          <w:b/>
          <w:sz w:val="21"/>
          <w:szCs w:val="21"/>
        </w:rPr>
        <w:t xml:space="preserve">                              </w:t>
      </w:r>
      <w:proofErr w:type="gramStart"/>
      <w:r w:rsidRPr="00740412">
        <w:rPr>
          <w:rFonts w:ascii="Arial" w:hAnsi="Arial" w:cs="Arial"/>
          <w:b/>
          <w:sz w:val="21"/>
          <w:szCs w:val="21"/>
        </w:rPr>
        <w:t>Director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suplente actuando Director </w:t>
      </w:r>
      <w:r w:rsidRPr="00740412">
        <w:rPr>
          <w:rFonts w:ascii="Arial" w:hAnsi="Arial" w:cs="Arial"/>
          <w:b/>
          <w:sz w:val="21"/>
          <w:szCs w:val="21"/>
        </w:rPr>
        <w:t xml:space="preserve">propietario                                                                                           </w:t>
      </w:r>
    </w:p>
    <w:bookmarkEnd w:id="0"/>
    <w:bookmarkEnd w:id="1"/>
    <w:p w:rsidR="00EA7418" w:rsidRDefault="00571399"/>
    <w:sectPr w:rsidR="00EA7418" w:rsidSect="0057139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26CD9"/>
    <w:multiLevelType w:val="hybridMultilevel"/>
    <w:tmpl w:val="3072D152"/>
    <w:lvl w:ilvl="0" w:tplc="C8701DBC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5" w:hanging="360"/>
      </w:pPr>
    </w:lvl>
    <w:lvl w:ilvl="2" w:tplc="440A001B" w:tentative="1">
      <w:start w:val="1"/>
      <w:numFmt w:val="lowerRoman"/>
      <w:lvlText w:val="%3."/>
      <w:lvlJc w:val="right"/>
      <w:pPr>
        <w:ind w:left="2225" w:hanging="180"/>
      </w:pPr>
    </w:lvl>
    <w:lvl w:ilvl="3" w:tplc="440A000F" w:tentative="1">
      <w:start w:val="1"/>
      <w:numFmt w:val="decimal"/>
      <w:lvlText w:val="%4."/>
      <w:lvlJc w:val="left"/>
      <w:pPr>
        <w:ind w:left="2945" w:hanging="360"/>
      </w:pPr>
    </w:lvl>
    <w:lvl w:ilvl="4" w:tplc="440A0019" w:tentative="1">
      <w:start w:val="1"/>
      <w:numFmt w:val="lowerLetter"/>
      <w:lvlText w:val="%5."/>
      <w:lvlJc w:val="left"/>
      <w:pPr>
        <w:ind w:left="3665" w:hanging="360"/>
      </w:pPr>
    </w:lvl>
    <w:lvl w:ilvl="5" w:tplc="440A001B" w:tentative="1">
      <w:start w:val="1"/>
      <w:numFmt w:val="lowerRoman"/>
      <w:lvlText w:val="%6."/>
      <w:lvlJc w:val="right"/>
      <w:pPr>
        <w:ind w:left="4385" w:hanging="180"/>
      </w:pPr>
    </w:lvl>
    <w:lvl w:ilvl="6" w:tplc="440A000F" w:tentative="1">
      <w:start w:val="1"/>
      <w:numFmt w:val="decimal"/>
      <w:lvlText w:val="%7."/>
      <w:lvlJc w:val="left"/>
      <w:pPr>
        <w:ind w:left="5105" w:hanging="360"/>
      </w:pPr>
    </w:lvl>
    <w:lvl w:ilvl="7" w:tplc="440A0019" w:tentative="1">
      <w:start w:val="1"/>
      <w:numFmt w:val="lowerLetter"/>
      <w:lvlText w:val="%8."/>
      <w:lvlJc w:val="left"/>
      <w:pPr>
        <w:ind w:left="5825" w:hanging="360"/>
      </w:pPr>
    </w:lvl>
    <w:lvl w:ilvl="8" w:tplc="44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49"/>
    <w:rsid w:val="00034798"/>
    <w:rsid w:val="000A7F82"/>
    <w:rsid w:val="002D232E"/>
    <w:rsid w:val="0031724E"/>
    <w:rsid w:val="00320DD5"/>
    <w:rsid w:val="00353155"/>
    <w:rsid w:val="003B33EE"/>
    <w:rsid w:val="003B60F6"/>
    <w:rsid w:val="00494D1D"/>
    <w:rsid w:val="004A5DE8"/>
    <w:rsid w:val="004E38FB"/>
    <w:rsid w:val="00510FFF"/>
    <w:rsid w:val="00571399"/>
    <w:rsid w:val="00591F7B"/>
    <w:rsid w:val="00597E95"/>
    <w:rsid w:val="005D4142"/>
    <w:rsid w:val="00630665"/>
    <w:rsid w:val="00672AD7"/>
    <w:rsid w:val="006F04C0"/>
    <w:rsid w:val="00751161"/>
    <w:rsid w:val="007B6C6A"/>
    <w:rsid w:val="007C355F"/>
    <w:rsid w:val="00870D31"/>
    <w:rsid w:val="008D76F3"/>
    <w:rsid w:val="0091277B"/>
    <w:rsid w:val="009F3C08"/>
    <w:rsid w:val="00A00BA4"/>
    <w:rsid w:val="00A57CDE"/>
    <w:rsid w:val="00A80AF3"/>
    <w:rsid w:val="00B406CB"/>
    <w:rsid w:val="00B51B49"/>
    <w:rsid w:val="00CB5189"/>
    <w:rsid w:val="00CC7CAC"/>
    <w:rsid w:val="00D826A2"/>
    <w:rsid w:val="00D826A7"/>
    <w:rsid w:val="00D91E8E"/>
    <w:rsid w:val="00DC3E26"/>
    <w:rsid w:val="00E434C6"/>
    <w:rsid w:val="00E70FDA"/>
    <w:rsid w:val="00EC34E8"/>
    <w:rsid w:val="00EF477F"/>
    <w:rsid w:val="00F77011"/>
    <w:rsid w:val="00FA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C4C4F"/>
  <w15:chartTrackingRefBased/>
  <w15:docId w15:val="{751611E8-768C-4E97-9877-5D7F8FE0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B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B51B49"/>
    <w:pPr>
      <w:ind w:left="720"/>
      <w:contextualSpacing/>
    </w:p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B51B49"/>
  </w:style>
  <w:style w:type="paragraph" w:styleId="Textoindependiente2">
    <w:name w:val="Body Text 2"/>
    <w:basedOn w:val="Normal"/>
    <w:link w:val="Textoindependiente2Car"/>
    <w:uiPriority w:val="99"/>
    <w:unhideWhenUsed/>
    <w:rsid w:val="00B51B49"/>
    <w:pPr>
      <w:suppressAutoHyphens/>
      <w:spacing w:after="120" w:line="480" w:lineRule="auto"/>
    </w:pPr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51B49"/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3</Pages>
  <Words>1206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C. Barillas</dc:creator>
  <cp:keywords/>
  <dc:description/>
  <cp:lastModifiedBy>Nelly C. Barillas</cp:lastModifiedBy>
  <cp:revision>38</cp:revision>
  <dcterms:created xsi:type="dcterms:W3CDTF">2022-03-22T14:52:00Z</dcterms:created>
  <dcterms:modified xsi:type="dcterms:W3CDTF">2022-05-02T16:39:00Z</dcterms:modified>
</cp:coreProperties>
</file>