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A992E" w14:textId="77777777" w:rsidR="00D8765A" w:rsidRPr="00D8765A" w:rsidRDefault="00D8765A" w:rsidP="00D8765A">
      <w:pPr>
        <w:spacing w:before="60" w:after="60" w:line="276" w:lineRule="auto"/>
        <w:contextualSpacing/>
        <w:jc w:val="both"/>
        <w:rPr>
          <w:rFonts w:ascii="Arial" w:eastAsia="Calibri" w:hAnsi="Arial" w:cs="Arial"/>
        </w:rPr>
      </w:pPr>
      <w:r w:rsidRPr="00D8765A">
        <w:rPr>
          <w:rFonts w:ascii="Arial" w:eastAsia="Calibri" w:hAnsi="Arial" w:cs="Arial"/>
          <w:b/>
        </w:rPr>
        <w:t>ACTA NÚMERO VEINTICINCO. SESIÓN ORDINARIA DEL CONSEJO DIRECTIVO DE LA AUTORIDAD MARÍTIMA PORTUARIA.</w:t>
      </w:r>
      <w:r w:rsidRPr="00D8765A">
        <w:rPr>
          <w:rFonts w:ascii="Arial" w:eastAsia="Calibri" w:hAnsi="Arial" w:cs="Arial"/>
        </w:rPr>
        <w:t xml:space="preserve">  En la ciudad de San Salvador, departamento de San Salvador, a las doce horas con treinta minutos del día veintisiete de mayo de dos mil diecinueve; en las Oficinas de la Autoridad Marítima Portuaria, </w:t>
      </w:r>
      <w:r w:rsidRPr="00D8765A">
        <w:rPr>
          <w:rFonts w:ascii="Arial" w:eastAsia="Calibri" w:hAnsi="Arial" w:cs="Arial"/>
          <w:lang w:val="es-MX"/>
        </w:rPr>
        <w:t>situadas en Calle Número Dos, Casa Número Ciento Veintisiete, entre la Calle Loma Linda y Calle La Mascota, Colonia San Benito</w:t>
      </w:r>
      <w:r w:rsidRPr="00D8765A">
        <w:rPr>
          <w:rFonts w:ascii="Arial" w:eastAsia="Calibri" w:hAnsi="Arial" w:cs="Arial"/>
          <w:shd w:val="clear" w:color="auto" w:fill="FFFFFF"/>
        </w:rPr>
        <w:t xml:space="preserve">, </w:t>
      </w:r>
      <w:r w:rsidRPr="00D8765A">
        <w:rPr>
          <w:rFonts w:ascii="Arial" w:eastAsia="Calibri" w:hAnsi="Arial" w:cs="Arial"/>
        </w:rPr>
        <w:t>con el objeto de celebrar sesión del Consejo Directivo, están presentes: Capitán de Navío DEM Licenciado René Ernesto Hernández Osegueda, Director Presidente, quien preside la sesión; L</w:t>
      </w:r>
      <w:proofErr w:type="spellStart"/>
      <w:r w:rsidRPr="00D8765A">
        <w:rPr>
          <w:rFonts w:ascii="Arial" w:eastAsia="Calibri" w:hAnsi="Arial" w:cs="Arial"/>
          <w:lang w:val="es-MX"/>
        </w:rPr>
        <w:t>icenciada</w:t>
      </w:r>
      <w:proofErr w:type="spellEnd"/>
      <w:r w:rsidRPr="00D8765A">
        <w:rPr>
          <w:rFonts w:ascii="Arial" w:eastAsia="Calibri" w:hAnsi="Arial" w:cs="Arial"/>
          <w:lang w:val="es-MX"/>
        </w:rPr>
        <w:t xml:space="preserve"> </w:t>
      </w:r>
      <w:proofErr w:type="spellStart"/>
      <w:r w:rsidRPr="00D8765A">
        <w:rPr>
          <w:rFonts w:ascii="Arial" w:eastAsia="Calibri" w:hAnsi="Arial" w:cs="Arial"/>
          <w:lang w:val="es-MX"/>
        </w:rPr>
        <w:t>Jeny</w:t>
      </w:r>
      <w:proofErr w:type="spellEnd"/>
      <w:r w:rsidRPr="00D8765A">
        <w:rPr>
          <w:rFonts w:ascii="Arial" w:eastAsia="Calibri" w:hAnsi="Arial" w:cs="Arial"/>
          <w:lang w:val="es-MX"/>
        </w:rPr>
        <w:t xml:space="preserve"> Roxana Alvarado de Arias, Directora Propietaria; Licenciado Marco Tulio Orellana Vides, Director Propietario; Ingeniero Roberto </w:t>
      </w:r>
      <w:proofErr w:type="spellStart"/>
      <w:r w:rsidRPr="00D8765A">
        <w:rPr>
          <w:rFonts w:ascii="Arial" w:eastAsia="Calibri" w:hAnsi="Arial" w:cs="Arial"/>
          <w:lang w:val="es-MX"/>
        </w:rPr>
        <w:t>Aristides</w:t>
      </w:r>
      <w:proofErr w:type="spellEnd"/>
      <w:r w:rsidRPr="00D8765A">
        <w:rPr>
          <w:rFonts w:ascii="Arial" w:eastAsia="Calibri" w:hAnsi="Arial" w:cs="Arial"/>
          <w:lang w:val="es-MX"/>
        </w:rPr>
        <w:t xml:space="preserve"> Castellón Murcia, Director Propietario; Licenciada Tatiana Elizabeth Zaldívar de </w:t>
      </w:r>
      <w:proofErr w:type="spellStart"/>
      <w:r w:rsidRPr="00D8765A">
        <w:rPr>
          <w:rFonts w:ascii="Arial" w:eastAsia="Calibri" w:hAnsi="Arial" w:cs="Arial"/>
          <w:lang w:val="es-MX"/>
        </w:rPr>
        <w:t>Baires</w:t>
      </w:r>
      <w:proofErr w:type="spellEnd"/>
      <w:r w:rsidRPr="00D8765A">
        <w:rPr>
          <w:rFonts w:ascii="Arial" w:eastAsia="Calibri" w:hAnsi="Arial" w:cs="Arial"/>
          <w:lang w:val="es-MX"/>
        </w:rPr>
        <w:t xml:space="preserve">, Directora Suplente en funciones. </w:t>
      </w:r>
      <w:r w:rsidRPr="00D8765A">
        <w:rPr>
          <w:rFonts w:ascii="Arial" w:eastAsia="Calibri" w:hAnsi="Arial" w:cs="Arial"/>
          <w:b/>
          <w:lang w:val="es-MX"/>
        </w:rPr>
        <w:t>I</w:t>
      </w:r>
      <w:r w:rsidRPr="00D8765A">
        <w:rPr>
          <w:rFonts w:ascii="Arial" w:eastAsia="Calibri" w:hAnsi="Arial" w:cs="Arial"/>
          <w:b/>
        </w:rPr>
        <w:t xml:space="preserve">) ESTABLECIMIENTO DE QUÓRUM Y APROBACIÓN DE AGENDA. </w:t>
      </w:r>
      <w:r w:rsidRPr="00D8765A">
        <w:rPr>
          <w:rFonts w:ascii="Arial" w:eastAsia="Calibri" w:hAnsi="Arial" w:cs="Arial"/>
        </w:rPr>
        <w:t xml:space="preserve">Se verificó el quórum, a continuación, los señores directores decidieron incorporar a la agenda propuesta un punto en informes y correspondencia, aprobando la agenda que se desarrolla a continuación. </w:t>
      </w:r>
      <w:r w:rsidRPr="00D8765A">
        <w:rPr>
          <w:rFonts w:ascii="Arial" w:eastAsia="Calibri" w:hAnsi="Arial" w:cs="Arial"/>
          <w:b/>
        </w:rPr>
        <w:t>II) LECTURA Y APROBACIÓN DEL ACTA ANTERIOR.</w:t>
      </w:r>
      <w:r w:rsidRPr="00D8765A">
        <w:rPr>
          <w:rFonts w:ascii="Arial" w:eastAsia="Calibri" w:hAnsi="Arial" w:cs="Arial"/>
        </w:rPr>
        <w:t xml:space="preserve"> Se dio lectura al acta correspondiente a la sesión número CD-AMP/24/2019, de fecha veintitrés de mayo de dos mil diecinueve, la cual fue ratificada</w:t>
      </w:r>
      <w:r w:rsidRPr="00D8765A">
        <w:rPr>
          <w:rFonts w:ascii="Arial" w:eastAsia="Calibri" w:hAnsi="Arial" w:cs="Arial"/>
          <w:b/>
        </w:rPr>
        <w:t xml:space="preserve">.  III)  INFORME FINAL AUDITORÍA EXTERNA EN LO TÉCNICO Y FINANCIERO EJERCICIO 2018. </w:t>
      </w:r>
      <w:r w:rsidRPr="00D8765A">
        <w:rPr>
          <w:rFonts w:ascii="Arial" w:eastAsia="Calibri" w:hAnsi="Arial" w:cs="Arial"/>
        </w:rPr>
        <w:t xml:space="preserve">Los Licenciados Guillermo Rivera y Ana María Cárcamo, miembros del equipo de auditoría de la firma Elías y Asociados responsable de la ejecución de la auditoría externa en lo técnico y financiero del periodo comprendido del 01 de enero al 31 de diciembre de 2018 presentaron el detalle del contenido del informe final de auditoría con el dictamen de los auditores independientes.  Indicó el licenciado Rivera que el alcance de la auditoría comprendió una revisión de acuerdo con Normas de Auditoría Gubernamental emitidas por la Corte de Cuentas de la República. Se aplicaron procedimientos para comprobar la autenticidad de los recursos y obligaciones de la AMP, tales como disponibilidades, inversiones financieras, inversiones en existencias, inversiones en bienes de uso, deuda corriente, financiamiento de Terceros y Obligaciones Propias y se evaluó el sistema de control interno y procedimientos empleados a efecto de recomendar mejoras a los mismos, que garanticen la razonabilidad de las cifras en los estados financieros. En cuanto a los resultados de la auditoría señaló que los Estados Financieros presentan razonablemente en todos sus aspectos importantes, la situación financiera de la Autoridad Marítima Portuaria al 31 de diciembre de 2018, el resultado de sus operaciones, la ejecución presupuestaria y el flujo de fondos por el año terminado en esa fecha, sobre la base de contabilidad descrita en la nota dos de los Estados Financieros. Sobre la estructura de control interno conforme a la evaluación y nivel de cumplimiento realizado por la administración de los lineamientos establecidos en el Reglamento de Normas Técnicas de Control Interno específicas, señalan que la AMP cumple con los criterios de control interno, exceptuando dos condiciones, la primera por error en la acumulación del resultado del ejercicio corriente y la segunda por desequilibrio presupuestario. En relación al cumplimiento de leyes aplicables, señalan que la AMP ha dado cumplimiento en todos los aspectos importantes a las disposiciones legales, excepto por dos aspectos: el primero relacionado a procesos de compra concentrados en un solo proveedor y el segundo por incumplimiento de las trasferencias del rubro de inversiones 61 al rubro de gastos 54. En relación a la evaluación de las áreas técnicas marítima y portuaria con base al resultado obtenido de la revisión y de los procedimientos ejecutados para evaluar la gestión, se concluye que esta fue efectiva y </w:t>
      </w:r>
      <w:r w:rsidRPr="00D8765A">
        <w:rPr>
          <w:rFonts w:ascii="Arial" w:eastAsia="Calibri" w:hAnsi="Arial" w:cs="Arial"/>
        </w:rPr>
        <w:lastRenderedPageBreak/>
        <w:t xml:space="preserve">eficiente para el desarrollo organizacional y para el funcionamiento durante el periodo evaluado. Señalan que en seguimiento a la auditoria del ejercicio 2017, se determinó que el hallazgo presentado se encuentra en proceso y que fue emitida carta de Gerencia en fecha 12 de abril 2019, complementada el 03 de mayo de 2019 y el seguimiento al total de condiciones observadas fue emitido en fecha 21 de mayo 2019.  </w:t>
      </w:r>
      <w:r w:rsidRPr="00D8765A">
        <w:rPr>
          <w:rFonts w:ascii="Arial" w:eastAsia="Calibri" w:hAnsi="Arial" w:cs="Arial"/>
          <w:b/>
        </w:rPr>
        <w:t xml:space="preserve">RESOLUCIÓN No. 97/2019. Los señores Miembros de Consejo Directivo, ACUERDAN POR UNANIMIDAD.  a) </w:t>
      </w:r>
      <w:r w:rsidRPr="00D8765A">
        <w:rPr>
          <w:rFonts w:ascii="Arial" w:eastAsia="Calibri" w:hAnsi="Arial" w:cs="Arial"/>
        </w:rPr>
        <w:t xml:space="preserve">Dar por recibido y aprobar el informe presentado por la firma de auditoría Elías y Asociados responsable de la ejecución de la auditoría externa en lo técnico y financiero del periodo comprendido del 01 de enero al 31 de diciembre de 2018. </w:t>
      </w:r>
      <w:r w:rsidRPr="00D8765A">
        <w:rPr>
          <w:rFonts w:ascii="Arial" w:eastAsia="Calibri" w:hAnsi="Arial" w:cs="Arial"/>
          <w:b/>
        </w:rPr>
        <w:t>IV) INFORME “EXAMEN A LOS PROCESOS DE CONTRATACIÓN REALIZADOS POR LA UACI DURANTE EL PERÍODO DE JULIO A DICIEMBRE 2018</w:t>
      </w:r>
      <w:r w:rsidRPr="00D8765A">
        <w:rPr>
          <w:rFonts w:ascii="Arial" w:eastAsia="Calibri" w:hAnsi="Arial" w:cs="Arial"/>
        </w:rPr>
        <w:t xml:space="preserve">. La licenciada Roxana Beatriz Amaya, jefa del área de auditoria interna, señaló que en cumplimiento a lo dispuesto por el Consejo Directivo  mediante resolución No 88/2019, del acta 22, de fecha 14 de mayo de 2019, ha realizado el examen a los procesos de contratación a través de la Unidad de Adquisiciones y Contrataciones Institucional, UACI correspondientes al segundo semestre del ejercicio 2018, para lo cual ha revisado </w:t>
      </w:r>
      <w:r w:rsidRPr="00D8765A">
        <w:rPr>
          <w:rFonts w:ascii="Arial" w:eastAsia="Calibri" w:hAnsi="Arial" w:cs="Arial"/>
          <w:lang w:val="es-ES_tradnl"/>
        </w:rPr>
        <w:t xml:space="preserve">122 expedientes por Libre Gestión, identificando algunas observaciones, las cuales aún se encuentran en la etapa de discusión con las unidades administrativas vinculadas por lo que el informe aún no es definitivo, considerando que se ha programado la lectura del informe para el día 29 de mayo de 2019; por lo que, el informe final será entregado al finalizar el proceso respectivo;  sin embargo, expresa que en relación a los procesos de compra realizados durante el ejercicio 2018 al proveedor Luis Mario Toledo González, que en el primer semestre reflejaban un monto de US$ </w:t>
      </w:r>
      <w:r w:rsidRPr="00D8765A">
        <w:rPr>
          <w:rFonts w:ascii="Arial" w:eastAsia="Calibri" w:hAnsi="Arial" w:cs="Arial"/>
          <w:bCs/>
          <w:lang w:val="es-SV"/>
        </w:rPr>
        <w:t xml:space="preserve">126,647.96, lo cual se complementa en el segundo </w:t>
      </w:r>
      <w:r w:rsidRPr="00D8765A">
        <w:rPr>
          <w:rFonts w:ascii="Arial" w:eastAsia="Calibri" w:hAnsi="Arial" w:cs="Arial"/>
          <w:lang w:val="es-SV"/>
        </w:rPr>
        <w:t xml:space="preserve">semestre con la cantidad de US$ </w:t>
      </w:r>
      <w:r w:rsidRPr="00D8765A">
        <w:rPr>
          <w:rFonts w:ascii="Arial" w:eastAsia="Calibri" w:hAnsi="Arial" w:cs="Arial"/>
          <w:bCs/>
          <w:lang w:val="es-SV"/>
        </w:rPr>
        <w:t xml:space="preserve">60,322.34, lo que hace un </w:t>
      </w:r>
      <w:r w:rsidRPr="00D8765A">
        <w:rPr>
          <w:rFonts w:ascii="Arial" w:eastAsia="Calibri" w:hAnsi="Arial" w:cs="Arial"/>
          <w:lang w:val="es-SV"/>
        </w:rPr>
        <w:t xml:space="preserve">monto acumulado de compras de </w:t>
      </w:r>
      <w:r w:rsidRPr="00D8765A">
        <w:rPr>
          <w:rFonts w:ascii="Arial" w:eastAsia="Calibri" w:hAnsi="Arial" w:cs="Arial"/>
          <w:b/>
          <w:bCs/>
          <w:lang w:val="es-SV"/>
        </w:rPr>
        <w:t xml:space="preserve">US$ 186,970.30, </w:t>
      </w:r>
      <w:r w:rsidRPr="00D8765A">
        <w:rPr>
          <w:rFonts w:ascii="Arial" w:eastAsia="Calibri" w:hAnsi="Arial" w:cs="Arial"/>
          <w:bCs/>
          <w:lang w:val="es-SV"/>
        </w:rPr>
        <w:t xml:space="preserve"> ha concluido después de realizar un </w:t>
      </w:r>
      <w:r w:rsidRPr="00D8765A">
        <w:rPr>
          <w:rFonts w:ascii="Arial" w:eastAsia="Calibri" w:hAnsi="Arial" w:cs="Arial"/>
          <w:lang w:val="es-ES_tradnl"/>
        </w:rPr>
        <w:t>análisis a detalle de cada adquisición y contratación que no es apropiado señalar que existió fraccionamiento, puesto que los bienes y servicios prestados fueron diversos. Señala que dicha afirmación tiene fundamento en el hecho de que al extraer los montos por los servicios prestados por el señor Luis Mario Toledo, que tienen relación únicamente con las que se ejecutaron en las Oficinas Centrales de la AMP, se podría interpretar como fraccionamiento, pero al considerar que fueron obras que en su mayoría solamente completaron el proceso de obra gris o acabados, o solamente acabados; que en las contrataciones también incluía otros específicos presupuestarios de bienes; que no fueron obras de la misma naturaleza; asimismo al considerar la temporalidad y la PAAC no fueron en períodos cercanos, por lo tanto se puede concluir que no hubo fraccionamiento; si</w:t>
      </w:r>
      <w:r w:rsidRPr="00D8765A">
        <w:rPr>
          <w:rFonts w:ascii="Arial" w:eastAsia="Calibri" w:hAnsi="Arial" w:cs="Arial"/>
          <w:lang w:val="es-SV"/>
        </w:rPr>
        <w:t xml:space="preserve">n embargo, para evitar acercarse al fraccionamiento, es recomendable que la Jefe de la UACI realice con los solicitantes un análisis de las adquisiciones y contrataciones que se ejecutarán en el año en curso y considerar si aplica realizar una Licitación Pública para hacer un solo proceso de las necesidades institucionales. </w:t>
      </w:r>
      <w:r w:rsidRPr="00D8765A">
        <w:rPr>
          <w:rFonts w:ascii="Arial" w:eastAsia="Calibri" w:hAnsi="Arial" w:cs="Arial"/>
        </w:rPr>
        <w:t xml:space="preserve">Los señores directores se dieron por enterados. </w:t>
      </w:r>
      <w:r w:rsidRPr="00D8765A">
        <w:rPr>
          <w:rFonts w:ascii="Arial" w:eastAsia="Calibri" w:hAnsi="Arial" w:cs="Arial"/>
          <w:b/>
        </w:rPr>
        <w:t>V) PROYECTO DE CONTRATO DE CONCESIÓN EDP.</w:t>
      </w:r>
      <w:r w:rsidRPr="00D8765A">
        <w:rPr>
          <w:rFonts w:ascii="Arial" w:eastAsia="Calibri" w:hAnsi="Arial" w:cs="Arial"/>
        </w:rPr>
        <w:t xml:space="preserve"> El Director Presidente informó que en fecha 16 de mayo de 2019 mediante nota suscrita por el Licenciado Mario Donald Salazar Olivares, Director de la Defensa de los Intereses del Estado de la Fiscalía General de la República, fue remitido el proyecto de contrato de concesión a suscribirse entre el Estado de El Salvador y la sociedad Energía del Pacifico, Limitada de C.V., con la finalidad de que esta Autoridad emita la opinión ilustrativa a que hace referencia el inciso primero del artículo 38 de la Ley de Concesión de Espacios de Dominio Público Marítimo Terrestre.  Indica </w:t>
      </w:r>
      <w:r w:rsidRPr="00D8765A">
        <w:rPr>
          <w:rFonts w:ascii="Arial" w:eastAsia="Calibri" w:hAnsi="Arial" w:cs="Arial"/>
        </w:rPr>
        <w:lastRenderedPageBreak/>
        <w:t xml:space="preserve">que el proyecto de contrato contiene un total de diecinueve cláusulas y el contenido de las mismas tienen base en los términos en los que fue emitida la factibilidad técnica por parte de la AMP, los preceptos generales de la LCEDPMT y la Ley de Concesión para la Explotación de Espacio de Dominio Público Marítimo Terrestre a favor de Energía del Pacifico, Limitada de C.V., todo lo cual ha servido de base para que las áreas legal y técnicas de la AMP realizarán el análisis correspondiente identificando una serie de aspectos de importancia, que han sido considerados para que se emita la resolución correspondiente.  </w:t>
      </w:r>
    </w:p>
    <w:p w14:paraId="7A832F5B" w14:textId="77777777" w:rsidR="00D8765A" w:rsidRPr="00D8765A" w:rsidRDefault="00D8765A" w:rsidP="00D8765A">
      <w:pPr>
        <w:spacing w:before="60" w:after="60" w:line="276" w:lineRule="auto"/>
        <w:contextualSpacing/>
        <w:jc w:val="both"/>
        <w:rPr>
          <w:rFonts w:ascii="Arial" w:eastAsia="Calibri" w:hAnsi="Arial" w:cs="Arial"/>
        </w:rPr>
      </w:pPr>
    </w:p>
    <w:p w14:paraId="15BCB85D" w14:textId="77777777" w:rsidR="00D8765A" w:rsidRPr="00D8765A" w:rsidRDefault="00D8765A" w:rsidP="00D8765A">
      <w:pPr>
        <w:spacing w:before="60" w:after="60" w:line="276" w:lineRule="auto"/>
        <w:contextualSpacing/>
        <w:jc w:val="center"/>
        <w:rPr>
          <w:rFonts w:ascii="Arial" w:eastAsia="Calibri" w:hAnsi="Arial" w:cs="Arial"/>
          <w:b/>
        </w:rPr>
      </w:pPr>
      <w:r w:rsidRPr="00D8765A">
        <w:rPr>
          <w:rFonts w:ascii="Arial" w:eastAsia="Calibri" w:hAnsi="Arial" w:cs="Arial"/>
          <w:b/>
        </w:rPr>
        <w:t>RESOLUCIÓN No. 98/2019.</w:t>
      </w:r>
    </w:p>
    <w:p w14:paraId="03F97678" w14:textId="77777777" w:rsidR="00D8765A" w:rsidRPr="00D8765A" w:rsidRDefault="00D8765A" w:rsidP="00D8765A">
      <w:pPr>
        <w:spacing w:before="60" w:after="60" w:line="276" w:lineRule="auto"/>
        <w:contextualSpacing/>
        <w:jc w:val="both"/>
        <w:rPr>
          <w:rFonts w:ascii="Arial" w:eastAsia="Calibri" w:hAnsi="Arial" w:cs="Arial"/>
          <w:b/>
        </w:rPr>
      </w:pPr>
    </w:p>
    <w:p w14:paraId="1442934B" w14:textId="77777777" w:rsidR="00D8765A" w:rsidRPr="00D8765A" w:rsidRDefault="00D8765A" w:rsidP="00D8765A">
      <w:pPr>
        <w:spacing w:before="60" w:after="60" w:line="276" w:lineRule="auto"/>
        <w:contextualSpacing/>
        <w:jc w:val="both"/>
        <w:rPr>
          <w:rFonts w:ascii="Arial" w:eastAsia="Calibri" w:hAnsi="Arial" w:cs="Arial"/>
        </w:rPr>
      </w:pPr>
      <w:r w:rsidRPr="00D8765A">
        <w:rPr>
          <w:rFonts w:ascii="Arial" w:eastAsia="Calibri" w:hAnsi="Arial" w:cs="Arial"/>
          <w:b/>
        </w:rPr>
        <w:t>CONSEJO DIRECTIVO DE LA AUTORIDAD MARITIMA PORTUARIA</w:t>
      </w:r>
      <w:r w:rsidRPr="00D8765A">
        <w:rPr>
          <w:rFonts w:ascii="Arial" w:eastAsia="Calibri" w:hAnsi="Arial" w:cs="Arial"/>
        </w:rPr>
        <w:t>. San Salvador, a las dieciséis horas del día veintisiete de mayo de dos mil diecinueve.</w:t>
      </w:r>
    </w:p>
    <w:p w14:paraId="5919527A" w14:textId="77777777" w:rsidR="00D8765A" w:rsidRPr="00D8765A" w:rsidRDefault="00D8765A" w:rsidP="00D8765A">
      <w:pPr>
        <w:spacing w:before="60" w:after="60" w:line="276" w:lineRule="auto"/>
        <w:contextualSpacing/>
        <w:jc w:val="both"/>
        <w:rPr>
          <w:rFonts w:ascii="Arial" w:eastAsia="Calibri" w:hAnsi="Arial" w:cs="Arial"/>
          <w:b/>
        </w:rPr>
      </w:pPr>
    </w:p>
    <w:p w14:paraId="3B7DEEEF" w14:textId="77777777" w:rsidR="00D8765A" w:rsidRPr="00D8765A" w:rsidRDefault="00D8765A" w:rsidP="00D8765A">
      <w:pPr>
        <w:spacing w:before="60" w:after="60" w:line="276" w:lineRule="auto"/>
        <w:contextualSpacing/>
        <w:jc w:val="both"/>
        <w:rPr>
          <w:rFonts w:ascii="Arial" w:eastAsia="Calibri" w:hAnsi="Arial" w:cs="Arial"/>
          <w:b/>
        </w:rPr>
      </w:pPr>
      <w:r w:rsidRPr="00D8765A">
        <w:rPr>
          <w:rFonts w:ascii="Arial" w:eastAsia="Calibri" w:hAnsi="Arial" w:cs="Arial"/>
          <w:b/>
        </w:rPr>
        <w:t>CONSIDERANDO:</w:t>
      </w:r>
    </w:p>
    <w:p w14:paraId="69440DC7" w14:textId="77777777" w:rsidR="00D8765A" w:rsidRPr="00D8765A" w:rsidRDefault="00D8765A" w:rsidP="00D8765A">
      <w:pPr>
        <w:numPr>
          <w:ilvl w:val="0"/>
          <w:numId w:val="1"/>
        </w:numPr>
        <w:suppressAutoHyphens/>
        <w:spacing w:before="60" w:after="60" w:line="276" w:lineRule="auto"/>
        <w:ind w:left="1428"/>
        <w:contextualSpacing/>
        <w:jc w:val="both"/>
        <w:rPr>
          <w:rFonts w:ascii="Arial" w:eastAsia="Times New Roman" w:hAnsi="Arial" w:cs="Arial"/>
          <w:lang w:val="es-SV" w:eastAsia="es-ES"/>
        </w:rPr>
      </w:pPr>
      <w:r w:rsidRPr="00D8765A">
        <w:rPr>
          <w:rFonts w:ascii="Arial" w:eastAsia="Times New Roman" w:hAnsi="Arial" w:cs="Arial"/>
          <w:lang w:val="es-SV" w:eastAsia="es-ES"/>
        </w:rPr>
        <w:t>Que en fecha 16 de mayo de 2019 la Fiscalía General de la República remitió a esta Autoridad el proyecto de contrato de Concesión para la explotación de espacio de dominio público marítimo terrestre, que será suscrito por el Estado de El Salvador y la sociedad Energía del Pacifico, Limitada de Capital Variable que se abrevia Energía del Pacifico, Ltda. de C.V., con la finalidad de que se emita la opinión ilustrativa que regula el inciso primero del artículo 38 de la Ley de Concesión de Espacios de Dominio Público Marítimo Terrestre.</w:t>
      </w:r>
    </w:p>
    <w:p w14:paraId="72D18C04" w14:textId="77777777" w:rsidR="00D8765A" w:rsidRPr="00D8765A" w:rsidRDefault="00D8765A" w:rsidP="00D8765A">
      <w:pPr>
        <w:spacing w:before="60" w:after="60" w:line="276" w:lineRule="auto"/>
        <w:ind w:left="1080"/>
        <w:contextualSpacing/>
        <w:jc w:val="both"/>
        <w:rPr>
          <w:rFonts w:ascii="Arial" w:eastAsia="Times New Roman" w:hAnsi="Arial" w:cs="Arial"/>
          <w:lang w:val="es-SV" w:eastAsia="es-ES"/>
        </w:rPr>
      </w:pPr>
    </w:p>
    <w:p w14:paraId="6BF577E7" w14:textId="77777777" w:rsidR="00D8765A" w:rsidRPr="00D8765A" w:rsidRDefault="00D8765A" w:rsidP="00D8765A">
      <w:pPr>
        <w:numPr>
          <w:ilvl w:val="0"/>
          <w:numId w:val="1"/>
        </w:numPr>
        <w:suppressAutoHyphens/>
        <w:spacing w:before="60" w:after="60" w:line="276" w:lineRule="auto"/>
        <w:ind w:left="1428"/>
        <w:contextualSpacing/>
        <w:jc w:val="both"/>
        <w:rPr>
          <w:rFonts w:ascii="Arial" w:eastAsia="Times New Roman" w:hAnsi="Arial" w:cs="Arial"/>
          <w:b/>
          <w:lang w:val="es-SV" w:eastAsia="es-ES"/>
        </w:rPr>
      </w:pPr>
      <w:r w:rsidRPr="00D8765A">
        <w:rPr>
          <w:rFonts w:ascii="Arial" w:eastAsia="Times New Roman" w:hAnsi="Arial" w:cs="Arial"/>
          <w:lang w:val="es-SV" w:eastAsia="es-ES"/>
        </w:rPr>
        <w:t>Que habiendo realizado el análisis legal y técnico correspondiente del proyecto de contrato de Concesión y encontrándonos en el plazo de ley para emitir opinión ilustrativa sobre el contenido del mismo, se detallan una serie de aspectos que a juicio de esta Autoridad deben ser considerados previamente a formalizar la relación contractual entre el Estado de El Salvador y la sociedad Energía del Pacifico, Limitada de Capital Variable.</w:t>
      </w:r>
    </w:p>
    <w:p w14:paraId="4305BBE6" w14:textId="77777777" w:rsidR="00D8765A" w:rsidRPr="00D8765A" w:rsidRDefault="00D8765A" w:rsidP="00D8765A">
      <w:pPr>
        <w:spacing w:after="0" w:line="240" w:lineRule="auto"/>
        <w:ind w:left="708"/>
        <w:rPr>
          <w:rFonts w:ascii="Arial" w:eastAsia="Times New Roman" w:hAnsi="Arial" w:cs="Arial"/>
          <w:b/>
          <w:lang w:val="es-SV" w:eastAsia="es-ES"/>
        </w:rPr>
      </w:pPr>
    </w:p>
    <w:p w14:paraId="4E063E72" w14:textId="77777777" w:rsidR="00D8765A" w:rsidRPr="00D8765A" w:rsidRDefault="00D8765A" w:rsidP="00D8765A">
      <w:pPr>
        <w:numPr>
          <w:ilvl w:val="1"/>
          <w:numId w:val="2"/>
        </w:numPr>
        <w:suppressAutoHyphens/>
        <w:spacing w:after="0" w:line="276" w:lineRule="auto"/>
        <w:jc w:val="both"/>
        <w:rPr>
          <w:rFonts w:ascii="Arial" w:eastAsia="Times New Roman" w:hAnsi="Arial" w:cs="Arial"/>
          <w:b/>
          <w:lang w:eastAsia="es-ES"/>
        </w:rPr>
      </w:pPr>
      <w:r w:rsidRPr="00D8765A">
        <w:rPr>
          <w:rFonts w:ascii="Arial" w:eastAsia="Times New Roman" w:hAnsi="Arial" w:cs="Arial"/>
          <w:b/>
          <w:lang w:val="es-SV" w:eastAsia="es-ES"/>
        </w:rPr>
        <w:t>Cláusula Primera- Documentos Contractuales.</w:t>
      </w:r>
      <w:r w:rsidRPr="00D8765A">
        <w:rPr>
          <w:rFonts w:ascii="Arial" w:eastAsia="Times New Roman" w:hAnsi="Arial" w:cs="Arial"/>
          <w:lang w:val="es-SV" w:eastAsia="es-ES"/>
        </w:rPr>
        <w:t xml:space="preserve"> El expediente de factibilidad no debería ser considerado como parte de los documentos contractuales, sino que habría que relacionarlo únicamente en los antecedentes.</w:t>
      </w:r>
      <w:r w:rsidRPr="00D8765A">
        <w:rPr>
          <w:rFonts w:ascii="Arial" w:eastAsia="Times New Roman" w:hAnsi="Arial" w:cs="Arial"/>
          <w:b/>
          <w:lang w:eastAsia="es-ES"/>
        </w:rPr>
        <w:t xml:space="preserve"> </w:t>
      </w:r>
    </w:p>
    <w:p w14:paraId="609677B9" w14:textId="77777777" w:rsidR="00D8765A" w:rsidRPr="00D8765A" w:rsidRDefault="00D8765A" w:rsidP="00D8765A">
      <w:pPr>
        <w:numPr>
          <w:ilvl w:val="1"/>
          <w:numId w:val="2"/>
        </w:numPr>
        <w:suppressAutoHyphens/>
        <w:spacing w:after="0" w:line="276" w:lineRule="auto"/>
        <w:jc w:val="both"/>
        <w:rPr>
          <w:rFonts w:ascii="Arial" w:eastAsia="Times New Roman" w:hAnsi="Arial" w:cs="Arial"/>
          <w:b/>
        </w:rPr>
      </w:pPr>
      <w:r w:rsidRPr="00D8765A">
        <w:rPr>
          <w:rFonts w:ascii="Arial" w:eastAsia="Times New Roman" w:hAnsi="Arial" w:cs="Arial"/>
          <w:b/>
          <w:lang w:val="es-SV" w:eastAsia="es-ES"/>
        </w:rPr>
        <w:t>Cláusula Segunda- Objeto del Contrato.</w:t>
      </w:r>
      <w:r w:rsidRPr="00D8765A">
        <w:rPr>
          <w:rFonts w:ascii="Arial" w:eastAsia="Times New Roman" w:hAnsi="Arial" w:cs="Arial"/>
          <w:lang w:val="es-SV" w:eastAsia="es-ES"/>
        </w:rPr>
        <w:t xml:space="preserve">  D</w:t>
      </w:r>
      <w:r w:rsidRPr="00D8765A">
        <w:rPr>
          <w:rFonts w:ascii="Arial" w:eastAsia="Times New Roman" w:hAnsi="Arial" w:cs="Arial"/>
          <w:lang w:eastAsia="es-ES"/>
        </w:rPr>
        <w:t>debe</w:t>
      </w:r>
      <w:r w:rsidRPr="00D8765A">
        <w:rPr>
          <w:rFonts w:ascii="Arial" w:eastAsia="Times New Roman" w:hAnsi="Arial" w:cs="Arial"/>
        </w:rPr>
        <w:t xml:space="preserve"> omitirse texto que cita </w:t>
      </w:r>
      <w:r w:rsidRPr="00D8765A">
        <w:rPr>
          <w:rFonts w:ascii="Arial" w:eastAsia="Times New Roman" w:hAnsi="Arial" w:cs="Arial"/>
          <w:lang w:eastAsia="es-ES"/>
        </w:rPr>
        <w:t>que el “</w:t>
      </w:r>
      <w:r w:rsidRPr="00D8765A">
        <w:rPr>
          <w:rFonts w:ascii="Arial" w:eastAsia="Times New Roman" w:hAnsi="Arial" w:cs="Arial"/>
        </w:rPr>
        <w:t>concesionario p</w:t>
      </w:r>
      <w:r w:rsidRPr="00D8765A">
        <w:rPr>
          <w:rFonts w:ascii="Arial" w:eastAsia="Times New Roman" w:hAnsi="Arial" w:cs="Arial"/>
          <w:lang w:eastAsia="es-ES"/>
        </w:rPr>
        <w:t>odrá</w:t>
      </w:r>
      <w:r w:rsidRPr="00D8765A">
        <w:rPr>
          <w:rFonts w:ascii="Arial" w:eastAsia="Times New Roman" w:hAnsi="Arial" w:cs="Arial"/>
        </w:rPr>
        <w:t xml:space="preserve"> realizar transferencia de cargas en general o a los pasajeros</w:t>
      </w:r>
      <w:r w:rsidRPr="00D8765A">
        <w:rPr>
          <w:rFonts w:ascii="Arial" w:eastAsia="Times New Roman" w:hAnsi="Arial" w:cs="Arial"/>
          <w:lang w:eastAsia="es-ES"/>
        </w:rPr>
        <w:t xml:space="preserve">”, limitando el objeto del contrato a </w:t>
      </w:r>
      <w:r w:rsidRPr="00D8765A">
        <w:rPr>
          <w:rFonts w:ascii="Arial" w:eastAsia="Times New Roman" w:hAnsi="Arial" w:cs="Arial"/>
        </w:rPr>
        <w:t xml:space="preserve">que </w:t>
      </w:r>
      <w:r w:rsidRPr="00D8765A">
        <w:rPr>
          <w:rFonts w:ascii="Arial" w:eastAsia="Times New Roman" w:hAnsi="Arial" w:cs="Arial"/>
          <w:lang w:eastAsia="es-ES"/>
        </w:rPr>
        <w:t>el</w:t>
      </w:r>
      <w:r w:rsidRPr="00D8765A">
        <w:rPr>
          <w:rFonts w:ascii="Arial" w:eastAsia="Times New Roman" w:hAnsi="Arial" w:cs="Arial"/>
        </w:rPr>
        <w:t xml:space="preserve"> manejo de bienes y mercancías </w:t>
      </w:r>
      <w:r w:rsidRPr="00D8765A">
        <w:rPr>
          <w:rFonts w:ascii="Arial" w:eastAsia="Times New Roman" w:hAnsi="Arial" w:cs="Arial"/>
          <w:lang w:eastAsia="es-ES"/>
        </w:rPr>
        <w:t xml:space="preserve">por parte del concesionario </w:t>
      </w:r>
      <w:r w:rsidRPr="00D8765A">
        <w:rPr>
          <w:rFonts w:ascii="Arial" w:eastAsia="Times New Roman" w:hAnsi="Arial" w:cs="Arial"/>
        </w:rPr>
        <w:t>esté asociad</w:t>
      </w:r>
      <w:r w:rsidRPr="00D8765A">
        <w:rPr>
          <w:rFonts w:ascii="Arial" w:eastAsia="Times New Roman" w:hAnsi="Arial" w:cs="Arial"/>
          <w:lang w:eastAsia="es-ES"/>
        </w:rPr>
        <w:t>o</w:t>
      </w:r>
      <w:r w:rsidRPr="00D8765A">
        <w:rPr>
          <w:rFonts w:ascii="Arial" w:eastAsia="Times New Roman" w:hAnsi="Arial" w:cs="Arial"/>
        </w:rPr>
        <w:t xml:space="preserve"> </w:t>
      </w:r>
      <w:r w:rsidRPr="00D8765A">
        <w:rPr>
          <w:rFonts w:ascii="Arial" w:eastAsia="Times New Roman" w:hAnsi="Arial" w:cs="Arial"/>
          <w:lang w:eastAsia="es-ES"/>
        </w:rPr>
        <w:t xml:space="preserve">de forma exclusiva </w:t>
      </w:r>
      <w:r w:rsidRPr="00D8765A">
        <w:rPr>
          <w:rFonts w:ascii="Arial" w:eastAsia="Times New Roman" w:hAnsi="Arial" w:cs="Arial"/>
        </w:rPr>
        <w:t xml:space="preserve">con la operación de almacenamiento de GNL, </w:t>
      </w:r>
      <w:r w:rsidRPr="00D8765A">
        <w:rPr>
          <w:rFonts w:ascii="Arial" w:eastAsia="Times New Roman" w:hAnsi="Arial" w:cs="Arial"/>
          <w:lang w:eastAsia="es-ES"/>
        </w:rPr>
        <w:t>dado que no estamos referenciando un</w:t>
      </w:r>
      <w:r w:rsidRPr="00D8765A">
        <w:rPr>
          <w:rFonts w:ascii="Arial" w:eastAsia="Times New Roman" w:hAnsi="Arial" w:cs="Arial"/>
        </w:rPr>
        <w:t xml:space="preserve"> puerto sino una terminal marítima especializada en GNL.</w:t>
      </w:r>
    </w:p>
    <w:p w14:paraId="077BEC05" w14:textId="77777777" w:rsidR="00D8765A" w:rsidRPr="00D8765A" w:rsidRDefault="00D8765A" w:rsidP="00D8765A">
      <w:pPr>
        <w:numPr>
          <w:ilvl w:val="1"/>
          <w:numId w:val="2"/>
        </w:numPr>
        <w:suppressAutoHyphens/>
        <w:spacing w:after="0" w:line="276" w:lineRule="auto"/>
        <w:jc w:val="both"/>
        <w:rPr>
          <w:rFonts w:ascii="Arial" w:eastAsia="Times New Roman" w:hAnsi="Arial" w:cs="Arial"/>
          <w:b/>
        </w:rPr>
      </w:pPr>
      <w:r w:rsidRPr="00D8765A">
        <w:rPr>
          <w:rFonts w:ascii="Arial" w:eastAsia="Times New Roman" w:hAnsi="Arial" w:cs="Arial"/>
          <w:b/>
          <w:lang w:val="es-SV" w:eastAsia="es-ES"/>
        </w:rPr>
        <w:t xml:space="preserve">Cláusula Tercera- Espacio Público Concesionado. </w:t>
      </w:r>
      <w:r w:rsidRPr="00D8765A">
        <w:rPr>
          <w:rFonts w:ascii="Arial" w:eastAsia="Times New Roman" w:hAnsi="Arial" w:cs="Arial"/>
          <w:lang w:val="es-SV" w:eastAsia="es-ES"/>
        </w:rPr>
        <w:t>Debe</w:t>
      </w:r>
      <w:r w:rsidRPr="00D8765A">
        <w:rPr>
          <w:rFonts w:ascii="Arial" w:eastAsia="Times New Roman" w:hAnsi="Arial" w:cs="Arial"/>
        </w:rPr>
        <w:t xml:space="preserve"> de incluirse aspectos generales </w:t>
      </w:r>
      <w:r w:rsidRPr="00D8765A">
        <w:rPr>
          <w:rFonts w:ascii="Arial" w:eastAsia="Times New Roman" w:hAnsi="Arial" w:cs="Arial"/>
          <w:lang w:eastAsia="es-ES"/>
        </w:rPr>
        <w:t xml:space="preserve">acerca de los derechos y obligaciones que EDP y el Estado </w:t>
      </w:r>
      <w:r w:rsidRPr="00D8765A">
        <w:rPr>
          <w:rFonts w:ascii="Arial" w:eastAsia="Times New Roman" w:hAnsi="Arial" w:cs="Arial"/>
        </w:rPr>
        <w:t xml:space="preserve">tendrán dentro de </w:t>
      </w:r>
      <w:r w:rsidRPr="00D8765A">
        <w:rPr>
          <w:rFonts w:ascii="Arial" w:eastAsia="Times New Roman" w:hAnsi="Arial" w:cs="Arial"/>
          <w:lang w:eastAsia="es-ES"/>
        </w:rPr>
        <w:t xml:space="preserve">las </w:t>
      </w:r>
      <w:r w:rsidRPr="00D8765A">
        <w:rPr>
          <w:rFonts w:ascii="Arial" w:eastAsia="Times New Roman" w:hAnsi="Arial" w:cs="Arial"/>
        </w:rPr>
        <w:t>zona</w:t>
      </w:r>
      <w:r w:rsidRPr="00D8765A">
        <w:rPr>
          <w:rFonts w:ascii="Arial" w:eastAsia="Times New Roman" w:hAnsi="Arial" w:cs="Arial"/>
          <w:lang w:eastAsia="es-ES"/>
        </w:rPr>
        <w:t>s</w:t>
      </w:r>
      <w:r w:rsidRPr="00D8765A">
        <w:rPr>
          <w:rFonts w:ascii="Arial" w:eastAsia="Times New Roman" w:hAnsi="Arial" w:cs="Arial"/>
        </w:rPr>
        <w:t xml:space="preserve"> operativa</w:t>
      </w:r>
      <w:r w:rsidRPr="00D8765A">
        <w:rPr>
          <w:rFonts w:ascii="Arial" w:eastAsia="Times New Roman" w:hAnsi="Arial" w:cs="Arial"/>
          <w:lang w:eastAsia="es-ES"/>
        </w:rPr>
        <w:t>s</w:t>
      </w:r>
      <w:r w:rsidRPr="00D8765A">
        <w:rPr>
          <w:rFonts w:ascii="Arial" w:eastAsia="Times New Roman" w:hAnsi="Arial" w:cs="Arial"/>
        </w:rPr>
        <w:t xml:space="preserve"> y de seguridad. También sobre el acatamiento de parte del concesionario de las medidas de control de tráfico y medidas de seguridad de la navegación durante </w:t>
      </w:r>
      <w:r w:rsidRPr="00D8765A">
        <w:rPr>
          <w:rFonts w:ascii="Arial" w:eastAsia="Times New Roman" w:hAnsi="Arial" w:cs="Arial"/>
          <w:lang w:eastAsia="es-ES"/>
        </w:rPr>
        <w:t xml:space="preserve">el periodo de </w:t>
      </w:r>
      <w:r w:rsidRPr="00D8765A">
        <w:rPr>
          <w:rFonts w:ascii="Arial" w:eastAsia="Times New Roman" w:hAnsi="Arial" w:cs="Arial"/>
        </w:rPr>
        <w:t xml:space="preserve">construcción de la terminal marítima y </w:t>
      </w:r>
      <w:r w:rsidRPr="00D8765A">
        <w:rPr>
          <w:rFonts w:ascii="Arial" w:eastAsia="Times New Roman" w:hAnsi="Arial" w:cs="Arial"/>
          <w:lang w:eastAsia="es-ES"/>
        </w:rPr>
        <w:t xml:space="preserve">durante </w:t>
      </w:r>
      <w:r w:rsidRPr="00D8765A">
        <w:rPr>
          <w:rFonts w:ascii="Arial" w:eastAsia="Times New Roman" w:hAnsi="Arial" w:cs="Arial"/>
        </w:rPr>
        <w:t xml:space="preserve">la operación relacionadas a las medidas de </w:t>
      </w:r>
      <w:r w:rsidRPr="00D8765A">
        <w:rPr>
          <w:rFonts w:ascii="Arial" w:eastAsia="Times New Roman" w:hAnsi="Arial" w:cs="Arial"/>
        </w:rPr>
        <w:lastRenderedPageBreak/>
        <w:t xml:space="preserve">seguridad y mecanismos de coordinación con autoridades de seguridad pública, Fuerza Armada y </w:t>
      </w:r>
      <w:r w:rsidRPr="00D8765A">
        <w:rPr>
          <w:rFonts w:ascii="Arial" w:eastAsia="Times New Roman" w:hAnsi="Arial" w:cs="Arial"/>
          <w:lang w:eastAsia="es-ES"/>
        </w:rPr>
        <w:t>sobre el cumplimiento de</w:t>
      </w:r>
      <w:r w:rsidRPr="00D8765A">
        <w:rPr>
          <w:rFonts w:ascii="Arial" w:eastAsia="Times New Roman" w:hAnsi="Arial" w:cs="Arial"/>
        </w:rPr>
        <w:t xml:space="preserve"> las regulaciones de protección, seguridad operacional y de conservación del medio ambiente y de otros aspectos operativos.</w:t>
      </w:r>
    </w:p>
    <w:p w14:paraId="381A404D" w14:textId="77777777" w:rsidR="00D8765A" w:rsidRPr="00D8765A" w:rsidRDefault="00D8765A" w:rsidP="00D8765A">
      <w:pPr>
        <w:numPr>
          <w:ilvl w:val="1"/>
          <w:numId w:val="2"/>
        </w:numPr>
        <w:suppressAutoHyphens/>
        <w:spacing w:after="0" w:line="276" w:lineRule="auto"/>
        <w:jc w:val="both"/>
        <w:rPr>
          <w:rFonts w:ascii="Arial" w:eastAsia="Times New Roman" w:hAnsi="Arial" w:cs="Arial"/>
          <w:b/>
        </w:rPr>
      </w:pPr>
      <w:r w:rsidRPr="00D8765A">
        <w:rPr>
          <w:rFonts w:ascii="Arial" w:eastAsia="Times New Roman" w:hAnsi="Arial" w:cs="Arial"/>
          <w:b/>
        </w:rPr>
        <w:t xml:space="preserve">Cláusula Quinta- Plazo.  </w:t>
      </w:r>
      <w:r w:rsidRPr="00D8765A">
        <w:rPr>
          <w:rFonts w:ascii="Arial" w:eastAsia="Times New Roman" w:hAnsi="Arial" w:cs="Arial"/>
        </w:rPr>
        <w:t xml:space="preserve">Debería de incluirse que para solicitar prórroga el concesionario </w:t>
      </w:r>
      <w:r w:rsidRPr="00D8765A">
        <w:rPr>
          <w:rFonts w:ascii="Arial" w:eastAsia="Times New Roman" w:hAnsi="Arial" w:cs="Arial"/>
          <w:lang w:eastAsia="es-ES"/>
        </w:rPr>
        <w:t>deberá presentar</w:t>
      </w:r>
      <w:r w:rsidRPr="00D8765A">
        <w:rPr>
          <w:rFonts w:ascii="Arial" w:eastAsia="Times New Roman" w:hAnsi="Arial" w:cs="Arial"/>
        </w:rPr>
        <w:t xml:space="preserve"> propuesta técnica y económica respaldada </w:t>
      </w:r>
      <w:r w:rsidRPr="00D8765A">
        <w:rPr>
          <w:rFonts w:ascii="Arial" w:eastAsia="Times New Roman" w:hAnsi="Arial" w:cs="Arial"/>
          <w:lang w:eastAsia="es-ES"/>
        </w:rPr>
        <w:t xml:space="preserve">en </w:t>
      </w:r>
      <w:r w:rsidRPr="00D8765A">
        <w:rPr>
          <w:rFonts w:ascii="Arial" w:eastAsia="Times New Roman" w:hAnsi="Arial" w:cs="Arial"/>
        </w:rPr>
        <w:t>estudios con la finalidad que las entidades del Estado puedan evaluar las ventajas, costos y beneficios de conceder la prórroga.</w:t>
      </w:r>
    </w:p>
    <w:p w14:paraId="6221A48F" w14:textId="77777777" w:rsidR="00D8765A" w:rsidRPr="00D8765A" w:rsidRDefault="00D8765A" w:rsidP="00D8765A">
      <w:pPr>
        <w:numPr>
          <w:ilvl w:val="1"/>
          <w:numId w:val="2"/>
        </w:numPr>
        <w:suppressAutoHyphens/>
        <w:spacing w:after="0" w:line="276" w:lineRule="auto"/>
        <w:jc w:val="both"/>
        <w:rPr>
          <w:rFonts w:ascii="Arial" w:eastAsia="Times New Roman" w:hAnsi="Arial" w:cs="Arial"/>
          <w:b/>
        </w:rPr>
      </w:pPr>
      <w:r w:rsidRPr="00D8765A">
        <w:rPr>
          <w:rFonts w:ascii="Arial" w:eastAsia="Times New Roman" w:hAnsi="Arial" w:cs="Arial"/>
          <w:b/>
        </w:rPr>
        <w:t xml:space="preserve">Cláusula Sexta- Del Pago de la Contraprestación de la Concesión. </w:t>
      </w:r>
      <w:r w:rsidRPr="00D8765A">
        <w:rPr>
          <w:rFonts w:ascii="Arial" w:eastAsia="Times New Roman" w:hAnsi="Arial" w:cs="Arial"/>
        </w:rPr>
        <w:t>Deben establecerse mecanismos para que el Ministerio de Hacienda coordine con el BCR, concedente y concesionario para comunicar y realizar ajustes al canon para el pago de la contraprestación en función de la inflación reportada por el BCR.</w:t>
      </w:r>
    </w:p>
    <w:p w14:paraId="3FB2F2F1" w14:textId="77777777" w:rsidR="00D8765A" w:rsidRPr="00D8765A" w:rsidRDefault="00D8765A" w:rsidP="00D8765A">
      <w:pPr>
        <w:numPr>
          <w:ilvl w:val="1"/>
          <w:numId w:val="2"/>
        </w:numPr>
        <w:suppressAutoHyphens/>
        <w:spacing w:after="0" w:line="276" w:lineRule="auto"/>
        <w:jc w:val="both"/>
        <w:rPr>
          <w:rFonts w:ascii="Arial" w:eastAsia="Times New Roman" w:hAnsi="Arial" w:cs="Arial"/>
          <w:b/>
        </w:rPr>
      </w:pPr>
      <w:r w:rsidRPr="00D8765A">
        <w:rPr>
          <w:rFonts w:ascii="Arial" w:eastAsia="Times New Roman" w:hAnsi="Arial" w:cs="Arial"/>
          <w:b/>
        </w:rPr>
        <w:t>Cláusula Séptima- Administración del Área Concesionada.</w:t>
      </w:r>
      <w:r w:rsidRPr="00D8765A">
        <w:rPr>
          <w:rFonts w:ascii="Arial" w:eastAsia="Times New Roman" w:hAnsi="Arial" w:cs="Arial"/>
        </w:rPr>
        <w:t xml:space="preserve">  Citar expresamente que la Ley General Marítimo Portuaria, LGMP y sus reglamentos contiene disposiciones legales que deben observarse y ser cumplidos por el concesionario. </w:t>
      </w:r>
    </w:p>
    <w:p w14:paraId="4F1EDE18" w14:textId="77777777" w:rsidR="00D8765A" w:rsidRPr="00D8765A" w:rsidRDefault="00D8765A" w:rsidP="00D8765A">
      <w:pPr>
        <w:numPr>
          <w:ilvl w:val="1"/>
          <w:numId w:val="2"/>
        </w:numPr>
        <w:suppressAutoHyphens/>
        <w:spacing w:after="0" w:line="276" w:lineRule="auto"/>
        <w:jc w:val="both"/>
        <w:rPr>
          <w:rFonts w:ascii="Arial" w:eastAsia="Times New Roman" w:hAnsi="Arial" w:cs="Arial"/>
          <w:bCs/>
          <w:lang w:val="es-SV" w:eastAsia="es-ES"/>
        </w:rPr>
      </w:pPr>
      <w:r w:rsidRPr="00D8765A">
        <w:rPr>
          <w:rFonts w:ascii="Arial" w:eastAsia="Times New Roman" w:hAnsi="Arial" w:cs="Arial"/>
          <w:b/>
        </w:rPr>
        <w:t>Cláusula Octava- Cesión.</w:t>
      </w:r>
      <w:r w:rsidRPr="00D8765A">
        <w:rPr>
          <w:rFonts w:ascii="Arial" w:eastAsia="Times New Roman" w:hAnsi="Arial" w:cs="Arial"/>
        </w:rPr>
        <w:t xml:space="preserve"> E</w:t>
      </w:r>
      <w:r w:rsidRPr="00D8765A">
        <w:rPr>
          <w:rFonts w:ascii="Arial" w:eastAsia="Times New Roman" w:hAnsi="Arial" w:cs="Arial"/>
          <w:bCs/>
          <w:lang w:val="es-SV" w:eastAsia="es-ES"/>
        </w:rPr>
        <w:t xml:space="preserve">s procedente aclarar que no se podrá realizar cesión de la concesión mediante la transferencia de acciones de la concesionaria, ni por cambio de socios o nombre de la entidad, además de citar que la Cesión procederá acatando los preceptos contenidos en el artículo 43 de la Ley de Concesión de Espacios de Domino Público Marítimo Terrestre. </w:t>
      </w:r>
    </w:p>
    <w:p w14:paraId="6E3B10B0" w14:textId="77777777" w:rsidR="00D8765A" w:rsidRPr="00D8765A" w:rsidRDefault="00D8765A" w:rsidP="00D8765A">
      <w:pPr>
        <w:spacing w:after="0" w:line="276" w:lineRule="auto"/>
        <w:ind w:left="1440"/>
        <w:jc w:val="both"/>
        <w:rPr>
          <w:rFonts w:ascii="Arial" w:eastAsia="Times New Roman" w:hAnsi="Arial" w:cs="Arial"/>
          <w:bCs/>
          <w:lang w:val="es-SV" w:eastAsia="es-ES"/>
        </w:rPr>
      </w:pPr>
      <w:r w:rsidRPr="00D8765A">
        <w:rPr>
          <w:rFonts w:ascii="Arial" w:eastAsia="Times New Roman" w:hAnsi="Arial" w:cs="Arial"/>
          <w:bCs/>
          <w:lang w:val="es-SV" w:eastAsia="es-ES"/>
        </w:rPr>
        <w:t>Asimismo, se sugiere revisar la redacción de la parte final, pues no es muy clara respecto de la eventualidad del incumplimiento de los contratos de crédito con los denominados financistas del proyecto, por lo que sería idóneo redactar la relación de la concesionaria con sus financistas por separado.</w:t>
      </w:r>
    </w:p>
    <w:p w14:paraId="6AFC2533" w14:textId="77777777" w:rsidR="00D8765A" w:rsidRPr="00D8765A" w:rsidRDefault="00D8765A" w:rsidP="00D8765A">
      <w:pPr>
        <w:spacing w:after="0" w:line="276" w:lineRule="auto"/>
        <w:ind w:left="1440"/>
        <w:jc w:val="both"/>
        <w:rPr>
          <w:rFonts w:ascii="Arial" w:eastAsia="Times New Roman" w:hAnsi="Arial" w:cs="Arial"/>
          <w:bCs/>
          <w:lang w:val="es-SV" w:eastAsia="es-ES"/>
        </w:rPr>
      </w:pPr>
    </w:p>
    <w:p w14:paraId="662BF9B4" w14:textId="77777777" w:rsidR="00D8765A" w:rsidRPr="00D8765A" w:rsidRDefault="00D8765A" w:rsidP="00D8765A">
      <w:pPr>
        <w:numPr>
          <w:ilvl w:val="1"/>
          <w:numId w:val="2"/>
        </w:numPr>
        <w:suppressAutoHyphens/>
        <w:spacing w:after="0" w:line="276" w:lineRule="auto"/>
        <w:jc w:val="both"/>
        <w:rPr>
          <w:rFonts w:ascii="Arial" w:eastAsia="Times New Roman" w:hAnsi="Arial" w:cs="Arial"/>
          <w:bCs/>
          <w:lang w:val="es-SV" w:eastAsia="es-ES"/>
        </w:rPr>
      </w:pPr>
      <w:r w:rsidRPr="00D8765A">
        <w:rPr>
          <w:rFonts w:ascii="Arial" w:eastAsia="Times New Roman" w:hAnsi="Arial" w:cs="Arial"/>
          <w:b/>
        </w:rPr>
        <w:t>Cláusula</w:t>
      </w:r>
      <w:r w:rsidRPr="00D8765A">
        <w:rPr>
          <w:rFonts w:ascii="Arial" w:eastAsia="Times New Roman" w:hAnsi="Arial" w:cs="Arial"/>
          <w:b/>
          <w:bCs/>
          <w:lang w:val="es-SV" w:eastAsia="es-ES"/>
        </w:rPr>
        <w:t xml:space="preserve"> Novena- Bienes de la Concesionaria</w:t>
      </w:r>
      <w:r w:rsidRPr="00D8765A">
        <w:rPr>
          <w:rFonts w:ascii="Arial" w:eastAsia="Times New Roman" w:hAnsi="Arial" w:cs="Arial"/>
          <w:bCs/>
          <w:lang w:val="es-SV" w:eastAsia="es-ES"/>
        </w:rPr>
        <w:t xml:space="preserve">. Se sugiere una redacción más clara, específicamente en los siguientes puntos: </w:t>
      </w:r>
    </w:p>
    <w:p w14:paraId="4017690C" w14:textId="77777777" w:rsidR="00D8765A" w:rsidRPr="00D8765A" w:rsidRDefault="00D8765A" w:rsidP="00D8765A">
      <w:pPr>
        <w:spacing w:after="0" w:line="276" w:lineRule="auto"/>
        <w:ind w:left="1440"/>
        <w:jc w:val="both"/>
        <w:rPr>
          <w:rFonts w:ascii="Arial" w:eastAsia="Times New Roman" w:hAnsi="Arial" w:cs="Arial"/>
          <w:bCs/>
          <w:lang w:val="es-SV" w:eastAsia="es-ES"/>
        </w:rPr>
      </w:pPr>
    </w:p>
    <w:p w14:paraId="5D25D876" w14:textId="77777777" w:rsidR="00D8765A" w:rsidRPr="00D8765A" w:rsidRDefault="00D8765A" w:rsidP="00D8765A">
      <w:pPr>
        <w:spacing w:after="0" w:line="276" w:lineRule="auto"/>
        <w:ind w:left="1440"/>
        <w:jc w:val="both"/>
        <w:rPr>
          <w:rFonts w:ascii="Arial" w:eastAsia="Times New Roman" w:hAnsi="Arial" w:cs="Arial"/>
          <w:bCs/>
          <w:lang w:val="es-SV" w:eastAsia="es-ES"/>
        </w:rPr>
      </w:pPr>
      <w:r w:rsidRPr="00D8765A">
        <w:rPr>
          <w:rFonts w:ascii="Arial" w:eastAsia="Times New Roman" w:hAnsi="Arial" w:cs="Arial"/>
          <w:bCs/>
          <w:lang w:val="es-SV" w:eastAsia="es-ES"/>
        </w:rPr>
        <w:t>En literal b) menciona la palabra posesión indistintamente de la palabra propiedad, lo cual jurídicamente tiene una implicación completamente diferente.</w:t>
      </w:r>
    </w:p>
    <w:p w14:paraId="0FEDFE50" w14:textId="77777777" w:rsidR="00D8765A" w:rsidRPr="00D8765A" w:rsidRDefault="00D8765A" w:rsidP="00D8765A">
      <w:pPr>
        <w:spacing w:after="0" w:line="240" w:lineRule="auto"/>
        <w:ind w:left="1440"/>
        <w:jc w:val="both"/>
        <w:rPr>
          <w:rFonts w:ascii="Arial" w:eastAsia="Times New Roman" w:hAnsi="Arial" w:cs="Arial"/>
          <w:bCs/>
          <w:lang w:val="es-SV" w:eastAsia="es-ES"/>
        </w:rPr>
      </w:pPr>
      <w:r w:rsidRPr="00D8765A">
        <w:rPr>
          <w:rFonts w:ascii="Arial" w:eastAsia="Times New Roman" w:hAnsi="Arial" w:cs="Arial"/>
          <w:bCs/>
          <w:lang w:val="es-SV" w:eastAsia="es-ES"/>
        </w:rPr>
        <w:t xml:space="preserve"> </w:t>
      </w:r>
    </w:p>
    <w:p w14:paraId="3841F591" w14:textId="77777777" w:rsidR="00D8765A" w:rsidRPr="00D8765A" w:rsidRDefault="00D8765A" w:rsidP="00D8765A">
      <w:pPr>
        <w:spacing w:after="0" w:line="240" w:lineRule="auto"/>
        <w:ind w:left="1440"/>
        <w:jc w:val="both"/>
        <w:rPr>
          <w:rFonts w:ascii="Arial" w:eastAsia="Times New Roman" w:hAnsi="Arial" w:cs="Arial"/>
          <w:bCs/>
          <w:lang w:val="es-SV" w:eastAsia="es-ES"/>
        </w:rPr>
      </w:pPr>
      <w:r w:rsidRPr="00D8765A">
        <w:rPr>
          <w:rFonts w:ascii="Arial" w:eastAsia="Times New Roman" w:hAnsi="Arial" w:cs="Arial"/>
          <w:bCs/>
          <w:lang w:val="es-SV" w:eastAsia="es-ES"/>
        </w:rPr>
        <w:t>Por otra parte, se deja abierta la posibilidad de incluir entre los bienes que la concesionaria puede conservar al final del plazo de la concesión, cualquier bien que no esté incluido expresamente, lo cual es contrario a lo dispuesto en el artículo 9 inciso tercero de la Ley de Concesión EDP, que indica que el contrato de concesión especificará los bienes de ambas categorías, refiriéndose a los que obligatoriamente transferirá y los que conservará.</w:t>
      </w:r>
    </w:p>
    <w:p w14:paraId="55767F7C" w14:textId="77777777" w:rsidR="00D8765A" w:rsidRPr="00D8765A" w:rsidRDefault="00D8765A" w:rsidP="00D8765A">
      <w:pPr>
        <w:spacing w:after="0" w:line="276" w:lineRule="auto"/>
        <w:ind w:left="1416"/>
        <w:jc w:val="both"/>
        <w:rPr>
          <w:rFonts w:ascii="Arial" w:eastAsia="Calibri" w:hAnsi="Arial" w:cs="Arial"/>
          <w:bCs/>
        </w:rPr>
      </w:pPr>
    </w:p>
    <w:p w14:paraId="3E05A0A6" w14:textId="77777777" w:rsidR="00D8765A" w:rsidRPr="00D8765A" w:rsidRDefault="00D8765A" w:rsidP="00D8765A">
      <w:pPr>
        <w:spacing w:after="0" w:line="276" w:lineRule="auto"/>
        <w:ind w:left="1416"/>
        <w:jc w:val="both"/>
        <w:rPr>
          <w:rFonts w:ascii="Arial" w:eastAsia="Calibri" w:hAnsi="Arial" w:cs="Arial"/>
          <w:bCs/>
        </w:rPr>
      </w:pPr>
      <w:r w:rsidRPr="00D8765A">
        <w:rPr>
          <w:rFonts w:ascii="Arial" w:eastAsia="Calibri" w:hAnsi="Arial" w:cs="Arial"/>
          <w:bCs/>
        </w:rPr>
        <w:t xml:space="preserve">En cuando al justo precio que según el contrato deberá pagar el Estado por la transferencia de los bienes al final de la concesión, únicamente se indica que el costo se acordará por las partes al final de la concesión, sin referirse a mayores reglas sobre la depreciación de los bienes o el aprovechamiento que </w:t>
      </w:r>
      <w:r w:rsidRPr="00D8765A">
        <w:rPr>
          <w:rFonts w:ascii="Arial" w:eastAsia="Calibri" w:hAnsi="Arial" w:cs="Arial"/>
          <w:bCs/>
        </w:rPr>
        <w:lastRenderedPageBreak/>
        <w:t>haya hecho la concesionaria durante el plazo de la concesión, por lo que se sugiere establecer reglas más claras, sobre todo tomando en cuenta que el contrato tiene un plazo de 50 años, y que existe un régimen aduanero especial.</w:t>
      </w:r>
    </w:p>
    <w:p w14:paraId="78F0C9A8" w14:textId="77777777" w:rsidR="00D8765A" w:rsidRPr="00D8765A" w:rsidRDefault="00D8765A" w:rsidP="00D8765A">
      <w:pPr>
        <w:spacing w:after="0" w:line="276" w:lineRule="auto"/>
        <w:ind w:left="1276"/>
        <w:jc w:val="both"/>
        <w:rPr>
          <w:rFonts w:ascii="Arial" w:eastAsia="Calibri" w:hAnsi="Arial" w:cs="Arial"/>
          <w:bCs/>
        </w:rPr>
      </w:pPr>
    </w:p>
    <w:p w14:paraId="48752B91" w14:textId="77777777" w:rsidR="00D8765A" w:rsidRPr="00D8765A" w:rsidRDefault="00D8765A" w:rsidP="00D8765A">
      <w:pPr>
        <w:spacing w:after="0" w:line="276" w:lineRule="auto"/>
        <w:ind w:left="1416"/>
        <w:jc w:val="both"/>
        <w:rPr>
          <w:rFonts w:ascii="Arial" w:eastAsia="Calibri" w:hAnsi="Arial" w:cs="Arial"/>
          <w:bCs/>
        </w:rPr>
      </w:pPr>
      <w:r w:rsidRPr="00D8765A">
        <w:rPr>
          <w:rFonts w:ascii="Arial" w:eastAsia="Calibri" w:hAnsi="Arial" w:cs="Arial"/>
          <w:bCs/>
        </w:rPr>
        <w:t>La parte final de esta cláusula tiene una redacción ambigua, el pago de la transferencia de los bienes antes dichos, con las garantías que se hayan otorgado a los llamados “financistas del proyecto”, por lo que es procedente separar ambos temas en dos cláusulas.</w:t>
      </w:r>
    </w:p>
    <w:p w14:paraId="52152521" w14:textId="77777777" w:rsidR="00D8765A" w:rsidRPr="00D8765A" w:rsidRDefault="00D8765A" w:rsidP="00D8765A">
      <w:pPr>
        <w:spacing w:after="0" w:line="240" w:lineRule="auto"/>
        <w:ind w:left="708"/>
        <w:rPr>
          <w:rFonts w:ascii="Arial" w:eastAsia="Times New Roman" w:hAnsi="Arial" w:cs="Arial"/>
          <w:b/>
        </w:rPr>
      </w:pPr>
    </w:p>
    <w:p w14:paraId="103E3975" w14:textId="77777777" w:rsidR="00D8765A" w:rsidRPr="00D8765A" w:rsidRDefault="00D8765A" w:rsidP="00D8765A">
      <w:pPr>
        <w:numPr>
          <w:ilvl w:val="1"/>
          <w:numId w:val="2"/>
        </w:numPr>
        <w:suppressAutoHyphens/>
        <w:spacing w:after="0" w:line="276" w:lineRule="auto"/>
        <w:jc w:val="both"/>
        <w:rPr>
          <w:rFonts w:ascii="Arial" w:eastAsia="Times New Roman" w:hAnsi="Arial" w:cs="Arial"/>
          <w:b/>
        </w:rPr>
      </w:pPr>
      <w:r w:rsidRPr="00D8765A">
        <w:rPr>
          <w:rFonts w:ascii="Arial" w:eastAsia="Times New Roman" w:hAnsi="Arial" w:cs="Arial"/>
          <w:b/>
        </w:rPr>
        <w:t>Cláusula Décima- Obligaciones de la Concesionaria.</w:t>
      </w:r>
      <w:r w:rsidRPr="00D8765A">
        <w:rPr>
          <w:rFonts w:ascii="Arial" w:eastAsia="Times New Roman" w:hAnsi="Arial" w:cs="Arial"/>
          <w:lang w:val="es-SV" w:eastAsia="es-ES"/>
        </w:rPr>
        <w:t xml:space="preserve"> Incluir de forma expresa que debe </w:t>
      </w:r>
      <w:r w:rsidRPr="00D8765A">
        <w:rPr>
          <w:rFonts w:ascii="Arial" w:eastAsia="Times New Roman" w:hAnsi="Arial" w:cs="Arial"/>
        </w:rPr>
        <w:t xml:space="preserve">cumplir con la Ley General Marítimo Portuaria y sus reglamentos, así como estándares internacionales relacionados con la operación del GNL. </w:t>
      </w:r>
    </w:p>
    <w:p w14:paraId="3E2F0882" w14:textId="77777777" w:rsidR="00D8765A" w:rsidRPr="00D8765A" w:rsidRDefault="00D8765A" w:rsidP="00D8765A">
      <w:pPr>
        <w:numPr>
          <w:ilvl w:val="1"/>
          <w:numId w:val="2"/>
        </w:numPr>
        <w:suppressAutoHyphens/>
        <w:spacing w:after="0" w:line="276" w:lineRule="auto"/>
        <w:jc w:val="both"/>
        <w:rPr>
          <w:rFonts w:ascii="Arial" w:eastAsia="Times New Roman" w:hAnsi="Arial" w:cs="Arial"/>
          <w:b/>
        </w:rPr>
      </w:pPr>
      <w:r w:rsidRPr="00D8765A">
        <w:rPr>
          <w:rFonts w:ascii="Arial" w:eastAsia="Times New Roman" w:hAnsi="Arial" w:cs="Arial"/>
          <w:b/>
        </w:rPr>
        <w:t xml:space="preserve">Cláusula Décima Primera- De la Supervisión del Contrato de Concesión. </w:t>
      </w:r>
      <w:r w:rsidRPr="00D8765A">
        <w:rPr>
          <w:rFonts w:ascii="Arial" w:eastAsia="Times New Roman" w:hAnsi="Arial" w:cs="Arial"/>
        </w:rPr>
        <w:t>Incluir que la AMP deberá de elaborar y comunicar al concesionario y concedente el plan de supervisión de anual las operaciones y del contrato de concesión.</w:t>
      </w:r>
    </w:p>
    <w:p w14:paraId="2D663640" w14:textId="77777777" w:rsidR="00D8765A" w:rsidRPr="00D8765A" w:rsidRDefault="00D8765A" w:rsidP="00D8765A">
      <w:pPr>
        <w:numPr>
          <w:ilvl w:val="1"/>
          <w:numId w:val="2"/>
        </w:numPr>
        <w:suppressAutoHyphens/>
        <w:spacing w:after="0" w:line="276" w:lineRule="auto"/>
        <w:jc w:val="both"/>
        <w:rPr>
          <w:rFonts w:ascii="Arial" w:eastAsia="Times New Roman" w:hAnsi="Arial" w:cs="Arial"/>
          <w:bCs/>
          <w:lang w:val="es-SV" w:eastAsia="es-ES"/>
        </w:rPr>
      </w:pPr>
      <w:r w:rsidRPr="00D8765A">
        <w:rPr>
          <w:rFonts w:ascii="Arial" w:eastAsia="Times New Roman" w:hAnsi="Arial" w:cs="Arial"/>
          <w:b/>
        </w:rPr>
        <w:t>Cláusula Décima Cuarta- Procedimiento Para la Terminación del Contrato.</w:t>
      </w:r>
      <w:r w:rsidRPr="00D8765A">
        <w:rPr>
          <w:rFonts w:ascii="Arial" w:eastAsia="Times New Roman" w:hAnsi="Arial" w:cs="Arial"/>
          <w:bCs/>
          <w:lang w:val="es-SV" w:eastAsia="es-ES"/>
        </w:rPr>
        <w:t xml:space="preserve"> La redacción deja entrever que cualquiera de las partes, es decir el Estado de El Salvador y la sociedad concesionaria, pueden caer en incumplimiento de obligaciones contractuales; sin embargo, por la naturaleza jurídica de la concesión, el Estado está cediendo el uso de un espacio de uso público marítimo terrestre, que se será explotado por el concesionario, y con ello cumple su obligación principal, por lo que es la sociedad concesionara quien realmente adquiere las obligaciones frente al Estado.</w:t>
      </w:r>
    </w:p>
    <w:p w14:paraId="453BF29E" w14:textId="77777777" w:rsidR="00D8765A" w:rsidRPr="00D8765A" w:rsidRDefault="00D8765A" w:rsidP="00D8765A">
      <w:pPr>
        <w:numPr>
          <w:ilvl w:val="1"/>
          <w:numId w:val="2"/>
        </w:numPr>
        <w:suppressAutoHyphens/>
        <w:spacing w:after="0" w:line="276" w:lineRule="auto"/>
        <w:jc w:val="both"/>
        <w:rPr>
          <w:rFonts w:ascii="Arial" w:eastAsia="Times New Roman" w:hAnsi="Arial" w:cs="Arial"/>
          <w:b/>
        </w:rPr>
      </w:pPr>
      <w:r w:rsidRPr="00D8765A">
        <w:rPr>
          <w:rFonts w:ascii="Arial" w:eastAsia="Times New Roman" w:hAnsi="Arial" w:cs="Arial"/>
          <w:b/>
        </w:rPr>
        <w:t xml:space="preserve">Cláusula Décima Quinta- Resolución de Disputas.  </w:t>
      </w:r>
      <w:r w:rsidRPr="00D8765A">
        <w:rPr>
          <w:rFonts w:ascii="Arial" w:eastAsia="Times New Roman" w:hAnsi="Arial" w:cs="Arial"/>
        </w:rPr>
        <w:t xml:space="preserve">Debe mencionarse que es competencia de la AMP </w:t>
      </w:r>
      <w:r w:rsidRPr="00D8765A">
        <w:rPr>
          <w:rFonts w:ascii="Arial" w:eastAsia="Times New Roman" w:hAnsi="Arial" w:cs="Arial"/>
          <w:lang w:eastAsia="es-ES"/>
        </w:rPr>
        <w:t xml:space="preserve">según lo preceptuado en el </w:t>
      </w:r>
      <w:r w:rsidRPr="00D8765A">
        <w:rPr>
          <w:rFonts w:ascii="Arial" w:eastAsia="Times New Roman" w:hAnsi="Arial" w:cs="Arial"/>
        </w:rPr>
        <w:t>numeral 12</w:t>
      </w:r>
      <w:r w:rsidRPr="00D8765A">
        <w:rPr>
          <w:rFonts w:ascii="Arial" w:eastAsia="Times New Roman" w:hAnsi="Arial" w:cs="Arial"/>
          <w:lang w:eastAsia="es-ES"/>
        </w:rPr>
        <w:t xml:space="preserve"> del artículo 7</w:t>
      </w:r>
      <w:r w:rsidRPr="00D8765A">
        <w:rPr>
          <w:rFonts w:ascii="Arial" w:eastAsia="Times New Roman" w:hAnsi="Arial" w:cs="Arial"/>
        </w:rPr>
        <w:t xml:space="preserve"> de la </w:t>
      </w:r>
      <w:r w:rsidRPr="00D8765A">
        <w:rPr>
          <w:rFonts w:ascii="Arial" w:eastAsia="Times New Roman" w:hAnsi="Arial" w:cs="Arial"/>
          <w:lang w:eastAsia="es-ES"/>
        </w:rPr>
        <w:t xml:space="preserve">Ley General Marítimo Portuaria </w:t>
      </w:r>
      <w:r w:rsidRPr="00D8765A">
        <w:rPr>
          <w:rFonts w:ascii="Arial" w:eastAsia="Times New Roman" w:hAnsi="Arial" w:cs="Arial"/>
        </w:rPr>
        <w:t>dirimir los conflictos marítimos portuarios que se presenten entre los diferentes agentes económicos que intervienen en la actividad económica marítima portuaria, sin mencionar las condiciones contractuales generales sobre este aspecto.</w:t>
      </w:r>
    </w:p>
    <w:p w14:paraId="27D7682C" w14:textId="77777777" w:rsidR="00D8765A" w:rsidRPr="00D8765A" w:rsidRDefault="00D8765A" w:rsidP="00D8765A">
      <w:pPr>
        <w:numPr>
          <w:ilvl w:val="1"/>
          <w:numId w:val="2"/>
        </w:numPr>
        <w:suppressAutoHyphens/>
        <w:spacing w:after="0" w:line="276" w:lineRule="auto"/>
        <w:jc w:val="both"/>
        <w:rPr>
          <w:rFonts w:ascii="Arial" w:eastAsia="Times New Roman" w:hAnsi="Arial" w:cs="Arial"/>
          <w:b/>
        </w:rPr>
      </w:pPr>
      <w:r w:rsidRPr="00D8765A">
        <w:rPr>
          <w:rFonts w:ascii="Arial" w:eastAsia="Times New Roman" w:hAnsi="Arial" w:cs="Arial"/>
          <w:b/>
        </w:rPr>
        <w:t xml:space="preserve">Cláusula Décima Sexta– Del Régimen Fiscal de la Concesión. </w:t>
      </w:r>
      <w:r w:rsidRPr="00D8765A">
        <w:rPr>
          <w:rFonts w:ascii="Arial" w:eastAsia="Times New Roman" w:hAnsi="Arial" w:cs="Arial"/>
        </w:rPr>
        <w:t xml:space="preserve">Es necesario advertir que podrán darse contradicciones con normativas de carácter internacional al haber incluido aval legislativo a </w:t>
      </w:r>
      <w:r w:rsidRPr="00D8765A">
        <w:rPr>
          <w:rFonts w:ascii="Arial" w:eastAsia="Times New Roman" w:hAnsi="Arial" w:cs="Arial"/>
          <w:lang w:eastAsia="es-ES"/>
        </w:rPr>
        <w:t>la</w:t>
      </w:r>
      <w:r w:rsidRPr="00D8765A">
        <w:rPr>
          <w:rFonts w:ascii="Arial" w:eastAsia="Times New Roman" w:hAnsi="Arial" w:cs="Arial"/>
        </w:rPr>
        <w:t xml:space="preserve"> operación de un buque que se extienda por 50 años, </w:t>
      </w:r>
      <w:r w:rsidRPr="00D8765A">
        <w:rPr>
          <w:rFonts w:ascii="Arial" w:eastAsia="Times New Roman" w:hAnsi="Arial" w:cs="Arial"/>
          <w:lang w:eastAsia="es-ES"/>
        </w:rPr>
        <w:t>permitiendo que la misma se pueda r</w:t>
      </w:r>
      <w:r w:rsidRPr="00D8765A">
        <w:rPr>
          <w:rFonts w:ascii="Arial" w:eastAsia="Times New Roman" w:hAnsi="Arial" w:cs="Arial"/>
        </w:rPr>
        <w:t>ealizar con doble bandera, ya que no es una actividad temporal en términos de horas, días o semanas, sino que excede cualquier espacio de tiempo considerado temporal, teniendo en cuenta que los buques se consideran bienes registrales y por ende deben estar inscritos en el REMS una vez se haya comprobado condiciones seguras de navegabilidad</w:t>
      </w:r>
      <w:r w:rsidRPr="00D8765A">
        <w:rPr>
          <w:rFonts w:ascii="Arial" w:eastAsia="Times New Roman" w:hAnsi="Arial" w:cs="Arial"/>
          <w:lang w:eastAsia="es-ES"/>
        </w:rPr>
        <w:t xml:space="preserve">, tal como regula el artículo </w:t>
      </w:r>
      <w:r w:rsidRPr="00D8765A">
        <w:rPr>
          <w:rFonts w:ascii="Arial" w:eastAsia="Times New Roman" w:hAnsi="Arial" w:cs="Arial"/>
        </w:rPr>
        <w:t>25</w:t>
      </w:r>
      <w:r w:rsidRPr="00D8765A">
        <w:rPr>
          <w:rFonts w:ascii="Arial" w:eastAsia="Times New Roman" w:hAnsi="Arial" w:cs="Arial"/>
          <w:lang w:eastAsia="es-ES"/>
        </w:rPr>
        <w:t xml:space="preserve"> de la </w:t>
      </w:r>
      <w:r w:rsidRPr="00D8765A">
        <w:rPr>
          <w:rFonts w:ascii="Arial" w:eastAsia="Times New Roman" w:hAnsi="Arial" w:cs="Arial"/>
        </w:rPr>
        <w:t>LGMP.</w:t>
      </w:r>
    </w:p>
    <w:p w14:paraId="0DC4327C" w14:textId="77777777" w:rsidR="00D8765A" w:rsidRPr="00D8765A" w:rsidRDefault="00D8765A" w:rsidP="00D8765A">
      <w:pPr>
        <w:numPr>
          <w:ilvl w:val="1"/>
          <w:numId w:val="2"/>
        </w:numPr>
        <w:suppressAutoHyphens/>
        <w:spacing w:after="0" w:line="276" w:lineRule="auto"/>
        <w:jc w:val="both"/>
        <w:rPr>
          <w:rFonts w:ascii="Arial" w:eastAsia="Times New Roman" w:hAnsi="Arial" w:cs="Arial"/>
          <w:bCs/>
          <w:lang w:val="es-SV" w:eastAsia="es-ES"/>
        </w:rPr>
      </w:pPr>
      <w:r w:rsidRPr="00D8765A">
        <w:rPr>
          <w:rFonts w:ascii="Arial" w:eastAsia="Times New Roman" w:hAnsi="Arial" w:cs="Arial"/>
          <w:bCs/>
          <w:lang w:val="es-SV" w:eastAsia="es-ES"/>
        </w:rPr>
        <w:t>El contrato debería incluir lo referente a la modificación de la concesión a que se refiere el artículo 42 de la LCEDPMT, aclarando que en ningún momento se podrá variar el objeto de la concesión.</w:t>
      </w:r>
    </w:p>
    <w:p w14:paraId="3AD17200" w14:textId="77777777" w:rsidR="00D8765A" w:rsidRPr="00D8765A" w:rsidRDefault="00D8765A" w:rsidP="00D8765A">
      <w:pPr>
        <w:numPr>
          <w:ilvl w:val="1"/>
          <w:numId w:val="2"/>
        </w:numPr>
        <w:suppressAutoHyphens/>
        <w:spacing w:after="0" w:line="276" w:lineRule="auto"/>
        <w:jc w:val="both"/>
        <w:rPr>
          <w:rFonts w:ascii="Arial" w:eastAsia="Times New Roman" w:hAnsi="Arial" w:cs="Arial"/>
          <w:bCs/>
          <w:lang w:val="es-SV" w:eastAsia="es-ES"/>
        </w:rPr>
      </w:pPr>
      <w:r w:rsidRPr="00D8765A">
        <w:rPr>
          <w:rFonts w:ascii="Arial" w:eastAsia="Times New Roman" w:hAnsi="Arial" w:cs="Arial"/>
          <w:bCs/>
          <w:lang w:val="es-SV" w:eastAsia="es-ES"/>
        </w:rPr>
        <w:lastRenderedPageBreak/>
        <w:t>El contrato no regula nada en relación a los sucesos acaecidos por caso fortuito o fuerza mayor y a la incidencia de estos en el cumplimiento de las obligaciones contractuales que se asumen.</w:t>
      </w:r>
    </w:p>
    <w:p w14:paraId="100F3143" w14:textId="77777777" w:rsidR="00D8765A" w:rsidRPr="00D8765A" w:rsidRDefault="00D8765A" w:rsidP="00D8765A">
      <w:pPr>
        <w:numPr>
          <w:ilvl w:val="1"/>
          <w:numId w:val="2"/>
        </w:numPr>
        <w:suppressAutoHyphens/>
        <w:spacing w:after="0" w:line="276" w:lineRule="auto"/>
        <w:jc w:val="both"/>
        <w:rPr>
          <w:rFonts w:ascii="Arial" w:eastAsia="Times New Roman" w:hAnsi="Arial" w:cs="Arial"/>
          <w:bCs/>
          <w:lang w:val="es-SV" w:eastAsia="es-ES"/>
        </w:rPr>
      </w:pPr>
      <w:r w:rsidRPr="00D8765A">
        <w:rPr>
          <w:rFonts w:ascii="Arial" w:eastAsia="Times New Roman" w:hAnsi="Arial" w:cs="Arial"/>
          <w:bCs/>
          <w:lang w:val="es-SV" w:eastAsia="es-ES"/>
        </w:rPr>
        <w:t>En la parte final del contrato, en la que el notario autorizante da fe de las capacidad de las partes, es preciso hacer notar que falta completar la personería del Estado de El Salvador, y, respecto del representante legal de EDP, es necesario atender lo dispuesto en la cláusula octava de la modificación al pacto social de dicha sociedad, respecto de que el primer gerente deberá actuar en conjunto con el gerente general, u obtener autorización previa del Consejo de Gerentes para comparecer a formalizar contratos cuyo monto sea superior a los $25,000.00.</w:t>
      </w:r>
    </w:p>
    <w:p w14:paraId="31E180DA" w14:textId="77777777" w:rsidR="00D8765A" w:rsidRPr="00D8765A" w:rsidRDefault="00D8765A" w:rsidP="00D8765A">
      <w:pPr>
        <w:numPr>
          <w:ilvl w:val="1"/>
          <w:numId w:val="2"/>
        </w:numPr>
        <w:suppressAutoHyphens/>
        <w:spacing w:after="0" w:line="276" w:lineRule="auto"/>
        <w:jc w:val="both"/>
        <w:rPr>
          <w:rFonts w:ascii="Arial" w:eastAsia="Times New Roman" w:hAnsi="Arial" w:cs="Arial"/>
          <w:bCs/>
          <w:lang w:val="es-SV" w:eastAsia="es-ES"/>
        </w:rPr>
      </w:pPr>
      <w:r w:rsidRPr="00D8765A">
        <w:rPr>
          <w:rFonts w:ascii="Arial" w:eastAsia="Times New Roman" w:hAnsi="Arial" w:cs="Arial"/>
          <w:bCs/>
          <w:lang w:val="es-SV" w:eastAsia="es-ES"/>
        </w:rPr>
        <w:t xml:space="preserve">Se sugiere hacer constar en el contrato de concesión que el concesionario especialmente comprende que debe cumplir todas las obligaciones que otras leyes imponen, en relación a lo dispuesto en el artículo 11 de la Ley de Concesión de EDP. </w:t>
      </w:r>
      <w:r w:rsidRPr="00D8765A">
        <w:rPr>
          <w:rFonts w:ascii="Arial" w:eastAsia="Calibri" w:hAnsi="Arial" w:cs="Arial"/>
          <w:b/>
        </w:rPr>
        <w:t>COMUNIQUESE. -</w:t>
      </w:r>
    </w:p>
    <w:p w14:paraId="3318F6CD" w14:textId="77777777" w:rsidR="00D8765A" w:rsidRPr="00D8765A" w:rsidRDefault="00D8765A" w:rsidP="00D8765A">
      <w:pPr>
        <w:tabs>
          <w:tab w:val="num" w:pos="720"/>
        </w:tabs>
        <w:spacing w:line="288" w:lineRule="auto"/>
        <w:jc w:val="both"/>
        <w:rPr>
          <w:rFonts w:ascii="Arial" w:eastAsia="Calibri" w:hAnsi="Arial" w:cs="Arial"/>
          <w:bCs/>
          <w:lang w:val="es-SV" w:eastAsia="ar-SA"/>
        </w:rPr>
      </w:pPr>
      <w:r w:rsidRPr="00D8765A">
        <w:rPr>
          <w:rFonts w:ascii="Arial" w:eastAsia="Calibri" w:hAnsi="Arial" w:cs="Arial"/>
          <w:b/>
        </w:rPr>
        <w:t xml:space="preserve">INFORMES Y CORRESPONDENCIA.  I.  NOTA EMPLEADOS DE LA AMP.  </w:t>
      </w:r>
      <w:r w:rsidRPr="00D8765A">
        <w:rPr>
          <w:rFonts w:ascii="Arial" w:eastAsia="Calibri" w:hAnsi="Arial" w:cs="Arial"/>
        </w:rPr>
        <w:t xml:space="preserve">El Director Presidente dio lectura a nota de fecha 22 de mayo de 2019,  suscrita por empleados y empleadas de la AMP, dirigida al Presidente electo señor </w:t>
      </w:r>
      <w:proofErr w:type="spellStart"/>
      <w:r w:rsidRPr="00D8765A">
        <w:rPr>
          <w:rFonts w:ascii="Arial" w:eastAsia="Calibri" w:hAnsi="Arial" w:cs="Arial"/>
        </w:rPr>
        <w:t>Nayib</w:t>
      </w:r>
      <w:proofErr w:type="spellEnd"/>
      <w:r w:rsidRPr="00D8765A">
        <w:rPr>
          <w:rFonts w:ascii="Arial" w:eastAsia="Calibri" w:hAnsi="Arial" w:cs="Arial"/>
        </w:rPr>
        <w:t xml:space="preserve"> Armando </w:t>
      </w:r>
      <w:proofErr w:type="spellStart"/>
      <w:r w:rsidRPr="00D8765A">
        <w:rPr>
          <w:rFonts w:ascii="Arial" w:eastAsia="Calibri" w:hAnsi="Arial" w:cs="Arial"/>
        </w:rPr>
        <w:t>Bukele</w:t>
      </w:r>
      <w:proofErr w:type="spellEnd"/>
      <w:r w:rsidRPr="00D8765A">
        <w:rPr>
          <w:rFonts w:ascii="Arial" w:eastAsia="Calibri" w:hAnsi="Arial" w:cs="Arial"/>
        </w:rPr>
        <w:t xml:space="preserve"> Cortez con copia a este Consejo Directivo, en cuyo contenido condenan, desestiman y se desligan del contenido de la nota anónima sin fecha enviada a casa presidencial y que ha circulado en redes sociales supuestamente elaborada por los empleados de la AMP, en la cual sin fundamento alguno se hacen señalamientos que afectan la imagen e integridad de miembros del personal de la AMP, a quienes se externa solidaridad, destacando además que los  ataques anónimos que a través de las redes sociales se han generado son responsabilidad de personas inescrupulosas que persiguen fines oscuros motivados por intereses de personas externas que únicamente tienen como objetivo desestabilizar la Institución y a sus trabajadores, todo lo cual daña a la institución a la cual externan lealtad. Los señores directores se dieron por enterados. Habiendo desarrollado la agenda aprobada, se da por terminada la reunión a las dieciséis horas con cincuenta minutos del día de su fecha.</w:t>
      </w:r>
    </w:p>
    <w:p w14:paraId="5FC0D483" w14:textId="77777777" w:rsidR="00D8765A" w:rsidRPr="00D8765A" w:rsidRDefault="00D8765A" w:rsidP="00D8765A">
      <w:pPr>
        <w:spacing w:line="288" w:lineRule="auto"/>
        <w:jc w:val="both"/>
        <w:rPr>
          <w:rFonts w:ascii="Arial" w:eastAsia="Calibri" w:hAnsi="Arial" w:cs="Arial"/>
          <w:lang w:val="es-SV"/>
        </w:rPr>
      </w:pPr>
    </w:p>
    <w:p w14:paraId="7B0831EF" w14:textId="77777777" w:rsidR="00D8765A" w:rsidRPr="00D8765A" w:rsidRDefault="00D8765A" w:rsidP="00D8765A">
      <w:pPr>
        <w:spacing w:line="288" w:lineRule="auto"/>
        <w:jc w:val="both"/>
        <w:rPr>
          <w:rFonts w:ascii="Arial" w:eastAsia="Calibri" w:hAnsi="Arial" w:cs="Arial"/>
          <w:lang w:val="es-SV"/>
        </w:rPr>
      </w:pPr>
    </w:p>
    <w:p w14:paraId="0470921E" w14:textId="77777777" w:rsidR="00D8765A" w:rsidRPr="00D8765A" w:rsidRDefault="00D8765A" w:rsidP="00D8765A">
      <w:pPr>
        <w:spacing w:line="288" w:lineRule="auto"/>
        <w:jc w:val="center"/>
        <w:rPr>
          <w:rFonts w:ascii="Arial" w:eastAsia="Calibri" w:hAnsi="Arial" w:cs="Arial"/>
          <w:b/>
        </w:rPr>
      </w:pPr>
      <w:r w:rsidRPr="00D8765A">
        <w:rPr>
          <w:rFonts w:ascii="Arial" w:eastAsia="Calibri" w:hAnsi="Arial" w:cs="Arial"/>
          <w:b/>
        </w:rPr>
        <w:t xml:space="preserve">René Ernesto Hernández Osegueda               </w:t>
      </w:r>
      <w:proofErr w:type="spellStart"/>
      <w:r w:rsidRPr="00D8765A">
        <w:rPr>
          <w:rFonts w:ascii="Arial" w:eastAsia="Calibri" w:hAnsi="Arial" w:cs="Arial"/>
          <w:b/>
        </w:rPr>
        <w:t>Jeny</w:t>
      </w:r>
      <w:proofErr w:type="spellEnd"/>
      <w:r w:rsidRPr="00D8765A">
        <w:rPr>
          <w:rFonts w:ascii="Arial" w:eastAsia="Calibri" w:hAnsi="Arial" w:cs="Arial"/>
          <w:b/>
        </w:rPr>
        <w:t xml:space="preserve"> Roxana Alvarado de Arias</w:t>
      </w:r>
    </w:p>
    <w:p w14:paraId="5A3C9EF8" w14:textId="77777777" w:rsidR="00D8765A" w:rsidRPr="00D8765A" w:rsidRDefault="00D8765A" w:rsidP="00D8765A">
      <w:pPr>
        <w:spacing w:line="288" w:lineRule="auto"/>
        <w:rPr>
          <w:rFonts w:ascii="Arial" w:eastAsia="Calibri" w:hAnsi="Arial" w:cs="Arial"/>
          <w:b/>
        </w:rPr>
      </w:pPr>
    </w:p>
    <w:p w14:paraId="62AB662F" w14:textId="77777777" w:rsidR="00D8765A" w:rsidRPr="00D8765A" w:rsidRDefault="00D8765A" w:rsidP="00D8765A">
      <w:pPr>
        <w:spacing w:line="288" w:lineRule="auto"/>
        <w:ind w:firstLine="708"/>
        <w:jc w:val="center"/>
        <w:rPr>
          <w:rFonts w:ascii="Arial" w:eastAsia="Calibri" w:hAnsi="Arial" w:cs="Arial"/>
          <w:b/>
        </w:rPr>
      </w:pPr>
      <w:r w:rsidRPr="00D8765A">
        <w:rPr>
          <w:rFonts w:ascii="Arial" w:eastAsia="Calibri" w:hAnsi="Arial" w:cs="Arial"/>
          <w:b/>
          <w:lang w:val="es-MX"/>
        </w:rPr>
        <w:t>Marco Tulio Orellana Vides                           Roberto Arístides Castellón Murcia</w:t>
      </w:r>
      <w:r w:rsidRPr="00D8765A">
        <w:rPr>
          <w:rFonts w:ascii="Arial" w:eastAsia="Calibri" w:hAnsi="Arial" w:cs="Arial"/>
          <w:b/>
        </w:rPr>
        <w:t xml:space="preserve">                   </w:t>
      </w:r>
    </w:p>
    <w:p w14:paraId="77DAE35E" w14:textId="77777777" w:rsidR="00D8765A" w:rsidRPr="00D8765A" w:rsidRDefault="00D8765A" w:rsidP="004371C5">
      <w:pPr>
        <w:spacing w:line="288" w:lineRule="auto"/>
        <w:rPr>
          <w:rFonts w:ascii="Arial" w:eastAsia="Calibri" w:hAnsi="Arial" w:cs="Arial"/>
          <w:b/>
        </w:rPr>
      </w:pPr>
    </w:p>
    <w:p w14:paraId="235179F2" w14:textId="77777777" w:rsidR="00D8765A" w:rsidRPr="00D8765A" w:rsidRDefault="00D8765A" w:rsidP="00D8765A">
      <w:pPr>
        <w:spacing w:line="288" w:lineRule="auto"/>
        <w:jc w:val="center"/>
        <w:rPr>
          <w:rFonts w:ascii="Arial" w:eastAsia="Calibri" w:hAnsi="Arial" w:cs="Arial"/>
        </w:rPr>
      </w:pPr>
      <w:r w:rsidRPr="00D8765A">
        <w:rPr>
          <w:rFonts w:ascii="Arial" w:eastAsia="Calibri" w:hAnsi="Arial" w:cs="Arial"/>
          <w:b/>
          <w:lang w:val="es-MX"/>
        </w:rPr>
        <w:t xml:space="preserve">Tatiana Elizabeth Zaldívar de </w:t>
      </w:r>
      <w:proofErr w:type="spellStart"/>
      <w:r w:rsidRPr="00D8765A">
        <w:rPr>
          <w:rFonts w:ascii="Arial" w:eastAsia="Calibri" w:hAnsi="Arial" w:cs="Arial"/>
          <w:b/>
          <w:lang w:val="es-MX"/>
        </w:rPr>
        <w:t>Baires</w:t>
      </w:r>
      <w:proofErr w:type="spellEnd"/>
      <w:r w:rsidRPr="00D8765A">
        <w:rPr>
          <w:rFonts w:ascii="Arial" w:eastAsia="Calibri" w:hAnsi="Arial" w:cs="Arial"/>
          <w:b/>
        </w:rPr>
        <w:t xml:space="preserve"> </w:t>
      </w:r>
      <w:r w:rsidRPr="00D8765A">
        <w:rPr>
          <w:rFonts w:ascii="Arial" w:eastAsia="Calibri" w:hAnsi="Arial" w:cs="Arial"/>
          <w:b/>
          <w:lang w:val="es-MX"/>
        </w:rPr>
        <w:t xml:space="preserve">         </w:t>
      </w:r>
    </w:p>
    <w:p w14:paraId="07C008DE" w14:textId="275F215E" w:rsidR="00D8765A" w:rsidRPr="00D8765A" w:rsidRDefault="00D8765A" w:rsidP="00D8765A">
      <w:pPr>
        <w:spacing w:line="288" w:lineRule="auto"/>
        <w:rPr>
          <w:rFonts w:ascii="Arial" w:eastAsia="Calibri" w:hAnsi="Arial" w:cs="Arial"/>
        </w:rPr>
      </w:pPr>
      <w:r w:rsidRPr="00D8765A">
        <w:rPr>
          <w:rFonts w:ascii="Arial" w:eastAsia="Calibri" w:hAnsi="Arial" w:cs="Arial"/>
          <w:b/>
          <w:lang w:val="es-MX"/>
        </w:rPr>
        <w:t>“”””””””””””””””””””””””””””””””””””””””””””””””””””””””””””””””””””””””””””””””””””””””””””””””””””””””””””””””””””””””””“”””””””””””””””””””””””””””””””””””””””””””””””””””””””””””””””””””””””””””””””””””””””””””””””””””””””””””””””””””””””””</w:t>
      </w:r>
      <w:r w:rsidR="004371C5">
        <w:rPr>
          <w:rFonts w:ascii="Arial" w:eastAsia="Calibri" w:hAnsi="Arial" w:cs="Arial"/>
          <w:b/>
          <w:lang w:val="es-MX"/>
        </w:rPr>
        <w:t>“”</w:t>
      </w:r>
      <w:bookmarkStart w:id="0" w:name="_GoBack"/>
      <w:bookmarkEnd w:id="0"/>
    </w:p>
    <w:p w14:paraId="4579E3CB" w14:textId="28173C21" w:rsidR="002D7260" w:rsidRPr="00D8765A" w:rsidRDefault="002D7260" w:rsidP="00D8765A"/>
    <w:sectPr w:rsidR="002D7260" w:rsidRPr="00D8765A" w:rsidSect="00756C04">
      <w:footerReference w:type="default" r:id="rId8"/>
      <w:pgSz w:w="12242" w:h="15842" w:code="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05CC5" w14:textId="77777777" w:rsidR="00DC6A45" w:rsidRDefault="00DC6A45" w:rsidP="00BF4B09">
      <w:pPr>
        <w:spacing w:after="0" w:line="240" w:lineRule="auto"/>
      </w:pPr>
      <w:r>
        <w:separator/>
      </w:r>
    </w:p>
  </w:endnote>
  <w:endnote w:type="continuationSeparator" w:id="0">
    <w:p w14:paraId="50B9711D" w14:textId="77777777" w:rsidR="00DC6A45" w:rsidRDefault="00DC6A45" w:rsidP="00BF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123093"/>
      <w:docPartObj>
        <w:docPartGallery w:val="Page Numbers (Bottom of Page)"/>
        <w:docPartUnique/>
      </w:docPartObj>
    </w:sdtPr>
    <w:sdtEndPr/>
    <w:sdtContent>
      <w:p w14:paraId="3FDDBD05" w14:textId="7E5D9163" w:rsidR="00D84F40" w:rsidRDefault="00D84F40">
        <w:pPr>
          <w:pStyle w:val="Piedepgina"/>
          <w:jc w:val="right"/>
        </w:pPr>
        <w:r>
          <w:fldChar w:fldCharType="begin"/>
        </w:r>
        <w:r>
          <w:instrText>PAGE   \* MERGEFORMAT</w:instrText>
        </w:r>
        <w:r>
          <w:fldChar w:fldCharType="separate"/>
        </w:r>
        <w:r w:rsidR="004371C5">
          <w:rPr>
            <w:noProof/>
          </w:rPr>
          <w:t>7</w:t>
        </w:r>
        <w:r>
          <w:fldChar w:fldCharType="end"/>
        </w:r>
      </w:p>
    </w:sdtContent>
  </w:sdt>
  <w:p w14:paraId="767BEA59" w14:textId="77777777" w:rsidR="00D84F40" w:rsidRDefault="00D84F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9A7F3" w14:textId="77777777" w:rsidR="00DC6A45" w:rsidRDefault="00DC6A45" w:rsidP="00BF4B09">
      <w:pPr>
        <w:spacing w:after="0" w:line="240" w:lineRule="auto"/>
      </w:pPr>
      <w:r>
        <w:separator/>
      </w:r>
    </w:p>
  </w:footnote>
  <w:footnote w:type="continuationSeparator" w:id="0">
    <w:p w14:paraId="351F3309" w14:textId="77777777" w:rsidR="00DC6A45" w:rsidRDefault="00DC6A45" w:rsidP="00BF4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91371"/>
    <w:multiLevelType w:val="hybridMultilevel"/>
    <w:tmpl w:val="D29EADE2"/>
    <w:lvl w:ilvl="0" w:tplc="250ED924">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0BE4235"/>
    <w:multiLevelType w:val="hybridMultilevel"/>
    <w:tmpl w:val="6A6C5364"/>
    <w:lvl w:ilvl="0" w:tplc="440A0019">
      <w:start w:val="1"/>
      <w:numFmt w:val="lowerLetter"/>
      <w:lvlText w:val="%1."/>
      <w:lvlJc w:val="left"/>
      <w:pPr>
        <w:ind w:left="720" w:hanging="360"/>
      </w:pPr>
    </w:lvl>
    <w:lvl w:ilvl="1" w:tplc="1D3E5272">
      <w:start w:val="1"/>
      <w:numFmt w:val="lowerLetter"/>
      <w:lvlText w:val="%2."/>
      <w:lvlJc w:val="left"/>
      <w:pPr>
        <w:ind w:left="1440" w:hanging="360"/>
      </w:pPr>
      <w:rPr>
        <w:b/>
      </w:rPr>
    </w:lvl>
    <w:lvl w:ilvl="2" w:tplc="F5289A8A">
      <w:start w:val="1"/>
      <w:numFmt w:val="lowerLetter"/>
      <w:lvlText w:val="%3)"/>
      <w:lvlJc w:val="left"/>
      <w:pPr>
        <w:ind w:left="2340" w:hanging="360"/>
      </w:pPr>
      <w:rPr>
        <w:rFonts w:hint="default"/>
      </w:rPr>
    </w:lvl>
    <w:lvl w:ilvl="3" w:tplc="AB14C086">
      <w:start w:val="1"/>
      <w:numFmt w:val="decimal"/>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SV" w:vendorID="64" w:dllVersion="6" w:nlCheck="1" w:checkStyle="1"/>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43"/>
    <w:rsid w:val="00001FFB"/>
    <w:rsid w:val="0000520A"/>
    <w:rsid w:val="000056C5"/>
    <w:rsid w:val="00007EC5"/>
    <w:rsid w:val="0001064B"/>
    <w:rsid w:val="00011400"/>
    <w:rsid w:val="00011556"/>
    <w:rsid w:val="00011609"/>
    <w:rsid w:val="0001176A"/>
    <w:rsid w:val="00012A74"/>
    <w:rsid w:val="000135D4"/>
    <w:rsid w:val="00013C3E"/>
    <w:rsid w:val="00013E9D"/>
    <w:rsid w:val="00020BE3"/>
    <w:rsid w:val="00023E13"/>
    <w:rsid w:val="00025D07"/>
    <w:rsid w:val="00027331"/>
    <w:rsid w:val="00027AC1"/>
    <w:rsid w:val="00030518"/>
    <w:rsid w:val="00032BA9"/>
    <w:rsid w:val="000366A1"/>
    <w:rsid w:val="00036838"/>
    <w:rsid w:val="0003731C"/>
    <w:rsid w:val="00040212"/>
    <w:rsid w:val="00040311"/>
    <w:rsid w:val="00044143"/>
    <w:rsid w:val="00046240"/>
    <w:rsid w:val="00046D49"/>
    <w:rsid w:val="00051730"/>
    <w:rsid w:val="00053AC3"/>
    <w:rsid w:val="00053F65"/>
    <w:rsid w:val="0006164C"/>
    <w:rsid w:val="00063BED"/>
    <w:rsid w:val="00066EED"/>
    <w:rsid w:val="00072D3E"/>
    <w:rsid w:val="00076038"/>
    <w:rsid w:val="00077467"/>
    <w:rsid w:val="000800C1"/>
    <w:rsid w:val="00080181"/>
    <w:rsid w:val="00085C12"/>
    <w:rsid w:val="00086B71"/>
    <w:rsid w:val="00087E72"/>
    <w:rsid w:val="00090028"/>
    <w:rsid w:val="0009051C"/>
    <w:rsid w:val="00094218"/>
    <w:rsid w:val="000A134A"/>
    <w:rsid w:val="000A5D98"/>
    <w:rsid w:val="000A6103"/>
    <w:rsid w:val="000B084B"/>
    <w:rsid w:val="000B146C"/>
    <w:rsid w:val="000B17D7"/>
    <w:rsid w:val="000B1E00"/>
    <w:rsid w:val="000B799B"/>
    <w:rsid w:val="000B7FEF"/>
    <w:rsid w:val="000C1BA5"/>
    <w:rsid w:val="000C33B7"/>
    <w:rsid w:val="000C3D7B"/>
    <w:rsid w:val="000C4260"/>
    <w:rsid w:val="000C4EDD"/>
    <w:rsid w:val="000D2C78"/>
    <w:rsid w:val="000D5E34"/>
    <w:rsid w:val="000D79F6"/>
    <w:rsid w:val="000E2A8F"/>
    <w:rsid w:val="000E4C3B"/>
    <w:rsid w:val="000E62F5"/>
    <w:rsid w:val="000E6443"/>
    <w:rsid w:val="000E645B"/>
    <w:rsid w:val="000E6B7E"/>
    <w:rsid w:val="000E7CAA"/>
    <w:rsid w:val="000E7DD9"/>
    <w:rsid w:val="000F5DFB"/>
    <w:rsid w:val="00100DC4"/>
    <w:rsid w:val="00100F1C"/>
    <w:rsid w:val="00100F80"/>
    <w:rsid w:val="00102522"/>
    <w:rsid w:val="00104E6A"/>
    <w:rsid w:val="00105D9B"/>
    <w:rsid w:val="00107B77"/>
    <w:rsid w:val="00110D43"/>
    <w:rsid w:val="001124CB"/>
    <w:rsid w:val="00114D04"/>
    <w:rsid w:val="0011540F"/>
    <w:rsid w:val="0011564C"/>
    <w:rsid w:val="00116319"/>
    <w:rsid w:val="00120088"/>
    <w:rsid w:val="001213AD"/>
    <w:rsid w:val="00123930"/>
    <w:rsid w:val="0012412B"/>
    <w:rsid w:val="00125399"/>
    <w:rsid w:val="00125753"/>
    <w:rsid w:val="001261DE"/>
    <w:rsid w:val="00126436"/>
    <w:rsid w:val="00132DD3"/>
    <w:rsid w:val="001339A5"/>
    <w:rsid w:val="00133D97"/>
    <w:rsid w:val="00140FC1"/>
    <w:rsid w:val="00143349"/>
    <w:rsid w:val="00143353"/>
    <w:rsid w:val="00143E82"/>
    <w:rsid w:val="0014707F"/>
    <w:rsid w:val="0014776D"/>
    <w:rsid w:val="001623B9"/>
    <w:rsid w:val="00172B41"/>
    <w:rsid w:val="001753E2"/>
    <w:rsid w:val="00176C6B"/>
    <w:rsid w:val="00177446"/>
    <w:rsid w:val="00180588"/>
    <w:rsid w:val="00184381"/>
    <w:rsid w:val="0018477C"/>
    <w:rsid w:val="0019268C"/>
    <w:rsid w:val="001947BF"/>
    <w:rsid w:val="0019605B"/>
    <w:rsid w:val="00196751"/>
    <w:rsid w:val="001A40EB"/>
    <w:rsid w:val="001B550F"/>
    <w:rsid w:val="001B5788"/>
    <w:rsid w:val="001B7AE4"/>
    <w:rsid w:val="001C0A45"/>
    <w:rsid w:val="001C2C0E"/>
    <w:rsid w:val="001C36A6"/>
    <w:rsid w:val="001C3B68"/>
    <w:rsid w:val="001D16EB"/>
    <w:rsid w:val="001D4631"/>
    <w:rsid w:val="001D4659"/>
    <w:rsid w:val="001D48D6"/>
    <w:rsid w:val="001E0B6A"/>
    <w:rsid w:val="001E1F68"/>
    <w:rsid w:val="001E482C"/>
    <w:rsid w:val="001E55AC"/>
    <w:rsid w:val="001F0A09"/>
    <w:rsid w:val="001F2143"/>
    <w:rsid w:val="001F2BD2"/>
    <w:rsid w:val="001F6409"/>
    <w:rsid w:val="001F6788"/>
    <w:rsid w:val="0020068B"/>
    <w:rsid w:val="002012CE"/>
    <w:rsid w:val="002016B4"/>
    <w:rsid w:val="002044EC"/>
    <w:rsid w:val="00211D7A"/>
    <w:rsid w:val="00212155"/>
    <w:rsid w:val="002138F5"/>
    <w:rsid w:val="00213E79"/>
    <w:rsid w:val="0021442E"/>
    <w:rsid w:val="00215C12"/>
    <w:rsid w:val="00217405"/>
    <w:rsid w:val="002174A9"/>
    <w:rsid w:val="00217ACF"/>
    <w:rsid w:val="002213AC"/>
    <w:rsid w:val="00222253"/>
    <w:rsid w:val="0022289B"/>
    <w:rsid w:val="00223214"/>
    <w:rsid w:val="00224379"/>
    <w:rsid w:val="00227517"/>
    <w:rsid w:val="00234373"/>
    <w:rsid w:val="00237B4A"/>
    <w:rsid w:val="00242019"/>
    <w:rsid w:val="00242837"/>
    <w:rsid w:val="0024403F"/>
    <w:rsid w:val="00245040"/>
    <w:rsid w:val="0024717E"/>
    <w:rsid w:val="0025177A"/>
    <w:rsid w:val="0025358F"/>
    <w:rsid w:val="00265809"/>
    <w:rsid w:val="00265DC3"/>
    <w:rsid w:val="00266198"/>
    <w:rsid w:val="0027418C"/>
    <w:rsid w:val="00275FA4"/>
    <w:rsid w:val="0027734D"/>
    <w:rsid w:val="0028053B"/>
    <w:rsid w:val="002842E1"/>
    <w:rsid w:val="0028499D"/>
    <w:rsid w:val="002857BA"/>
    <w:rsid w:val="00286A49"/>
    <w:rsid w:val="00286DE2"/>
    <w:rsid w:val="002877B0"/>
    <w:rsid w:val="00290472"/>
    <w:rsid w:val="002928C3"/>
    <w:rsid w:val="00297037"/>
    <w:rsid w:val="00297C28"/>
    <w:rsid w:val="002A0F09"/>
    <w:rsid w:val="002A1702"/>
    <w:rsid w:val="002A3453"/>
    <w:rsid w:val="002A4671"/>
    <w:rsid w:val="002B347C"/>
    <w:rsid w:val="002B57AC"/>
    <w:rsid w:val="002C0ADD"/>
    <w:rsid w:val="002C1016"/>
    <w:rsid w:val="002C212F"/>
    <w:rsid w:val="002D1114"/>
    <w:rsid w:val="002D394B"/>
    <w:rsid w:val="002D3AE6"/>
    <w:rsid w:val="002D60EE"/>
    <w:rsid w:val="002D7260"/>
    <w:rsid w:val="002E16B9"/>
    <w:rsid w:val="002E39A0"/>
    <w:rsid w:val="002E7BB7"/>
    <w:rsid w:val="002F1498"/>
    <w:rsid w:val="002F2A96"/>
    <w:rsid w:val="002F2C59"/>
    <w:rsid w:val="002F4ED7"/>
    <w:rsid w:val="002F79C5"/>
    <w:rsid w:val="003002B8"/>
    <w:rsid w:val="00302100"/>
    <w:rsid w:val="00304204"/>
    <w:rsid w:val="00304930"/>
    <w:rsid w:val="003055B1"/>
    <w:rsid w:val="00305915"/>
    <w:rsid w:val="00306D67"/>
    <w:rsid w:val="003073D5"/>
    <w:rsid w:val="003075F6"/>
    <w:rsid w:val="00310890"/>
    <w:rsid w:val="003111BB"/>
    <w:rsid w:val="0031182D"/>
    <w:rsid w:val="0032295B"/>
    <w:rsid w:val="00322C32"/>
    <w:rsid w:val="00323489"/>
    <w:rsid w:val="003239FC"/>
    <w:rsid w:val="003245BD"/>
    <w:rsid w:val="00326B89"/>
    <w:rsid w:val="003274A8"/>
    <w:rsid w:val="003308A5"/>
    <w:rsid w:val="003308E5"/>
    <w:rsid w:val="00330C82"/>
    <w:rsid w:val="00331044"/>
    <w:rsid w:val="00333270"/>
    <w:rsid w:val="00333B0E"/>
    <w:rsid w:val="00337685"/>
    <w:rsid w:val="00340DF9"/>
    <w:rsid w:val="00341F81"/>
    <w:rsid w:val="0034204D"/>
    <w:rsid w:val="00343040"/>
    <w:rsid w:val="003436D5"/>
    <w:rsid w:val="00345987"/>
    <w:rsid w:val="003508E7"/>
    <w:rsid w:val="00352081"/>
    <w:rsid w:val="00360C5C"/>
    <w:rsid w:val="003641C7"/>
    <w:rsid w:val="00365676"/>
    <w:rsid w:val="0036665A"/>
    <w:rsid w:val="00372867"/>
    <w:rsid w:val="00372F47"/>
    <w:rsid w:val="0037701D"/>
    <w:rsid w:val="00377394"/>
    <w:rsid w:val="00380BE9"/>
    <w:rsid w:val="00384467"/>
    <w:rsid w:val="00385394"/>
    <w:rsid w:val="0039038C"/>
    <w:rsid w:val="003911EB"/>
    <w:rsid w:val="0039303A"/>
    <w:rsid w:val="003946AE"/>
    <w:rsid w:val="00395FD3"/>
    <w:rsid w:val="003A0490"/>
    <w:rsid w:val="003A4AD8"/>
    <w:rsid w:val="003A542E"/>
    <w:rsid w:val="003A7105"/>
    <w:rsid w:val="003B1771"/>
    <w:rsid w:val="003C7CE3"/>
    <w:rsid w:val="003D18FE"/>
    <w:rsid w:val="003D3ED8"/>
    <w:rsid w:val="003D4049"/>
    <w:rsid w:val="003D5128"/>
    <w:rsid w:val="003D56C1"/>
    <w:rsid w:val="003D5724"/>
    <w:rsid w:val="003E10E5"/>
    <w:rsid w:val="003E4152"/>
    <w:rsid w:val="003E4D49"/>
    <w:rsid w:val="003E4F17"/>
    <w:rsid w:val="003E6F0E"/>
    <w:rsid w:val="003E7BFB"/>
    <w:rsid w:val="003F25D8"/>
    <w:rsid w:val="003F3199"/>
    <w:rsid w:val="003F5ECE"/>
    <w:rsid w:val="003F618F"/>
    <w:rsid w:val="003F79C3"/>
    <w:rsid w:val="00403074"/>
    <w:rsid w:val="0040315B"/>
    <w:rsid w:val="00403C97"/>
    <w:rsid w:val="0040752B"/>
    <w:rsid w:val="0041253D"/>
    <w:rsid w:val="004136EB"/>
    <w:rsid w:val="00416C32"/>
    <w:rsid w:val="00424E1B"/>
    <w:rsid w:val="00425228"/>
    <w:rsid w:val="00426209"/>
    <w:rsid w:val="00427AE4"/>
    <w:rsid w:val="00435EC9"/>
    <w:rsid w:val="004367BD"/>
    <w:rsid w:val="00436C46"/>
    <w:rsid w:val="004371C5"/>
    <w:rsid w:val="00445054"/>
    <w:rsid w:val="00447CA6"/>
    <w:rsid w:val="004502CC"/>
    <w:rsid w:val="0045083A"/>
    <w:rsid w:val="004514F4"/>
    <w:rsid w:val="00454432"/>
    <w:rsid w:val="0045487C"/>
    <w:rsid w:val="0045611F"/>
    <w:rsid w:val="00464E9F"/>
    <w:rsid w:val="00465FE3"/>
    <w:rsid w:val="00467115"/>
    <w:rsid w:val="004701C7"/>
    <w:rsid w:val="00471121"/>
    <w:rsid w:val="00471C24"/>
    <w:rsid w:val="00474035"/>
    <w:rsid w:val="0047418E"/>
    <w:rsid w:val="00475155"/>
    <w:rsid w:val="00475CD7"/>
    <w:rsid w:val="00481081"/>
    <w:rsid w:val="00484A70"/>
    <w:rsid w:val="00487B53"/>
    <w:rsid w:val="004914E7"/>
    <w:rsid w:val="00495930"/>
    <w:rsid w:val="00495B84"/>
    <w:rsid w:val="004A0C28"/>
    <w:rsid w:val="004A77AC"/>
    <w:rsid w:val="004B5177"/>
    <w:rsid w:val="004C068A"/>
    <w:rsid w:val="004C180A"/>
    <w:rsid w:val="004C745D"/>
    <w:rsid w:val="004C7469"/>
    <w:rsid w:val="004D2429"/>
    <w:rsid w:val="004D294B"/>
    <w:rsid w:val="004D523D"/>
    <w:rsid w:val="004D5658"/>
    <w:rsid w:val="004D7026"/>
    <w:rsid w:val="004E0114"/>
    <w:rsid w:val="004E0624"/>
    <w:rsid w:val="004E297C"/>
    <w:rsid w:val="004E3265"/>
    <w:rsid w:val="004E69C6"/>
    <w:rsid w:val="004E6C37"/>
    <w:rsid w:val="004F171C"/>
    <w:rsid w:val="004F1C8E"/>
    <w:rsid w:val="004F2FA0"/>
    <w:rsid w:val="004F73CD"/>
    <w:rsid w:val="004F7C4D"/>
    <w:rsid w:val="00501046"/>
    <w:rsid w:val="00501470"/>
    <w:rsid w:val="00505CF8"/>
    <w:rsid w:val="00505E3A"/>
    <w:rsid w:val="00507D58"/>
    <w:rsid w:val="00511D47"/>
    <w:rsid w:val="00515028"/>
    <w:rsid w:val="00517386"/>
    <w:rsid w:val="00521B95"/>
    <w:rsid w:val="00523030"/>
    <w:rsid w:val="0052767C"/>
    <w:rsid w:val="00537120"/>
    <w:rsid w:val="005407EA"/>
    <w:rsid w:val="00540914"/>
    <w:rsid w:val="005414DF"/>
    <w:rsid w:val="00541AA6"/>
    <w:rsid w:val="00541D57"/>
    <w:rsid w:val="00550AAB"/>
    <w:rsid w:val="0055386B"/>
    <w:rsid w:val="00561358"/>
    <w:rsid w:val="00563499"/>
    <w:rsid w:val="005667E2"/>
    <w:rsid w:val="00570612"/>
    <w:rsid w:val="00572053"/>
    <w:rsid w:val="0057281A"/>
    <w:rsid w:val="00583D28"/>
    <w:rsid w:val="005928C3"/>
    <w:rsid w:val="0059305B"/>
    <w:rsid w:val="00593C51"/>
    <w:rsid w:val="00595BA6"/>
    <w:rsid w:val="0059752A"/>
    <w:rsid w:val="005A0797"/>
    <w:rsid w:val="005A2E82"/>
    <w:rsid w:val="005A607D"/>
    <w:rsid w:val="005A6A1B"/>
    <w:rsid w:val="005A73CF"/>
    <w:rsid w:val="005B2DB8"/>
    <w:rsid w:val="005B35B6"/>
    <w:rsid w:val="005B52C3"/>
    <w:rsid w:val="005C166F"/>
    <w:rsid w:val="005C1EE5"/>
    <w:rsid w:val="005C3C97"/>
    <w:rsid w:val="005C3D31"/>
    <w:rsid w:val="005C5C8A"/>
    <w:rsid w:val="005C67E3"/>
    <w:rsid w:val="005C6FAF"/>
    <w:rsid w:val="005D270B"/>
    <w:rsid w:val="005D3037"/>
    <w:rsid w:val="005D6181"/>
    <w:rsid w:val="005D697D"/>
    <w:rsid w:val="005E28CD"/>
    <w:rsid w:val="005E3639"/>
    <w:rsid w:val="005E3C05"/>
    <w:rsid w:val="005E67BE"/>
    <w:rsid w:val="005F21E0"/>
    <w:rsid w:val="005F4C1F"/>
    <w:rsid w:val="005F537B"/>
    <w:rsid w:val="005F573D"/>
    <w:rsid w:val="005F5B23"/>
    <w:rsid w:val="0060045A"/>
    <w:rsid w:val="00600FF3"/>
    <w:rsid w:val="006020AB"/>
    <w:rsid w:val="00607DCB"/>
    <w:rsid w:val="0061091A"/>
    <w:rsid w:val="00614ACA"/>
    <w:rsid w:val="0061785B"/>
    <w:rsid w:val="00617870"/>
    <w:rsid w:val="00617B6E"/>
    <w:rsid w:val="00621849"/>
    <w:rsid w:val="00621A51"/>
    <w:rsid w:val="00623038"/>
    <w:rsid w:val="00631052"/>
    <w:rsid w:val="006354B5"/>
    <w:rsid w:val="006362BA"/>
    <w:rsid w:val="00640154"/>
    <w:rsid w:val="0064021B"/>
    <w:rsid w:val="00644520"/>
    <w:rsid w:val="0064613C"/>
    <w:rsid w:val="00646A4A"/>
    <w:rsid w:val="00646B95"/>
    <w:rsid w:val="00651C6F"/>
    <w:rsid w:val="00655360"/>
    <w:rsid w:val="00660D58"/>
    <w:rsid w:val="0066157B"/>
    <w:rsid w:val="00665C9E"/>
    <w:rsid w:val="00666334"/>
    <w:rsid w:val="006664F9"/>
    <w:rsid w:val="00673E33"/>
    <w:rsid w:val="00681F26"/>
    <w:rsid w:val="0068289D"/>
    <w:rsid w:val="0068358B"/>
    <w:rsid w:val="00690532"/>
    <w:rsid w:val="0069123E"/>
    <w:rsid w:val="00692CFA"/>
    <w:rsid w:val="00693D5B"/>
    <w:rsid w:val="00697D99"/>
    <w:rsid w:val="006A2676"/>
    <w:rsid w:val="006B1759"/>
    <w:rsid w:val="006B182F"/>
    <w:rsid w:val="006B548B"/>
    <w:rsid w:val="006B6985"/>
    <w:rsid w:val="006B7AFA"/>
    <w:rsid w:val="006C22C5"/>
    <w:rsid w:val="006C2B2A"/>
    <w:rsid w:val="006C2C08"/>
    <w:rsid w:val="006C36EC"/>
    <w:rsid w:val="006C45F2"/>
    <w:rsid w:val="006C6969"/>
    <w:rsid w:val="006D0978"/>
    <w:rsid w:val="006D7DDC"/>
    <w:rsid w:val="006E0662"/>
    <w:rsid w:val="006E1075"/>
    <w:rsid w:val="006E2C8D"/>
    <w:rsid w:val="006E4900"/>
    <w:rsid w:val="006F1316"/>
    <w:rsid w:val="006F561C"/>
    <w:rsid w:val="006F5C8F"/>
    <w:rsid w:val="00705EEA"/>
    <w:rsid w:val="0070626D"/>
    <w:rsid w:val="00710098"/>
    <w:rsid w:val="00710794"/>
    <w:rsid w:val="0071095C"/>
    <w:rsid w:val="00710FE8"/>
    <w:rsid w:val="007158AC"/>
    <w:rsid w:val="00721782"/>
    <w:rsid w:val="00723C75"/>
    <w:rsid w:val="00725BC5"/>
    <w:rsid w:val="007279AE"/>
    <w:rsid w:val="007307F7"/>
    <w:rsid w:val="00733F6C"/>
    <w:rsid w:val="00735A9D"/>
    <w:rsid w:val="007422F4"/>
    <w:rsid w:val="0074409A"/>
    <w:rsid w:val="00745A11"/>
    <w:rsid w:val="007473CB"/>
    <w:rsid w:val="00747F4B"/>
    <w:rsid w:val="007512C7"/>
    <w:rsid w:val="007530E4"/>
    <w:rsid w:val="00753F14"/>
    <w:rsid w:val="00754D5E"/>
    <w:rsid w:val="00756C04"/>
    <w:rsid w:val="007607A1"/>
    <w:rsid w:val="0076083D"/>
    <w:rsid w:val="0076109A"/>
    <w:rsid w:val="00762E8D"/>
    <w:rsid w:val="00770846"/>
    <w:rsid w:val="00770925"/>
    <w:rsid w:val="00770B3E"/>
    <w:rsid w:val="00770E15"/>
    <w:rsid w:val="007767A0"/>
    <w:rsid w:val="0078021D"/>
    <w:rsid w:val="007806A8"/>
    <w:rsid w:val="007824E3"/>
    <w:rsid w:val="00786E8C"/>
    <w:rsid w:val="0079554F"/>
    <w:rsid w:val="00795AC8"/>
    <w:rsid w:val="007B0FD0"/>
    <w:rsid w:val="007B3BF3"/>
    <w:rsid w:val="007B4EB9"/>
    <w:rsid w:val="007C0F7F"/>
    <w:rsid w:val="007C1BE3"/>
    <w:rsid w:val="007C2267"/>
    <w:rsid w:val="007C2D32"/>
    <w:rsid w:val="007C3ABE"/>
    <w:rsid w:val="007C4284"/>
    <w:rsid w:val="007D3BD3"/>
    <w:rsid w:val="007D3BD5"/>
    <w:rsid w:val="007D3F37"/>
    <w:rsid w:val="007D4283"/>
    <w:rsid w:val="007D429E"/>
    <w:rsid w:val="007D59D0"/>
    <w:rsid w:val="007E3EB8"/>
    <w:rsid w:val="007F0721"/>
    <w:rsid w:val="007F1365"/>
    <w:rsid w:val="007F2B4B"/>
    <w:rsid w:val="00803A67"/>
    <w:rsid w:val="00803ABD"/>
    <w:rsid w:val="00807F4A"/>
    <w:rsid w:val="00810838"/>
    <w:rsid w:val="00811966"/>
    <w:rsid w:val="00813027"/>
    <w:rsid w:val="008151FF"/>
    <w:rsid w:val="008202E9"/>
    <w:rsid w:val="00820EA3"/>
    <w:rsid w:val="00823863"/>
    <w:rsid w:val="00825F3B"/>
    <w:rsid w:val="008309FB"/>
    <w:rsid w:val="008335D4"/>
    <w:rsid w:val="00833AA1"/>
    <w:rsid w:val="00843223"/>
    <w:rsid w:val="0085001C"/>
    <w:rsid w:val="00852E7C"/>
    <w:rsid w:val="00853AAB"/>
    <w:rsid w:val="00854AA9"/>
    <w:rsid w:val="0085559F"/>
    <w:rsid w:val="0085652B"/>
    <w:rsid w:val="00862E05"/>
    <w:rsid w:val="008646CB"/>
    <w:rsid w:val="00867D14"/>
    <w:rsid w:val="00870BCE"/>
    <w:rsid w:val="008711FC"/>
    <w:rsid w:val="00871F62"/>
    <w:rsid w:val="00880B21"/>
    <w:rsid w:val="0089186B"/>
    <w:rsid w:val="00891F2B"/>
    <w:rsid w:val="00892084"/>
    <w:rsid w:val="008945EA"/>
    <w:rsid w:val="00896F8B"/>
    <w:rsid w:val="00897F5C"/>
    <w:rsid w:val="008A03DC"/>
    <w:rsid w:val="008A49BE"/>
    <w:rsid w:val="008A7042"/>
    <w:rsid w:val="008B021B"/>
    <w:rsid w:val="008B2B15"/>
    <w:rsid w:val="008B4256"/>
    <w:rsid w:val="008B50C7"/>
    <w:rsid w:val="008B50FF"/>
    <w:rsid w:val="008B5AAB"/>
    <w:rsid w:val="008B6C4A"/>
    <w:rsid w:val="008C385E"/>
    <w:rsid w:val="008D0DE4"/>
    <w:rsid w:val="008D11DC"/>
    <w:rsid w:val="008D1272"/>
    <w:rsid w:val="008D38C7"/>
    <w:rsid w:val="008D5E05"/>
    <w:rsid w:val="008D5F79"/>
    <w:rsid w:val="008E2BC6"/>
    <w:rsid w:val="008E4EFE"/>
    <w:rsid w:val="008E540A"/>
    <w:rsid w:val="008E6C97"/>
    <w:rsid w:val="008E7F13"/>
    <w:rsid w:val="008F26B9"/>
    <w:rsid w:val="008F34E5"/>
    <w:rsid w:val="008F4332"/>
    <w:rsid w:val="008F49B2"/>
    <w:rsid w:val="008F752E"/>
    <w:rsid w:val="00900578"/>
    <w:rsid w:val="009037BF"/>
    <w:rsid w:val="00904DD3"/>
    <w:rsid w:val="009055B8"/>
    <w:rsid w:val="009066CD"/>
    <w:rsid w:val="00910F3D"/>
    <w:rsid w:val="00915184"/>
    <w:rsid w:val="00916D25"/>
    <w:rsid w:val="00916D2E"/>
    <w:rsid w:val="00920745"/>
    <w:rsid w:val="00922A2F"/>
    <w:rsid w:val="00922AEC"/>
    <w:rsid w:val="009234D4"/>
    <w:rsid w:val="0092496E"/>
    <w:rsid w:val="00924B09"/>
    <w:rsid w:val="009321E8"/>
    <w:rsid w:val="00932990"/>
    <w:rsid w:val="00935E57"/>
    <w:rsid w:val="00936310"/>
    <w:rsid w:val="009376F7"/>
    <w:rsid w:val="00937B38"/>
    <w:rsid w:val="00940496"/>
    <w:rsid w:val="009416EA"/>
    <w:rsid w:val="00947B28"/>
    <w:rsid w:val="00956DAB"/>
    <w:rsid w:val="00957E8F"/>
    <w:rsid w:val="009611F1"/>
    <w:rsid w:val="00962CA0"/>
    <w:rsid w:val="0096525C"/>
    <w:rsid w:val="00965DF0"/>
    <w:rsid w:val="009663B8"/>
    <w:rsid w:val="00967AB0"/>
    <w:rsid w:val="009714C1"/>
    <w:rsid w:val="00971664"/>
    <w:rsid w:val="00972DE5"/>
    <w:rsid w:val="0097318E"/>
    <w:rsid w:val="009751B5"/>
    <w:rsid w:val="00980179"/>
    <w:rsid w:val="00987538"/>
    <w:rsid w:val="00990C07"/>
    <w:rsid w:val="0099400F"/>
    <w:rsid w:val="009A226D"/>
    <w:rsid w:val="009A261B"/>
    <w:rsid w:val="009B07B3"/>
    <w:rsid w:val="009B1937"/>
    <w:rsid w:val="009C1D5B"/>
    <w:rsid w:val="009C26B0"/>
    <w:rsid w:val="009C3149"/>
    <w:rsid w:val="009C5D01"/>
    <w:rsid w:val="009C7E30"/>
    <w:rsid w:val="009D1A6D"/>
    <w:rsid w:val="009D2AB4"/>
    <w:rsid w:val="009D4188"/>
    <w:rsid w:val="009D4685"/>
    <w:rsid w:val="009D5038"/>
    <w:rsid w:val="009D757F"/>
    <w:rsid w:val="009E0205"/>
    <w:rsid w:val="009E0EAA"/>
    <w:rsid w:val="009E214F"/>
    <w:rsid w:val="009E250D"/>
    <w:rsid w:val="009E36F7"/>
    <w:rsid w:val="009E3CC0"/>
    <w:rsid w:val="009E3DDE"/>
    <w:rsid w:val="009E3E71"/>
    <w:rsid w:val="009E4BC3"/>
    <w:rsid w:val="009F0E64"/>
    <w:rsid w:val="009F32DE"/>
    <w:rsid w:val="009F494F"/>
    <w:rsid w:val="009F69F5"/>
    <w:rsid w:val="00A01829"/>
    <w:rsid w:val="00A021EC"/>
    <w:rsid w:val="00A04637"/>
    <w:rsid w:val="00A04AB6"/>
    <w:rsid w:val="00A04E9B"/>
    <w:rsid w:val="00A06BAF"/>
    <w:rsid w:val="00A102B2"/>
    <w:rsid w:val="00A13374"/>
    <w:rsid w:val="00A143C4"/>
    <w:rsid w:val="00A15344"/>
    <w:rsid w:val="00A153B6"/>
    <w:rsid w:val="00A167E1"/>
    <w:rsid w:val="00A207BA"/>
    <w:rsid w:val="00A2200C"/>
    <w:rsid w:val="00A303EE"/>
    <w:rsid w:val="00A30E0D"/>
    <w:rsid w:val="00A31A5A"/>
    <w:rsid w:val="00A34F59"/>
    <w:rsid w:val="00A4147B"/>
    <w:rsid w:val="00A419A6"/>
    <w:rsid w:val="00A421A4"/>
    <w:rsid w:val="00A429F8"/>
    <w:rsid w:val="00A43880"/>
    <w:rsid w:val="00A447D9"/>
    <w:rsid w:val="00A44D54"/>
    <w:rsid w:val="00A4532E"/>
    <w:rsid w:val="00A461FC"/>
    <w:rsid w:val="00A463FB"/>
    <w:rsid w:val="00A47C13"/>
    <w:rsid w:val="00A532EC"/>
    <w:rsid w:val="00A54FE4"/>
    <w:rsid w:val="00A56507"/>
    <w:rsid w:val="00A60CFA"/>
    <w:rsid w:val="00A64E77"/>
    <w:rsid w:val="00A80A81"/>
    <w:rsid w:val="00A83709"/>
    <w:rsid w:val="00A8773B"/>
    <w:rsid w:val="00A92582"/>
    <w:rsid w:val="00A94DC0"/>
    <w:rsid w:val="00A94E0D"/>
    <w:rsid w:val="00A95492"/>
    <w:rsid w:val="00A97354"/>
    <w:rsid w:val="00AA1A43"/>
    <w:rsid w:val="00AA3FE1"/>
    <w:rsid w:val="00AA721A"/>
    <w:rsid w:val="00AA7377"/>
    <w:rsid w:val="00AB5820"/>
    <w:rsid w:val="00AB5F89"/>
    <w:rsid w:val="00AB6CE7"/>
    <w:rsid w:val="00AB7E95"/>
    <w:rsid w:val="00AC0DE0"/>
    <w:rsid w:val="00AC10F7"/>
    <w:rsid w:val="00AC1DFF"/>
    <w:rsid w:val="00AC1F29"/>
    <w:rsid w:val="00AC3D8F"/>
    <w:rsid w:val="00AC66D6"/>
    <w:rsid w:val="00AD2133"/>
    <w:rsid w:val="00AD35D7"/>
    <w:rsid w:val="00AD4CBF"/>
    <w:rsid w:val="00AD5FB4"/>
    <w:rsid w:val="00AE120C"/>
    <w:rsid w:val="00AE1EBC"/>
    <w:rsid w:val="00AE559C"/>
    <w:rsid w:val="00AE585E"/>
    <w:rsid w:val="00AF04C9"/>
    <w:rsid w:val="00AF3265"/>
    <w:rsid w:val="00AF3984"/>
    <w:rsid w:val="00AF7FDC"/>
    <w:rsid w:val="00B0085E"/>
    <w:rsid w:val="00B01C99"/>
    <w:rsid w:val="00B02505"/>
    <w:rsid w:val="00B07E54"/>
    <w:rsid w:val="00B103E9"/>
    <w:rsid w:val="00B10BF0"/>
    <w:rsid w:val="00B110D4"/>
    <w:rsid w:val="00B11D1B"/>
    <w:rsid w:val="00B12343"/>
    <w:rsid w:val="00B12860"/>
    <w:rsid w:val="00B13F84"/>
    <w:rsid w:val="00B15C84"/>
    <w:rsid w:val="00B22E33"/>
    <w:rsid w:val="00B2492F"/>
    <w:rsid w:val="00B2727C"/>
    <w:rsid w:val="00B3004C"/>
    <w:rsid w:val="00B32C32"/>
    <w:rsid w:val="00B34DE8"/>
    <w:rsid w:val="00B3572D"/>
    <w:rsid w:val="00B411D0"/>
    <w:rsid w:val="00B41CBF"/>
    <w:rsid w:val="00B41FED"/>
    <w:rsid w:val="00B510D7"/>
    <w:rsid w:val="00B528A3"/>
    <w:rsid w:val="00B547AA"/>
    <w:rsid w:val="00B54C32"/>
    <w:rsid w:val="00B559BD"/>
    <w:rsid w:val="00B56BA7"/>
    <w:rsid w:val="00B60BBE"/>
    <w:rsid w:val="00B6120B"/>
    <w:rsid w:val="00B621F0"/>
    <w:rsid w:val="00B622AF"/>
    <w:rsid w:val="00B654F4"/>
    <w:rsid w:val="00B66561"/>
    <w:rsid w:val="00B66DB5"/>
    <w:rsid w:val="00B70229"/>
    <w:rsid w:val="00B714C4"/>
    <w:rsid w:val="00B757AA"/>
    <w:rsid w:val="00B7798A"/>
    <w:rsid w:val="00B80E9C"/>
    <w:rsid w:val="00B81D37"/>
    <w:rsid w:val="00B81FBD"/>
    <w:rsid w:val="00B9239F"/>
    <w:rsid w:val="00B94EAD"/>
    <w:rsid w:val="00B97A9B"/>
    <w:rsid w:val="00BB0045"/>
    <w:rsid w:val="00BB08FC"/>
    <w:rsid w:val="00BB438C"/>
    <w:rsid w:val="00BC0F5E"/>
    <w:rsid w:val="00BC36BC"/>
    <w:rsid w:val="00BC3A40"/>
    <w:rsid w:val="00BC3FC8"/>
    <w:rsid w:val="00BC528E"/>
    <w:rsid w:val="00BC53E9"/>
    <w:rsid w:val="00BC5BB7"/>
    <w:rsid w:val="00BC6023"/>
    <w:rsid w:val="00BC671E"/>
    <w:rsid w:val="00BD1FC7"/>
    <w:rsid w:val="00BD35F0"/>
    <w:rsid w:val="00BE1E1C"/>
    <w:rsid w:val="00BE2442"/>
    <w:rsid w:val="00BE2AFD"/>
    <w:rsid w:val="00BE3E76"/>
    <w:rsid w:val="00BE3F19"/>
    <w:rsid w:val="00BE7D57"/>
    <w:rsid w:val="00BF4B09"/>
    <w:rsid w:val="00BF62B7"/>
    <w:rsid w:val="00C046EE"/>
    <w:rsid w:val="00C04F8B"/>
    <w:rsid w:val="00C05217"/>
    <w:rsid w:val="00C116D7"/>
    <w:rsid w:val="00C13C72"/>
    <w:rsid w:val="00C21FB0"/>
    <w:rsid w:val="00C22FDD"/>
    <w:rsid w:val="00C24C1A"/>
    <w:rsid w:val="00C264A0"/>
    <w:rsid w:val="00C33968"/>
    <w:rsid w:val="00C35424"/>
    <w:rsid w:val="00C4187D"/>
    <w:rsid w:val="00C41949"/>
    <w:rsid w:val="00C42A0C"/>
    <w:rsid w:val="00C44341"/>
    <w:rsid w:val="00C44F38"/>
    <w:rsid w:val="00C47F5C"/>
    <w:rsid w:val="00C554CF"/>
    <w:rsid w:val="00C55633"/>
    <w:rsid w:val="00C7257D"/>
    <w:rsid w:val="00C73520"/>
    <w:rsid w:val="00C74849"/>
    <w:rsid w:val="00C749E8"/>
    <w:rsid w:val="00C761C2"/>
    <w:rsid w:val="00C82EAF"/>
    <w:rsid w:val="00C8446D"/>
    <w:rsid w:val="00C8784F"/>
    <w:rsid w:val="00C9436D"/>
    <w:rsid w:val="00C95F2A"/>
    <w:rsid w:val="00C961ED"/>
    <w:rsid w:val="00C972EC"/>
    <w:rsid w:val="00CA2A33"/>
    <w:rsid w:val="00CA5863"/>
    <w:rsid w:val="00CA671F"/>
    <w:rsid w:val="00CA6F43"/>
    <w:rsid w:val="00CB34AE"/>
    <w:rsid w:val="00CC2B68"/>
    <w:rsid w:val="00CC2CB3"/>
    <w:rsid w:val="00CC3514"/>
    <w:rsid w:val="00CC395E"/>
    <w:rsid w:val="00CC4763"/>
    <w:rsid w:val="00CC72BA"/>
    <w:rsid w:val="00CD1752"/>
    <w:rsid w:val="00CD32F9"/>
    <w:rsid w:val="00CD35C0"/>
    <w:rsid w:val="00CD374C"/>
    <w:rsid w:val="00CD5275"/>
    <w:rsid w:val="00CD52C9"/>
    <w:rsid w:val="00CD5A50"/>
    <w:rsid w:val="00CD615B"/>
    <w:rsid w:val="00CE0183"/>
    <w:rsid w:val="00CE12BF"/>
    <w:rsid w:val="00CE22AA"/>
    <w:rsid w:val="00CE4548"/>
    <w:rsid w:val="00CE46B0"/>
    <w:rsid w:val="00CF1485"/>
    <w:rsid w:val="00CF3E05"/>
    <w:rsid w:val="00CF5AA5"/>
    <w:rsid w:val="00CF64E7"/>
    <w:rsid w:val="00CF674A"/>
    <w:rsid w:val="00CF7D75"/>
    <w:rsid w:val="00D00BFC"/>
    <w:rsid w:val="00D027E1"/>
    <w:rsid w:val="00D035FA"/>
    <w:rsid w:val="00D04B32"/>
    <w:rsid w:val="00D0529C"/>
    <w:rsid w:val="00D0611B"/>
    <w:rsid w:val="00D11508"/>
    <w:rsid w:val="00D117E5"/>
    <w:rsid w:val="00D166C0"/>
    <w:rsid w:val="00D204D1"/>
    <w:rsid w:val="00D2345B"/>
    <w:rsid w:val="00D37990"/>
    <w:rsid w:val="00D41EDC"/>
    <w:rsid w:val="00D43118"/>
    <w:rsid w:val="00D4463E"/>
    <w:rsid w:val="00D44965"/>
    <w:rsid w:val="00D45E6A"/>
    <w:rsid w:val="00D475AA"/>
    <w:rsid w:val="00D50325"/>
    <w:rsid w:val="00D51551"/>
    <w:rsid w:val="00D53FBA"/>
    <w:rsid w:val="00D60962"/>
    <w:rsid w:val="00D60F89"/>
    <w:rsid w:val="00D62191"/>
    <w:rsid w:val="00D63F51"/>
    <w:rsid w:val="00D651D9"/>
    <w:rsid w:val="00D66875"/>
    <w:rsid w:val="00D67084"/>
    <w:rsid w:val="00D7355D"/>
    <w:rsid w:val="00D7492E"/>
    <w:rsid w:val="00D77EDF"/>
    <w:rsid w:val="00D8024A"/>
    <w:rsid w:val="00D817FE"/>
    <w:rsid w:val="00D83B1C"/>
    <w:rsid w:val="00D8423C"/>
    <w:rsid w:val="00D84F40"/>
    <w:rsid w:val="00D859C4"/>
    <w:rsid w:val="00D85F99"/>
    <w:rsid w:val="00D8765A"/>
    <w:rsid w:val="00D876AF"/>
    <w:rsid w:val="00D9092C"/>
    <w:rsid w:val="00D90ABB"/>
    <w:rsid w:val="00DA125C"/>
    <w:rsid w:val="00DA518F"/>
    <w:rsid w:val="00DA5712"/>
    <w:rsid w:val="00DB0032"/>
    <w:rsid w:val="00DB1E60"/>
    <w:rsid w:val="00DB68ED"/>
    <w:rsid w:val="00DB6CFF"/>
    <w:rsid w:val="00DB7671"/>
    <w:rsid w:val="00DC00AA"/>
    <w:rsid w:val="00DC2A38"/>
    <w:rsid w:val="00DC41A7"/>
    <w:rsid w:val="00DC6947"/>
    <w:rsid w:val="00DC6A45"/>
    <w:rsid w:val="00DD1803"/>
    <w:rsid w:val="00DD35B3"/>
    <w:rsid w:val="00DD5275"/>
    <w:rsid w:val="00DD6624"/>
    <w:rsid w:val="00DD6F87"/>
    <w:rsid w:val="00DD79F4"/>
    <w:rsid w:val="00DE0832"/>
    <w:rsid w:val="00DE25E9"/>
    <w:rsid w:val="00DE4CCC"/>
    <w:rsid w:val="00DE7554"/>
    <w:rsid w:val="00DE7870"/>
    <w:rsid w:val="00DF0703"/>
    <w:rsid w:val="00DF217B"/>
    <w:rsid w:val="00DF2C2F"/>
    <w:rsid w:val="00DF4AA2"/>
    <w:rsid w:val="00DF6A41"/>
    <w:rsid w:val="00E04D42"/>
    <w:rsid w:val="00E0532E"/>
    <w:rsid w:val="00E0536B"/>
    <w:rsid w:val="00E1036C"/>
    <w:rsid w:val="00E119EE"/>
    <w:rsid w:val="00E11ABC"/>
    <w:rsid w:val="00E11C88"/>
    <w:rsid w:val="00E13626"/>
    <w:rsid w:val="00E13A1B"/>
    <w:rsid w:val="00E13FA0"/>
    <w:rsid w:val="00E21661"/>
    <w:rsid w:val="00E21CF9"/>
    <w:rsid w:val="00E22D22"/>
    <w:rsid w:val="00E25FD3"/>
    <w:rsid w:val="00E261B4"/>
    <w:rsid w:val="00E33401"/>
    <w:rsid w:val="00E34F01"/>
    <w:rsid w:val="00E377A0"/>
    <w:rsid w:val="00E4366A"/>
    <w:rsid w:val="00E44063"/>
    <w:rsid w:val="00E4407A"/>
    <w:rsid w:val="00E447A7"/>
    <w:rsid w:val="00E536EF"/>
    <w:rsid w:val="00E54EDB"/>
    <w:rsid w:val="00E60BC8"/>
    <w:rsid w:val="00E60BCD"/>
    <w:rsid w:val="00E70852"/>
    <w:rsid w:val="00E72568"/>
    <w:rsid w:val="00E73C86"/>
    <w:rsid w:val="00E74238"/>
    <w:rsid w:val="00E74CC1"/>
    <w:rsid w:val="00E80742"/>
    <w:rsid w:val="00E80774"/>
    <w:rsid w:val="00E84AAB"/>
    <w:rsid w:val="00E87ADD"/>
    <w:rsid w:val="00E93321"/>
    <w:rsid w:val="00E9496E"/>
    <w:rsid w:val="00E95619"/>
    <w:rsid w:val="00EA30C9"/>
    <w:rsid w:val="00EA3C7A"/>
    <w:rsid w:val="00EA562B"/>
    <w:rsid w:val="00EA67E5"/>
    <w:rsid w:val="00EA7AE7"/>
    <w:rsid w:val="00EB0972"/>
    <w:rsid w:val="00EB5044"/>
    <w:rsid w:val="00EB523D"/>
    <w:rsid w:val="00EC2174"/>
    <w:rsid w:val="00EC2465"/>
    <w:rsid w:val="00EC30BA"/>
    <w:rsid w:val="00ED007C"/>
    <w:rsid w:val="00ED1918"/>
    <w:rsid w:val="00EE20CA"/>
    <w:rsid w:val="00EE3FB9"/>
    <w:rsid w:val="00EE59E6"/>
    <w:rsid w:val="00EE70A7"/>
    <w:rsid w:val="00EF0EE5"/>
    <w:rsid w:val="00EF13AD"/>
    <w:rsid w:val="00F02064"/>
    <w:rsid w:val="00F037BC"/>
    <w:rsid w:val="00F04D70"/>
    <w:rsid w:val="00F065E1"/>
    <w:rsid w:val="00F06717"/>
    <w:rsid w:val="00F07222"/>
    <w:rsid w:val="00F11726"/>
    <w:rsid w:val="00F11CA3"/>
    <w:rsid w:val="00F13E7A"/>
    <w:rsid w:val="00F14350"/>
    <w:rsid w:val="00F2127E"/>
    <w:rsid w:val="00F229A6"/>
    <w:rsid w:val="00F2351A"/>
    <w:rsid w:val="00F264C6"/>
    <w:rsid w:val="00F30CE2"/>
    <w:rsid w:val="00F32468"/>
    <w:rsid w:val="00F37699"/>
    <w:rsid w:val="00F3772C"/>
    <w:rsid w:val="00F43657"/>
    <w:rsid w:val="00F43F34"/>
    <w:rsid w:val="00F45821"/>
    <w:rsid w:val="00F46179"/>
    <w:rsid w:val="00F52210"/>
    <w:rsid w:val="00F54419"/>
    <w:rsid w:val="00F55DB1"/>
    <w:rsid w:val="00F57799"/>
    <w:rsid w:val="00F61D92"/>
    <w:rsid w:val="00F63ABD"/>
    <w:rsid w:val="00F6538D"/>
    <w:rsid w:val="00F674C6"/>
    <w:rsid w:val="00F70AAE"/>
    <w:rsid w:val="00F72A1A"/>
    <w:rsid w:val="00F74BEC"/>
    <w:rsid w:val="00F76C08"/>
    <w:rsid w:val="00F772E9"/>
    <w:rsid w:val="00F7748B"/>
    <w:rsid w:val="00F77A8F"/>
    <w:rsid w:val="00F8149B"/>
    <w:rsid w:val="00F82CAF"/>
    <w:rsid w:val="00F82F8D"/>
    <w:rsid w:val="00F877AC"/>
    <w:rsid w:val="00F91B3E"/>
    <w:rsid w:val="00F9369B"/>
    <w:rsid w:val="00F95C56"/>
    <w:rsid w:val="00F96335"/>
    <w:rsid w:val="00FA22DE"/>
    <w:rsid w:val="00FA4554"/>
    <w:rsid w:val="00FA5929"/>
    <w:rsid w:val="00FA5B20"/>
    <w:rsid w:val="00FA78D1"/>
    <w:rsid w:val="00FB0483"/>
    <w:rsid w:val="00FB0B60"/>
    <w:rsid w:val="00FB3454"/>
    <w:rsid w:val="00FB7BAC"/>
    <w:rsid w:val="00FC1873"/>
    <w:rsid w:val="00FC2E1D"/>
    <w:rsid w:val="00FC4F10"/>
    <w:rsid w:val="00FD26CF"/>
    <w:rsid w:val="00FD2B60"/>
    <w:rsid w:val="00FD4A47"/>
    <w:rsid w:val="00FD5686"/>
    <w:rsid w:val="00FE2890"/>
    <w:rsid w:val="00FE44AB"/>
    <w:rsid w:val="00FE6ABE"/>
    <w:rsid w:val="00FF08F7"/>
    <w:rsid w:val="00FF2AF8"/>
    <w:rsid w:val="00FF4B0D"/>
    <w:rsid w:val="00FF4D83"/>
    <w:rsid w:val="00FF585E"/>
    <w:rsid w:val="00FF58B3"/>
    <w:rsid w:val="00FF5EC0"/>
    <w:rsid w:val="00FF6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028DB754-D7BE-494E-9851-523AAF47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41D57"/>
    <w:pPr>
      <w:keepNext/>
      <w:spacing w:after="0" w:line="240" w:lineRule="auto"/>
      <w:ind w:left="360"/>
      <w:jc w:val="both"/>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F264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155"/>
    <w:pPr>
      <w:spacing w:after="0" w:line="240" w:lineRule="auto"/>
      <w:ind w:left="708"/>
    </w:pPr>
    <w:rPr>
      <w:rFonts w:ascii="Times New Roman" w:eastAsia="Times New Roman" w:hAnsi="Times New Roman" w:cs="Times New Roman"/>
      <w:sz w:val="24"/>
      <w:szCs w:val="24"/>
      <w:lang w:val="es-SV" w:eastAsia="es-ES"/>
    </w:rPr>
  </w:style>
  <w:style w:type="table" w:styleId="Tablaconcuadrcula">
    <w:name w:val="Table Grid"/>
    <w:basedOn w:val="Tablanormal"/>
    <w:uiPriority w:val="59"/>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bCs/>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99"/>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spacing w:after="0" w:line="240" w:lineRule="auto"/>
      <w:ind w:left="36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pacing w:line="240" w:lineRule="exact"/>
    </w:pPr>
    <w:rPr>
      <w:rFonts w:ascii="Verdana" w:eastAsia="Times New Roman" w:hAnsi="Verdana" w:cs="Verdana"/>
      <w:sz w:val="20"/>
      <w:szCs w:val="20"/>
      <w:lang w:val="en-US"/>
    </w:rPr>
  </w:style>
  <w:style w:type="paragraph" w:styleId="Encabezado">
    <w:name w:val="header"/>
    <w:basedOn w:val="Normal"/>
    <w:link w:val="EncabezadoCar"/>
    <w:uiPriority w:val="99"/>
    <w:unhideWhenUsed/>
    <w:rsid w:val="00BF4B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pacing w:after="200" w:line="276" w:lineRule="auto"/>
      <w:ind w:left="720"/>
      <w:contextualSpacing/>
    </w:pPr>
    <w:rPr>
      <w:rFonts w:ascii="Calibri" w:eastAsia="Times New Roman" w:hAnsi="Calibri" w:cs="Times New Roman"/>
      <w:lang w:val="es-MX"/>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spacing w:after="0" w:line="240" w:lineRule="auto"/>
      <w:ind w:left="708"/>
    </w:pPr>
    <w:rPr>
      <w:rFonts w:ascii="Tahoma" w:eastAsia="Times New Roman" w:hAnsi="Tahoma"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1009718080">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95587240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1239166720">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473986801">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92679296">
          <w:marLeft w:val="446"/>
          <w:marRight w:val="0"/>
          <w:marTop w:val="0"/>
          <w:marBottom w:val="0"/>
          <w:divBdr>
            <w:top w:val="none" w:sz="0" w:space="0" w:color="auto"/>
            <w:left w:val="none" w:sz="0" w:space="0" w:color="auto"/>
            <w:bottom w:val="none" w:sz="0" w:space="0" w:color="auto"/>
            <w:right w:val="none" w:sz="0" w:space="0" w:color="auto"/>
          </w:divBdr>
        </w:div>
        <w:div w:id="956595351">
          <w:marLeft w:val="446"/>
          <w:marRight w:val="0"/>
          <w:marTop w:val="0"/>
          <w:marBottom w:val="0"/>
          <w:divBdr>
            <w:top w:val="none" w:sz="0" w:space="0" w:color="auto"/>
            <w:left w:val="none" w:sz="0" w:space="0" w:color="auto"/>
            <w:bottom w:val="none" w:sz="0" w:space="0" w:color="auto"/>
            <w:right w:val="none" w:sz="0" w:space="0" w:color="auto"/>
          </w:divBdr>
        </w:div>
      </w:divsChild>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484203684">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70221110">
          <w:marLeft w:val="547"/>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547"/>
          <w:marRight w:val="0"/>
          <w:marTop w:val="91"/>
          <w:marBottom w:val="0"/>
          <w:divBdr>
            <w:top w:val="none" w:sz="0" w:space="0" w:color="auto"/>
            <w:left w:val="none" w:sz="0" w:space="0" w:color="auto"/>
            <w:bottom w:val="none" w:sz="0" w:space="0" w:color="auto"/>
            <w:right w:val="none" w:sz="0" w:space="0" w:color="auto"/>
          </w:divBdr>
        </w:div>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D13C-D6B2-499D-89B3-2371CA32E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2914</Words>
  <Characters>16033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Sandra Rivas</cp:lastModifiedBy>
  <cp:revision>4</cp:revision>
  <cp:lastPrinted>2019-05-30T11:57:00Z</cp:lastPrinted>
  <dcterms:created xsi:type="dcterms:W3CDTF">2019-06-12T19:41:00Z</dcterms:created>
  <dcterms:modified xsi:type="dcterms:W3CDTF">2019-08-22T15:18:00Z</dcterms:modified>
</cp:coreProperties>
</file>