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81F28" w14:textId="77777777" w:rsidR="00366AE8" w:rsidRPr="003737DB" w:rsidRDefault="00366AE8" w:rsidP="00366AE8">
      <w:pPr>
        <w:spacing w:line="360" w:lineRule="auto"/>
        <w:jc w:val="both"/>
        <w:rPr>
          <w:rFonts w:ascii="Arial" w:hAnsi="Arial" w:cs="Arial"/>
          <w:bCs/>
          <w:lang w:val="es-MX"/>
        </w:rPr>
      </w:pPr>
      <w:r w:rsidRPr="003737DB">
        <w:rPr>
          <w:rFonts w:ascii="Arial" w:hAnsi="Arial" w:cs="Arial"/>
          <w:b/>
          <w:lang w:val="es-MX"/>
        </w:rPr>
        <w:t>ACTA NUMERO VEINTIUNO.</w:t>
      </w:r>
      <w:r w:rsidRPr="003737DB">
        <w:rPr>
          <w:rFonts w:ascii="Arial" w:hAnsi="Arial" w:cs="Arial"/>
          <w:lang w:val="es-MX"/>
        </w:rPr>
        <w:t xml:space="preserve">-Sesión ordinaria celebrada por la Municipalidad de Gualococti, Departamento de Morazán a las NUEVE  horas del día SIETE de NOVIEMBRE de dos MIL VEINTIDOS.- Presidida y convocada por el señor Alcalde Municipal Licenciado Rolando Higinio Escobar Pérez, José Mauricio Vásquez Hernández, Síndico Municipal; Carlos Antonio Diaz </w:t>
      </w:r>
      <w:proofErr w:type="spellStart"/>
      <w:r w:rsidRPr="003737DB">
        <w:rPr>
          <w:rFonts w:ascii="Arial" w:hAnsi="Arial" w:cs="Arial"/>
          <w:lang w:val="es-MX"/>
        </w:rPr>
        <w:t>Diaz</w:t>
      </w:r>
      <w:proofErr w:type="spellEnd"/>
      <w:r w:rsidRPr="003737DB">
        <w:rPr>
          <w:rFonts w:ascii="Arial" w:hAnsi="Arial" w:cs="Arial"/>
          <w:lang w:val="es-MX"/>
        </w:rPr>
        <w:t xml:space="preserve">, segundo  Regidor Propietario,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 Juan Francisco Hernández González, segundo Regidor Suplente; Dinora Celina Barahona de Guevara, Tercera Regidora suplente y Carlos Geovany Arriaza Hernández, cuarto Regidor Suplente y la asistencia de la Secretaria Municipal Interina  Ad honorem, Ruth Noemy Gómez de Urbina.</w:t>
      </w:r>
      <w:r w:rsidRPr="003737DB">
        <w:rPr>
          <w:rFonts w:ascii="Arial" w:hAnsi="Arial" w:cs="Arial"/>
        </w:rPr>
        <w:t xml:space="preserve"> habiendo establecido Quórum se da por Abierta la sesión, con la lectura del acta anterior, tomando esta municipalidad los siguientes acuerdos.</w:t>
      </w:r>
      <w:r w:rsidRPr="003737DB">
        <w:rPr>
          <w:rFonts w:ascii="Arial" w:hAnsi="Arial" w:cs="Arial"/>
          <w:b/>
        </w:rPr>
        <w:t xml:space="preserve"> - </w:t>
      </w:r>
      <w:r w:rsidRPr="003737DB">
        <w:rPr>
          <w:rFonts w:ascii="Arial" w:hAnsi="Arial" w:cs="Arial"/>
          <w:lang w:val="es-MX"/>
        </w:rPr>
        <w:t xml:space="preserve"> </w:t>
      </w:r>
      <w:r w:rsidRPr="003737DB">
        <w:rPr>
          <w:rFonts w:ascii="Arial" w:hAnsi="Arial" w:cs="Arial"/>
          <w:b/>
          <w:lang w:val="es-MX"/>
        </w:rPr>
        <w:t xml:space="preserve">ACUERDO NUMERO UNO. </w:t>
      </w:r>
      <w:r w:rsidRPr="003737DB">
        <w:rPr>
          <w:rFonts w:ascii="Arial" w:hAnsi="Arial" w:cs="Arial"/>
          <w:bCs/>
          <w:lang w:val="es-MX"/>
        </w:rPr>
        <w:t xml:space="preserve">El Concejo Municipal en uso de sus facultades legales que le confiere el Código municipal ACUERDA: aprobar la siguiente agenda: Saludo y Bienvenida; establecimiento de quórum, nombramiento de secretaria; revisión de solicitudes ( solicitud de pólvora para iglesia de caserío las Marías sector los Castros, Los Gramales, Carrizalito, 6 docenas C/U; autorización de pagos Varios; priorización  de proyecto de Fiestas Titulares 2022; adjudicación de Carpeta Técnica de Proyectos de Balastado y elaborar y publicar Ordenanza Transitoria de exoneración de multas e intereses.- </w:t>
      </w:r>
      <w:r w:rsidRPr="003737DB">
        <w:rPr>
          <w:rFonts w:ascii="Arial" w:hAnsi="Arial" w:cs="Arial"/>
          <w:b/>
          <w:lang w:val="es-MX"/>
        </w:rPr>
        <w:t xml:space="preserve">ACUERDO NUMERO DOS.-  </w:t>
      </w:r>
      <w:r w:rsidRPr="003737DB">
        <w:rPr>
          <w:rFonts w:ascii="Arial" w:hAnsi="Arial" w:cs="Arial"/>
          <w:bCs/>
          <w:lang w:val="es-MX"/>
        </w:rPr>
        <w:t xml:space="preserve">El Concejo Municipal en uso de las facultades legales que le confiere el articulo </w:t>
      </w:r>
      <w:r w:rsidRPr="003737DB">
        <w:rPr>
          <w:rFonts w:ascii="Arial" w:hAnsi="Arial" w:cs="Arial"/>
          <w:b/>
          <w:lang w:val="es-MX"/>
        </w:rPr>
        <w:t xml:space="preserve">30 </w:t>
      </w:r>
      <w:r w:rsidRPr="003737DB">
        <w:rPr>
          <w:rFonts w:ascii="Arial" w:hAnsi="Arial" w:cs="Arial"/>
          <w:bCs/>
          <w:lang w:val="es-MX"/>
        </w:rPr>
        <w:t xml:space="preserve">numeral </w:t>
      </w:r>
      <w:r w:rsidRPr="003737DB">
        <w:rPr>
          <w:rFonts w:ascii="Arial" w:hAnsi="Arial" w:cs="Arial"/>
          <w:b/>
          <w:lang w:val="es-MX"/>
        </w:rPr>
        <w:t>1</w:t>
      </w:r>
      <w:r w:rsidRPr="003737DB">
        <w:rPr>
          <w:rFonts w:ascii="Arial" w:hAnsi="Arial" w:cs="Arial"/>
          <w:bCs/>
          <w:lang w:val="es-MX"/>
        </w:rPr>
        <w:t xml:space="preserve"> y artículo </w:t>
      </w:r>
      <w:r w:rsidRPr="003737DB">
        <w:rPr>
          <w:rFonts w:ascii="Arial" w:hAnsi="Arial" w:cs="Arial"/>
          <w:b/>
          <w:lang w:val="es-MX"/>
        </w:rPr>
        <w:t xml:space="preserve">34 </w:t>
      </w:r>
      <w:r w:rsidRPr="003737DB">
        <w:rPr>
          <w:rFonts w:ascii="Arial" w:hAnsi="Arial" w:cs="Arial"/>
          <w:bCs/>
          <w:lang w:val="es-MX"/>
        </w:rPr>
        <w:t xml:space="preserve"> del Código Municipal ACUERDA:  NOMBRAR a </w:t>
      </w:r>
      <w:proofErr w:type="spellStart"/>
      <w:r>
        <w:rPr>
          <w:rFonts w:ascii="Arial" w:hAnsi="Arial" w:cs="Arial"/>
          <w:bCs/>
          <w:lang w:val="es-MX"/>
        </w:rPr>
        <w:t>xxxxxxxxxxxxxxxx</w:t>
      </w:r>
      <w:proofErr w:type="spellEnd"/>
      <w:r w:rsidRPr="003737DB">
        <w:rPr>
          <w:rFonts w:ascii="Arial" w:hAnsi="Arial" w:cs="Arial"/>
          <w:bCs/>
          <w:lang w:val="es-MX"/>
        </w:rPr>
        <w:t xml:space="preserve">, de profesión Licenciada, casada, con Documento Único de Identidad homologado Numero </w:t>
      </w:r>
      <w:proofErr w:type="spellStart"/>
      <w:r>
        <w:rPr>
          <w:rFonts w:ascii="Arial" w:hAnsi="Arial" w:cs="Arial"/>
          <w:bCs/>
          <w:lang w:val="es-MX"/>
        </w:rPr>
        <w:t>xxxxxx</w:t>
      </w:r>
      <w:proofErr w:type="spellEnd"/>
      <w:r w:rsidRPr="003737DB">
        <w:rPr>
          <w:rFonts w:ascii="Arial" w:hAnsi="Arial" w:cs="Arial"/>
          <w:bCs/>
          <w:lang w:val="es-MX"/>
        </w:rPr>
        <w:t xml:space="preserve">  en el Cargo de </w:t>
      </w:r>
      <w:proofErr w:type="spellStart"/>
      <w:r>
        <w:rPr>
          <w:rFonts w:ascii="Arial" w:hAnsi="Arial" w:cs="Arial"/>
          <w:b/>
          <w:lang w:val="es-MX"/>
        </w:rPr>
        <w:t>xxxxx</w:t>
      </w:r>
      <w:proofErr w:type="spellEnd"/>
      <w:r w:rsidRPr="003737DB">
        <w:rPr>
          <w:rFonts w:ascii="Arial" w:hAnsi="Arial" w:cs="Arial"/>
          <w:bCs/>
          <w:lang w:val="es-MX"/>
        </w:rPr>
        <w:t xml:space="preserve">, a partir del día ocho de noviembre de dos mil Veintidós.- CERTIFIQUESE Y NOTIFIQUESE.- </w:t>
      </w:r>
      <w:r w:rsidRPr="003737DB">
        <w:rPr>
          <w:rFonts w:ascii="Arial" w:hAnsi="Arial" w:cs="Arial"/>
          <w:b/>
          <w:bCs/>
        </w:rPr>
        <w:t>ACUERDO NUMERO TRES.-</w:t>
      </w:r>
      <w:r w:rsidRPr="003737DB">
        <w:rPr>
          <w:rFonts w:ascii="Arial" w:hAnsi="Arial" w:cs="Arial"/>
        </w:rPr>
        <w:t xml:space="preserve"> Teniendo a la vista la solicitud de la comunidad Católica Divino niño Jesús de Cantón San Lucas  en la cual solicitan 6 docenas de cohetes para  el desarrollo de las actividades del 15 al 24 de noviembre novena  al patrono  y Santa Misa el 24 de noviembre de 2022. El Concejo municipal en uso de las facultades legales que le confiere el </w:t>
      </w:r>
      <w:proofErr w:type="spellStart"/>
      <w:r w:rsidRPr="003737DB">
        <w:rPr>
          <w:rFonts w:ascii="Arial" w:hAnsi="Arial" w:cs="Arial"/>
        </w:rPr>
        <w:t>articulo</w:t>
      </w:r>
      <w:proofErr w:type="spellEnd"/>
      <w:r w:rsidRPr="003737DB">
        <w:rPr>
          <w:rFonts w:ascii="Arial" w:hAnsi="Arial" w:cs="Arial"/>
        </w:rPr>
        <w:t xml:space="preserve"> 30 del Código Municipal y mediante la disposición legal de la nueva Ley FODES y de conformidad al artículo 4 numeral 18, del Código Municipal donde menciona que es competencia de las municipalidades la promoción y organización de ferias y festividades populares, ACUERDA, aprobar y autorizar la compra de 6 docenas </w:t>
      </w:r>
      <w:r w:rsidRPr="003737DB">
        <w:rPr>
          <w:rFonts w:ascii="Arial" w:hAnsi="Arial" w:cs="Arial"/>
        </w:rPr>
        <w:lastRenderedPageBreak/>
        <w:t xml:space="preserve">de  cohetes para las actividades antes mencionadas de la comunidad Divino niño Jesús de Cantón San Lucas, Consecuentemente se autoriza a la UACI, para que realice la orden de compra correspondiente y a la tesorería se autoriza para que haga el pago respectivo con los fondos de la cuenta Fondos Propios.- Certifíquese y notifíquese. – </w:t>
      </w:r>
      <w:r w:rsidRPr="003737DB">
        <w:rPr>
          <w:rFonts w:ascii="Arial" w:hAnsi="Arial" w:cs="Arial"/>
          <w:b/>
          <w:bCs/>
        </w:rPr>
        <w:t xml:space="preserve">ACUERDO NUMERO </w:t>
      </w:r>
      <w:proofErr w:type="gramStart"/>
      <w:r w:rsidRPr="003737DB">
        <w:rPr>
          <w:rFonts w:ascii="Arial" w:hAnsi="Arial" w:cs="Arial"/>
          <w:b/>
          <w:bCs/>
        </w:rPr>
        <w:t>CUATRO.-</w:t>
      </w:r>
      <w:proofErr w:type="gramEnd"/>
      <w:r w:rsidRPr="003737DB">
        <w:rPr>
          <w:rFonts w:ascii="Arial" w:hAnsi="Arial" w:cs="Arial"/>
        </w:rPr>
        <w:t xml:space="preserve"> Teniendo a la vista la solicitud de la comunidad Católica San Andrés Aposto de Caserío los Gramales, Cantón San Lucas  en la cual solicitan 6 docenas de cohetes para  el desarrollo de las actividades del 21 al 30 de noviembre 2022. El Concejo municipal en uso de las facultades legales que le confiere el artículo 30 del Código Municipal y de conformidad al artículo 4 numeral 18, del Código Municipal donde menciona que es competencia de las municipalidades la promoción y organización de ferias y festividades populares, ACUERDA, aprobar y autorizar la compra de 6 docenas de  cohetes para la comunidad San Andrés Apóstol de Caserío los Gramales, Cantón San Lucas, Consecuentemente se autoriza a la UACI, para que realice la orden de compra correspondiente y a la tesorería se autoriza para que haga el pago respectivo con los fondos de la cuenta de Fondos Propios.- Certifíquese y notifíquese. – </w:t>
      </w:r>
      <w:r w:rsidRPr="003737DB">
        <w:rPr>
          <w:rFonts w:ascii="Arial" w:hAnsi="Arial" w:cs="Arial"/>
          <w:b/>
          <w:bCs/>
        </w:rPr>
        <w:t>ACUERDO NUMERO CINCO. -</w:t>
      </w:r>
      <w:r w:rsidRPr="003737DB">
        <w:rPr>
          <w:rFonts w:ascii="Arial" w:hAnsi="Arial" w:cs="Arial"/>
        </w:rPr>
        <w:t xml:space="preserve"> Teniendo a la vista la solicitud de la comunidad Católica reina de la paz de Caserío los las Marías, Cantón la </w:t>
      </w:r>
      <w:proofErr w:type="gramStart"/>
      <w:r w:rsidRPr="003737DB">
        <w:rPr>
          <w:rFonts w:ascii="Arial" w:hAnsi="Arial" w:cs="Arial"/>
        </w:rPr>
        <w:t>Joya  en</w:t>
      </w:r>
      <w:proofErr w:type="gramEnd"/>
      <w:r w:rsidRPr="003737DB">
        <w:rPr>
          <w:rFonts w:ascii="Arial" w:hAnsi="Arial" w:cs="Arial"/>
        </w:rPr>
        <w:t xml:space="preserve"> la cual solicitan 6 docenas de cohetes para  el desarrollo de las actividades del 12 al 21 de noviembre 2022. El Concejo municipal en uso de las facultades legales que le confiere el artículo 30 del Código Municipal y de conformidad al artículo 4 numeral 18, del Código Municipal donde menciona que es competencia de las municipalidades la promoción y organización de ferias y festividades populares, ACUERDA, aprobar y autorizar la compra de 6 docenas de  cohetes para la comunidad Reina de la Paz de caserío las Marías, Cantón la Joya, Consecuentemente se autoriza a la UACI, para que realice la orden de compra correspondiente y a la tesorería se autoriza para que haga el pago respectivo con los fondos de la cuenta Fondos Propios.- Certifíquese y notifíquese. – </w:t>
      </w:r>
      <w:r w:rsidRPr="003737DB">
        <w:rPr>
          <w:rFonts w:ascii="Arial" w:hAnsi="Arial" w:cs="Arial"/>
          <w:b/>
          <w:bCs/>
          <w:lang w:val="es-MX"/>
        </w:rPr>
        <w:t xml:space="preserve">ACUERDO NUMERO SEIS:  </w:t>
      </w:r>
      <w:r w:rsidRPr="003737DB">
        <w:rPr>
          <w:rFonts w:ascii="Arial" w:hAnsi="Arial" w:cs="Arial"/>
          <w:lang w:val="es-MX"/>
        </w:rPr>
        <w:t xml:space="preserve">El Concejo Municipal en cumplimiento al artículo   91   de Código Municipal ACUERDA: Autorizar a la tesorería Municipal para que realice los pagos según detalle siguiente: </w:t>
      </w:r>
    </w:p>
    <w:p w14:paraId="7F80263B" w14:textId="77777777" w:rsidR="00366AE8" w:rsidRPr="003737DB" w:rsidRDefault="00366AE8" w:rsidP="00366AE8">
      <w:pPr>
        <w:spacing w:line="360" w:lineRule="auto"/>
        <w:jc w:val="both"/>
        <w:rPr>
          <w:rFonts w:ascii="Arial" w:hAnsi="Arial" w:cs="Arial"/>
          <w:b/>
          <w:bCs/>
        </w:rPr>
      </w:pPr>
    </w:p>
    <w:tbl>
      <w:tblPr>
        <w:tblStyle w:val="Tablaconcuadrculaclara"/>
        <w:tblW w:w="0" w:type="auto"/>
        <w:tblLook w:val="04A0" w:firstRow="1" w:lastRow="0" w:firstColumn="1" w:lastColumn="0" w:noHBand="0" w:noVBand="1"/>
      </w:tblPr>
      <w:tblGrid>
        <w:gridCol w:w="3534"/>
        <w:gridCol w:w="2407"/>
        <w:gridCol w:w="1083"/>
        <w:gridCol w:w="1470"/>
      </w:tblGrid>
      <w:tr w:rsidR="00366AE8" w:rsidRPr="003737DB" w14:paraId="281FAF7C" w14:textId="77777777" w:rsidTr="00512528">
        <w:tc>
          <w:tcPr>
            <w:tcW w:w="3539" w:type="dxa"/>
          </w:tcPr>
          <w:p w14:paraId="7247AA6E" w14:textId="77777777" w:rsidR="00366AE8" w:rsidRPr="003737DB" w:rsidRDefault="00366AE8" w:rsidP="00512528">
            <w:pPr>
              <w:spacing w:line="360" w:lineRule="auto"/>
              <w:jc w:val="both"/>
              <w:rPr>
                <w:rFonts w:ascii="Arial" w:hAnsi="Arial" w:cs="Arial"/>
                <w:b/>
                <w:bCs/>
              </w:rPr>
            </w:pPr>
            <w:r w:rsidRPr="003737DB">
              <w:rPr>
                <w:rFonts w:ascii="Arial" w:hAnsi="Arial" w:cs="Arial"/>
                <w:b/>
                <w:bCs/>
              </w:rPr>
              <w:t xml:space="preserve">PROVEEDOR </w:t>
            </w:r>
          </w:p>
        </w:tc>
        <w:tc>
          <w:tcPr>
            <w:tcW w:w="2410" w:type="dxa"/>
          </w:tcPr>
          <w:p w14:paraId="426227AF" w14:textId="77777777" w:rsidR="00366AE8" w:rsidRPr="003737DB" w:rsidRDefault="00366AE8" w:rsidP="00512528">
            <w:pPr>
              <w:spacing w:line="360" w:lineRule="auto"/>
              <w:jc w:val="both"/>
              <w:rPr>
                <w:rFonts w:ascii="Arial" w:hAnsi="Arial" w:cs="Arial"/>
                <w:b/>
                <w:bCs/>
              </w:rPr>
            </w:pPr>
            <w:r w:rsidRPr="003737DB">
              <w:rPr>
                <w:rFonts w:ascii="Arial" w:hAnsi="Arial" w:cs="Arial"/>
                <w:b/>
                <w:bCs/>
              </w:rPr>
              <w:t>CONCEPTO</w:t>
            </w:r>
          </w:p>
        </w:tc>
        <w:tc>
          <w:tcPr>
            <w:tcW w:w="899" w:type="dxa"/>
          </w:tcPr>
          <w:p w14:paraId="4A9949CD" w14:textId="77777777" w:rsidR="00366AE8" w:rsidRPr="003737DB" w:rsidRDefault="00366AE8" w:rsidP="00512528">
            <w:pPr>
              <w:spacing w:line="360" w:lineRule="auto"/>
              <w:jc w:val="both"/>
              <w:rPr>
                <w:rFonts w:ascii="Arial" w:hAnsi="Arial" w:cs="Arial"/>
                <w:b/>
                <w:bCs/>
              </w:rPr>
            </w:pPr>
            <w:r w:rsidRPr="003737DB">
              <w:rPr>
                <w:rFonts w:ascii="Arial" w:hAnsi="Arial" w:cs="Arial"/>
                <w:b/>
                <w:bCs/>
              </w:rPr>
              <w:t>FONDO</w:t>
            </w:r>
          </w:p>
        </w:tc>
        <w:tc>
          <w:tcPr>
            <w:tcW w:w="1471" w:type="dxa"/>
          </w:tcPr>
          <w:p w14:paraId="75B12685" w14:textId="77777777" w:rsidR="00366AE8" w:rsidRPr="003737DB" w:rsidRDefault="00366AE8" w:rsidP="00512528">
            <w:pPr>
              <w:spacing w:line="360" w:lineRule="auto"/>
              <w:jc w:val="both"/>
              <w:rPr>
                <w:rFonts w:ascii="Arial" w:hAnsi="Arial" w:cs="Arial"/>
                <w:b/>
                <w:bCs/>
              </w:rPr>
            </w:pPr>
            <w:r w:rsidRPr="003737DB">
              <w:rPr>
                <w:rFonts w:ascii="Arial" w:hAnsi="Arial" w:cs="Arial"/>
                <w:b/>
                <w:bCs/>
              </w:rPr>
              <w:t>MONTO</w:t>
            </w:r>
          </w:p>
        </w:tc>
      </w:tr>
      <w:tr w:rsidR="00366AE8" w:rsidRPr="003737DB" w14:paraId="09B485C9" w14:textId="77777777" w:rsidTr="00512528">
        <w:tc>
          <w:tcPr>
            <w:tcW w:w="3539" w:type="dxa"/>
          </w:tcPr>
          <w:p w14:paraId="629BE290" w14:textId="77777777" w:rsidR="00366AE8" w:rsidRPr="003737DB" w:rsidRDefault="00366AE8" w:rsidP="00512528">
            <w:pPr>
              <w:spacing w:line="360" w:lineRule="auto"/>
              <w:jc w:val="both"/>
              <w:rPr>
                <w:rFonts w:ascii="Arial" w:hAnsi="Arial" w:cs="Arial"/>
              </w:rPr>
            </w:pPr>
            <w:r w:rsidRPr="003737DB">
              <w:rPr>
                <w:rFonts w:ascii="Arial" w:hAnsi="Arial" w:cs="Arial"/>
              </w:rPr>
              <w:lastRenderedPageBreak/>
              <w:t>Trinidad Santos</w:t>
            </w:r>
          </w:p>
        </w:tc>
        <w:tc>
          <w:tcPr>
            <w:tcW w:w="2410" w:type="dxa"/>
          </w:tcPr>
          <w:p w14:paraId="114FA933" w14:textId="77777777" w:rsidR="00366AE8" w:rsidRPr="003737DB" w:rsidRDefault="00366AE8" w:rsidP="00512528">
            <w:pPr>
              <w:spacing w:line="360" w:lineRule="auto"/>
              <w:jc w:val="both"/>
              <w:rPr>
                <w:rFonts w:ascii="Arial" w:hAnsi="Arial" w:cs="Arial"/>
              </w:rPr>
            </w:pPr>
            <w:r w:rsidRPr="003737DB">
              <w:rPr>
                <w:rFonts w:ascii="Arial" w:hAnsi="Arial" w:cs="Arial"/>
              </w:rPr>
              <w:t>Pago por 3 días de chapoda en terreno municipal de Cantón San Lucas, a un costado de la cancha municipal</w:t>
            </w:r>
          </w:p>
        </w:tc>
        <w:tc>
          <w:tcPr>
            <w:tcW w:w="899" w:type="dxa"/>
          </w:tcPr>
          <w:p w14:paraId="381AB8CF" w14:textId="77777777" w:rsidR="00366AE8" w:rsidRPr="003737DB" w:rsidRDefault="00366AE8" w:rsidP="00512528">
            <w:pPr>
              <w:spacing w:line="360" w:lineRule="auto"/>
              <w:jc w:val="both"/>
              <w:rPr>
                <w:rFonts w:ascii="Arial" w:hAnsi="Arial" w:cs="Arial"/>
              </w:rPr>
            </w:pPr>
            <w:r w:rsidRPr="003737DB">
              <w:rPr>
                <w:rFonts w:ascii="Arial" w:hAnsi="Arial" w:cs="Arial"/>
              </w:rPr>
              <w:t>Fondos Propios</w:t>
            </w:r>
          </w:p>
        </w:tc>
        <w:tc>
          <w:tcPr>
            <w:tcW w:w="1471" w:type="dxa"/>
          </w:tcPr>
          <w:p w14:paraId="7430A846" w14:textId="77777777" w:rsidR="00366AE8" w:rsidRPr="003737DB" w:rsidRDefault="00366AE8" w:rsidP="00512528">
            <w:pPr>
              <w:spacing w:line="360" w:lineRule="auto"/>
              <w:jc w:val="both"/>
              <w:rPr>
                <w:rFonts w:ascii="Arial" w:hAnsi="Arial" w:cs="Arial"/>
              </w:rPr>
            </w:pPr>
            <w:r w:rsidRPr="003737DB">
              <w:rPr>
                <w:rFonts w:ascii="Arial" w:hAnsi="Arial" w:cs="Arial"/>
              </w:rPr>
              <w:t>$45.00</w:t>
            </w:r>
          </w:p>
        </w:tc>
      </w:tr>
      <w:tr w:rsidR="00366AE8" w:rsidRPr="003737DB" w14:paraId="792AE108" w14:textId="77777777" w:rsidTr="00512528">
        <w:tc>
          <w:tcPr>
            <w:tcW w:w="3539" w:type="dxa"/>
          </w:tcPr>
          <w:p w14:paraId="6D7D2956" w14:textId="77777777" w:rsidR="00366AE8" w:rsidRPr="003737DB" w:rsidRDefault="00366AE8" w:rsidP="00512528">
            <w:pPr>
              <w:spacing w:line="360" w:lineRule="auto"/>
              <w:jc w:val="both"/>
              <w:rPr>
                <w:rFonts w:ascii="Arial" w:hAnsi="Arial" w:cs="Arial"/>
              </w:rPr>
            </w:pPr>
            <w:r w:rsidRPr="003737DB">
              <w:rPr>
                <w:rFonts w:ascii="Arial" w:hAnsi="Arial" w:cs="Arial"/>
              </w:rPr>
              <w:t>Raque Rivera Flores</w:t>
            </w:r>
          </w:p>
        </w:tc>
        <w:tc>
          <w:tcPr>
            <w:tcW w:w="2410" w:type="dxa"/>
          </w:tcPr>
          <w:p w14:paraId="75A7C6B8" w14:textId="77777777" w:rsidR="00366AE8" w:rsidRPr="003737DB" w:rsidRDefault="00366AE8" w:rsidP="00512528">
            <w:pPr>
              <w:spacing w:line="360" w:lineRule="auto"/>
              <w:jc w:val="both"/>
              <w:rPr>
                <w:rFonts w:ascii="Arial" w:hAnsi="Arial" w:cs="Arial"/>
              </w:rPr>
            </w:pPr>
            <w:r w:rsidRPr="003737DB">
              <w:rPr>
                <w:rFonts w:ascii="Arial" w:hAnsi="Arial" w:cs="Arial"/>
              </w:rPr>
              <w:t>Compra de cohetes</w:t>
            </w:r>
          </w:p>
        </w:tc>
        <w:tc>
          <w:tcPr>
            <w:tcW w:w="899" w:type="dxa"/>
          </w:tcPr>
          <w:p w14:paraId="407F7210" w14:textId="77777777" w:rsidR="00366AE8" w:rsidRPr="003737DB" w:rsidRDefault="00366AE8" w:rsidP="00512528">
            <w:pPr>
              <w:spacing w:line="360" w:lineRule="auto"/>
              <w:jc w:val="both"/>
              <w:rPr>
                <w:rFonts w:ascii="Arial" w:hAnsi="Arial" w:cs="Arial"/>
              </w:rPr>
            </w:pPr>
            <w:r w:rsidRPr="003737DB">
              <w:rPr>
                <w:rFonts w:ascii="Arial" w:hAnsi="Arial" w:cs="Arial"/>
              </w:rPr>
              <w:t>Fondos Propios</w:t>
            </w:r>
          </w:p>
        </w:tc>
        <w:tc>
          <w:tcPr>
            <w:tcW w:w="1471" w:type="dxa"/>
          </w:tcPr>
          <w:p w14:paraId="744794F8" w14:textId="77777777" w:rsidR="00366AE8" w:rsidRPr="003737DB" w:rsidRDefault="00366AE8" w:rsidP="00512528">
            <w:pPr>
              <w:spacing w:line="360" w:lineRule="auto"/>
              <w:jc w:val="both"/>
              <w:rPr>
                <w:rFonts w:ascii="Arial" w:hAnsi="Arial" w:cs="Arial"/>
              </w:rPr>
            </w:pPr>
            <w:r w:rsidRPr="003737DB">
              <w:rPr>
                <w:rFonts w:ascii="Arial" w:hAnsi="Arial" w:cs="Arial"/>
              </w:rPr>
              <w:t>$214.09</w:t>
            </w:r>
          </w:p>
        </w:tc>
      </w:tr>
      <w:tr w:rsidR="00366AE8" w:rsidRPr="003737DB" w14:paraId="44E287C1" w14:textId="77777777" w:rsidTr="00512528">
        <w:tc>
          <w:tcPr>
            <w:tcW w:w="3539" w:type="dxa"/>
          </w:tcPr>
          <w:p w14:paraId="7D07E251" w14:textId="77777777" w:rsidR="00366AE8" w:rsidRPr="003737DB" w:rsidRDefault="00366AE8" w:rsidP="00512528">
            <w:pPr>
              <w:spacing w:line="360" w:lineRule="auto"/>
              <w:jc w:val="both"/>
              <w:rPr>
                <w:rFonts w:ascii="Arial" w:hAnsi="Arial" w:cs="Arial"/>
              </w:rPr>
            </w:pPr>
            <w:r w:rsidRPr="003737DB">
              <w:rPr>
                <w:rFonts w:ascii="Arial" w:hAnsi="Arial" w:cs="Arial"/>
              </w:rPr>
              <w:t>Ana Eduviges Gómez de Méndez</w:t>
            </w:r>
          </w:p>
        </w:tc>
        <w:tc>
          <w:tcPr>
            <w:tcW w:w="2410" w:type="dxa"/>
          </w:tcPr>
          <w:p w14:paraId="32824BB7" w14:textId="77777777" w:rsidR="00366AE8" w:rsidRPr="003737DB" w:rsidRDefault="00366AE8" w:rsidP="00512528">
            <w:pPr>
              <w:spacing w:line="360" w:lineRule="auto"/>
              <w:jc w:val="both"/>
              <w:rPr>
                <w:rFonts w:ascii="Arial" w:hAnsi="Arial" w:cs="Arial"/>
              </w:rPr>
            </w:pPr>
            <w:r w:rsidRPr="003737DB">
              <w:rPr>
                <w:rFonts w:ascii="Arial" w:hAnsi="Arial" w:cs="Arial"/>
              </w:rPr>
              <w:t xml:space="preserve">Compra de almuerzos </w:t>
            </w:r>
          </w:p>
        </w:tc>
        <w:tc>
          <w:tcPr>
            <w:tcW w:w="899" w:type="dxa"/>
          </w:tcPr>
          <w:p w14:paraId="4B9F82EC" w14:textId="77777777" w:rsidR="00366AE8" w:rsidRPr="003737DB" w:rsidRDefault="00366AE8" w:rsidP="00512528">
            <w:pPr>
              <w:spacing w:line="360" w:lineRule="auto"/>
              <w:jc w:val="both"/>
              <w:rPr>
                <w:rFonts w:ascii="Arial" w:hAnsi="Arial" w:cs="Arial"/>
              </w:rPr>
            </w:pPr>
            <w:r w:rsidRPr="003737DB">
              <w:rPr>
                <w:rFonts w:ascii="Arial" w:hAnsi="Arial" w:cs="Arial"/>
              </w:rPr>
              <w:t>Fondos Propios</w:t>
            </w:r>
          </w:p>
        </w:tc>
        <w:tc>
          <w:tcPr>
            <w:tcW w:w="1471" w:type="dxa"/>
          </w:tcPr>
          <w:p w14:paraId="416E7099" w14:textId="77777777" w:rsidR="00366AE8" w:rsidRPr="003737DB" w:rsidRDefault="00366AE8" w:rsidP="00512528">
            <w:pPr>
              <w:spacing w:line="360" w:lineRule="auto"/>
              <w:jc w:val="both"/>
              <w:rPr>
                <w:rFonts w:ascii="Arial" w:hAnsi="Arial" w:cs="Arial"/>
              </w:rPr>
            </w:pPr>
            <w:r w:rsidRPr="003737DB">
              <w:rPr>
                <w:rFonts w:ascii="Arial" w:hAnsi="Arial" w:cs="Arial"/>
              </w:rPr>
              <w:t>$29.25</w:t>
            </w:r>
          </w:p>
        </w:tc>
      </w:tr>
      <w:tr w:rsidR="00366AE8" w:rsidRPr="003737DB" w14:paraId="3134CD98" w14:textId="77777777" w:rsidTr="00512528">
        <w:tc>
          <w:tcPr>
            <w:tcW w:w="3539" w:type="dxa"/>
          </w:tcPr>
          <w:p w14:paraId="417EDFB7" w14:textId="77777777" w:rsidR="00366AE8" w:rsidRPr="003737DB" w:rsidRDefault="00366AE8" w:rsidP="00512528">
            <w:pPr>
              <w:spacing w:line="360" w:lineRule="auto"/>
              <w:jc w:val="both"/>
              <w:rPr>
                <w:rFonts w:ascii="Arial" w:hAnsi="Arial" w:cs="Arial"/>
              </w:rPr>
            </w:pPr>
            <w:proofErr w:type="spellStart"/>
            <w:r w:rsidRPr="003737DB">
              <w:rPr>
                <w:rFonts w:ascii="Arial" w:hAnsi="Arial" w:cs="Arial"/>
              </w:rPr>
              <w:t>Mayflo</w:t>
            </w:r>
            <w:proofErr w:type="spellEnd"/>
            <w:r w:rsidRPr="003737DB">
              <w:rPr>
                <w:rFonts w:ascii="Arial" w:hAnsi="Arial" w:cs="Arial"/>
              </w:rPr>
              <w:t xml:space="preserve"> S.A de </w:t>
            </w:r>
            <w:proofErr w:type="gramStart"/>
            <w:r w:rsidRPr="003737DB">
              <w:rPr>
                <w:rFonts w:ascii="Arial" w:hAnsi="Arial" w:cs="Arial"/>
              </w:rPr>
              <w:t>C.V</w:t>
            </w:r>
            <w:proofErr w:type="gramEnd"/>
          </w:p>
        </w:tc>
        <w:tc>
          <w:tcPr>
            <w:tcW w:w="2410" w:type="dxa"/>
          </w:tcPr>
          <w:p w14:paraId="3B5938D6" w14:textId="77777777" w:rsidR="00366AE8" w:rsidRPr="003737DB" w:rsidRDefault="00366AE8" w:rsidP="00512528">
            <w:pPr>
              <w:spacing w:line="360" w:lineRule="auto"/>
              <w:jc w:val="both"/>
              <w:rPr>
                <w:rFonts w:ascii="Arial" w:hAnsi="Arial" w:cs="Arial"/>
              </w:rPr>
            </w:pPr>
            <w:r w:rsidRPr="003737DB">
              <w:rPr>
                <w:rFonts w:ascii="Arial" w:hAnsi="Arial" w:cs="Arial"/>
              </w:rPr>
              <w:t>Pago por reparación de copiadora Konica Minolta</w:t>
            </w:r>
          </w:p>
        </w:tc>
        <w:tc>
          <w:tcPr>
            <w:tcW w:w="899" w:type="dxa"/>
          </w:tcPr>
          <w:p w14:paraId="68E63CE9" w14:textId="77777777" w:rsidR="00366AE8" w:rsidRPr="003737DB" w:rsidRDefault="00366AE8" w:rsidP="00512528">
            <w:pPr>
              <w:spacing w:line="360" w:lineRule="auto"/>
              <w:jc w:val="both"/>
              <w:rPr>
                <w:rFonts w:ascii="Arial" w:hAnsi="Arial" w:cs="Arial"/>
              </w:rPr>
            </w:pPr>
            <w:r w:rsidRPr="003737DB">
              <w:rPr>
                <w:rFonts w:ascii="Arial" w:hAnsi="Arial" w:cs="Arial"/>
              </w:rPr>
              <w:t>Fondos Propios</w:t>
            </w:r>
          </w:p>
        </w:tc>
        <w:tc>
          <w:tcPr>
            <w:tcW w:w="1471" w:type="dxa"/>
          </w:tcPr>
          <w:p w14:paraId="63BBA84F" w14:textId="77777777" w:rsidR="00366AE8" w:rsidRPr="003737DB" w:rsidRDefault="00366AE8" w:rsidP="00512528">
            <w:pPr>
              <w:spacing w:line="360" w:lineRule="auto"/>
              <w:jc w:val="both"/>
              <w:rPr>
                <w:rFonts w:ascii="Arial" w:hAnsi="Arial" w:cs="Arial"/>
              </w:rPr>
            </w:pPr>
            <w:r w:rsidRPr="003737DB">
              <w:rPr>
                <w:rFonts w:ascii="Arial" w:hAnsi="Arial" w:cs="Arial"/>
              </w:rPr>
              <w:t>$80.00</w:t>
            </w:r>
          </w:p>
        </w:tc>
      </w:tr>
      <w:tr w:rsidR="00366AE8" w:rsidRPr="003737DB" w14:paraId="12BB957A" w14:textId="77777777" w:rsidTr="00512528">
        <w:tc>
          <w:tcPr>
            <w:tcW w:w="3539" w:type="dxa"/>
          </w:tcPr>
          <w:p w14:paraId="51C01377" w14:textId="77777777" w:rsidR="00366AE8" w:rsidRPr="003737DB" w:rsidRDefault="00366AE8" w:rsidP="00512528">
            <w:pPr>
              <w:spacing w:line="360" w:lineRule="auto"/>
              <w:jc w:val="both"/>
              <w:rPr>
                <w:rFonts w:ascii="Arial" w:hAnsi="Arial" w:cs="Arial"/>
              </w:rPr>
            </w:pPr>
            <w:r w:rsidRPr="003737DB">
              <w:rPr>
                <w:rFonts w:ascii="Arial" w:hAnsi="Arial" w:cs="Arial"/>
              </w:rPr>
              <w:t>Ernesto Antonio Núñez Sánchez</w:t>
            </w:r>
          </w:p>
        </w:tc>
        <w:tc>
          <w:tcPr>
            <w:tcW w:w="2410" w:type="dxa"/>
          </w:tcPr>
          <w:p w14:paraId="50B78E80" w14:textId="77777777" w:rsidR="00366AE8" w:rsidRPr="003737DB" w:rsidRDefault="00366AE8" w:rsidP="00512528">
            <w:pPr>
              <w:spacing w:line="360" w:lineRule="auto"/>
              <w:jc w:val="both"/>
              <w:rPr>
                <w:rFonts w:ascii="Arial" w:hAnsi="Arial" w:cs="Arial"/>
              </w:rPr>
            </w:pPr>
            <w:r w:rsidRPr="003737DB">
              <w:rPr>
                <w:rFonts w:ascii="Arial" w:hAnsi="Arial" w:cs="Arial"/>
              </w:rPr>
              <w:t xml:space="preserve">Pago por la compra de un ataúd económico para el fallecido Arnoldo de Jesús Amaya </w:t>
            </w:r>
            <w:proofErr w:type="spellStart"/>
            <w:r w:rsidRPr="003737DB">
              <w:rPr>
                <w:rFonts w:ascii="Arial" w:hAnsi="Arial" w:cs="Arial"/>
              </w:rPr>
              <w:t>Gonzalez</w:t>
            </w:r>
            <w:proofErr w:type="spellEnd"/>
          </w:p>
        </w:tc>
        <w:tc>
          <w:tcPr>
            <w:tcW w:w="899" w:type="dxa"/>
          </w:tcPr>
          <w:p w14:paraId="2CE2AF46" w14:textId="77777777" w:rsidR="00366AE8" w:rsidRPr="003737DB" w:rsidRDefault="00366AE8" w:rsidP="00512528">
            <w:pPr>
              <w:spacing w:line="360" w:lineRule="auto"/>
              <w:jc w:val="both"/>
              <w:rPr>
                <w:rFonts w:ascii="Arial" w:hAnsi="Arial" w:cs="Arial"/>
              </w:rPr>
            </w:pPr>
            <w:r w:rsidRPr="003737DB">
              <w:rPr>
                <w:rFonts w:ascii="Arial" w:hAnsi="Arial" w:cs="Arial"/>
              </w:rPr>
              <w:t>Fondos Propios</w:t>
            </w:r>
          </w:p>
        </w:tc>
        <w:tc>
          <w:tcPr>
            <w:tcW w:w="1471" w:type="dxa"/>
          </w:tcPr>
          <w:p w14:paraId="0F6AE40E" w14:textId="77777777" w:rsidR="00366AE8" w:rsidRPr="003737DB" w:rsidRDefault="00366AE8" w:rsidP="00512528">
            <w:pPr>
              <w:spacing w:line="360" w:lineRule="auto"/>
              <w:jc w:val="both"/>
              <w:rPr>
                <w:rFonts w:ascii="Arial" w:hAnsi="Arial" w:cs="Arial"/>
              </w:rPr>
            </w:pPr>
            <w:r w:rsidRPr="003737DB">
              <w:rPr>
                <w:rFonts w:ascii="Arial" w:hAnsi="Arial" w:cs="Arial"/>
              </w:rPr>
              <w:t>$150.00</w:t>
            </w:r>
          </w:p>
        </w:tc>
      </w:tr>
      <w:tr w:rsidR="00366AE8" w:rsidRPr="003737DB" w14:paraId="55BAAC3D" w14:textId="77777777" w:rsidTr="00512528">
        <w:tc>
          <w:tcPr>
            <w:tcW w:w="3539" w:type="dxa"/>
          </w:tcPr>
          <w:p w14:paraId="41621920" w14:textId="77777777" w:rsidR="00366AE8" w:rsidRPr="003737DB" w:rsidRDefault="00366AE8" w:rsidP="00512528">
            <w:pPr>
              <w:spacing w:line="360" w:lineRule="auto"/>
              <w:jc w:val="both"/>
              <w:rPr>
                <w:rFonts w:ascii="Arial" w:hAnsi="Arial" w:cs="Arial"/>
              </w:rPr>
            </w:pPr>
            <w:r w:rsidRPr="003737DB">
              <w:rPr>
                <w:rFonts w:ascii="Arial" w:hAnsi="Arial" w:cs="Arial"/>
              </w:rPr>
              <w:t>El buen Rodaje</w:t>
            </w:r>
          </w:p>
        </w:tc>
        <w:tc>
          <w:tcPr>
            <w:tcW w:w="2410" w:type="dxa"/>
          </w:tcPr>
          <w:p w14:paraId="6B6AB61E" w14:textId="77777777" w:rsidR="00366AE8" w:rsidRPr="003737DB" w:rsidRDefault="00366AE8" w:rsidP="00512528">
            <w:pPr>
              <w:spacing w:line="360" w:lineRule="auto"/>
              <w:jc w:val="both"/>
              <w:rPr>
                <w:rFonts w:ascii="Arial" w:hAnsi="Arial" w:cs="Arial"/>
              </w:rPr>
            </w:pPr>
            <w:r w:rsidRPr="003737DB">
              <w:rPr>
                <w:rFonts w:ascii="Arial" w:hAnsi="Arial" w:cs="Arial"/>
              </w:rPr>
              <w:t>Compra de 4 llantas y 1 set de balero punta de flecha trasera</w:t>
            </w:r>
          </w:p>
        </w:tc>
        <w:tc>
          <w:tcPr>
            <w:tcW w:w="899" w:type="dxa"/>
          </w:tcPr>
          <w:p w14:paraId="77D98066" w14:textId="77777777" w:rsidR="00366AE8" w:rsidRPr="003737DB" w:rsidRDefault="00366AE8" w:rsidP="00512528">
            <w:pPr>
              <w:spacing w:line="360" w:lineRule="auto"/>
              <w:jc w:val="both"/>
              <w:rPr>
                <w:rFonts w:ascii="Arial" w:hAnsi="Arial" w:cs="Arial"/>
              </w:rPr>
            </w:pPr>
            <w:r w:rsidRPr="003737DB">
              <w:rPr>
                <w:rFonts w:ascii="Arial" w:hAnsi="Arial" w:cs="Arial"/>
              </w:rPr>
              <w:t>Fondos Propios</w:t>
            </w:r>
          </w:p>
        </w:tc>
        <w:tc>
          <w:tcPr>
            <w:tcW w:w="1471" w:type="dxa"/>
          </w:tcPr>
          <w:p w14:paraId="6E1FD1A5" w14:textId="77777777" w:rsidR="00366AE8" w:rsidRPr="003737DB" w:rsidRDefault="00366AE8" w:rsidP="00512528">
            <w:pPr>
              <w:spacing w:line="360" w:lineRule="auto"/>
              <w:jc w:val="both"/>
              <w:rPr>
                <w:rFonts w:ascii="Arial" w:hAnsi="Arial" w:cs="Arial"/>
              </w:rPr>
            </w:pPr>
            <w:r w:rsidRPr="003737DB">
              <w:rPr>
                <w:rFonts w:ascii="Arial" w:hAnsi="Arial" w:cs="Arial"/>
              </w:rPr>
              <w:t>$749.81</w:t>
            </w:r>
          </w:p>
        </w:tc>
      </w:tr>
      <w:tr w:rsidR="00366AE8" w:rsidRPr="003737DB" w14:paraId="6C654F0B" w14:textId="77777777" w:rsidTr="00512528">
        <w:tc>
          <w:tcPr>
            <w:tcW w:w="3539" w:type="dxa"/>
          </w:tcPr>
          <w:p w14:paraId="756E7F64" w14:textId="77777777" w:rsidR="00366AE8" w:rsidRPr="003737DB" w:rsidRDefault="00366AE8" w:rsidP="00512528">
            <w:pPr>
              <w:spacing w:line="360" w:lineRule="auto"/>
              <w:jc w:val="both"/>
              <w:rPr>
                <w:rFonts w:ascii="Arial" w:hAnsi="Arial" w:cs="Arial"/>
              </w:rPr>
            </w:pPr>
            <w:r w:rsidRPr="003737DB">
              <w:rPr>
                <w:rFonts w:ascii="Arial" w:hAnsi="Arial" w:cs="Arial"/>
              </w:rPr>
              <w:t xml:space="preserve">El buen Rodaje </w:t>
            </w:r>
          </w:p>
        </w:tc>
        <w:tc>
          <w:tcPr>
            <w:tcW w:w="2410" w:type="dxa"/>
          </w:tcPr>
          <w:p w14:paraId="2B1A1A5D" w14:textId="77777777" w:rsidR="00366AE8" w:rsidRPr="003737DB" w:rsidRDefault="00366AE8" w:rsidP="00512528">
            <w:pPr>
              <w:spacing w:line="360" w:lineRule="auto"/>
              <w:jc w:val="both"/>
              <w:rPr>
                <w:rFonts w:ascii="Arial" w:hAnsi="Arial" w:cs="Arial"/>
              </w:rPr>
            </w:pPr>
            <w:r w:rsidRPr="003737DB">
              <w:rPr>
                <w:rFonts w:ascii="Arial" w:hAnsi="Arial" w:cs="Arial"/>
              </w:rPr>
              <w:t>Pago de un rectificado de punta de flecha trasera</w:t>
            </w:r>
          </w:p>
        </w:tc>
        <w:tc>
          <w:tcPr>
            <w:tcW w:w="899" w:type="dxa"/>
          </w:tcPr>
          <w:p w14:paraId="23721F27" w14:textId="77777777" w:rsidR="00366AE8" w:rsidRPr="003737DB" w:rsidRDefault="00366AE8" w:rsidP="00512528">
            <w:pPr>
              <w:spacing w:line="360" w:lineRule="auto"/>
              <w:jc w:val="both"/>
              <w:rPr>
                <w:rFonts w:ascii="Arial" w:hAnsi="Arial" w:cs="Arial"/>
              </w:rPr>
            </w:pPr>
            <w:r w:rsidRPr="003737DB">
              <w:rPr>
                <w:rFonts w:ascii="Arial" w:hAnsi="Arial" w:cs="Arial"/>
              </w:rPr>
              <w:t>Fondos Propios</w:t>
            </w:r>
          </w:p>
        </w:tc>
        <w:tc>
          <w:tcPr>
            <w:tcW w:w="1471" w:type="dxa"/>
          </w:tcPr>
          <w:p w14:paraId="6C21EBF0" w14:textId="77777777" w:rsidR="00366AE8" w:rsidRPr="003737DB" w:rsidRDefault="00366AE8" w:rsidP="00512528">
            <w:pPr>
              <w:spacing w:line="360" w:lineRule="auto"/>
              <w:jc w:val="both"/>
              <w:rPr>
                <w:rFonts w:ascii="Arial" w:hAnsi="Arial" w:cs="Arial"/>
              </w:rPr>
            </w:pPr>
            <w:r w:rsidRPr="003737DB">
              <w:rPr>
                <w:rFonts w:ascii="Arial" w:hAnsi="Arial" w:cs="Arial"/>
              </w:rPr>
              <w:t>$261.50</w:t>
            </w:r>
          </w:p>
        </w:tc>
      </w:tr>
    </w:tbl>
    <w:p w14:paraId="059658C1" w14:textId="77777777" w:rsidR="00366AE8" w:rsidRPr="003737DB" w:rsidRDefault="00366AE8" w:rsidP="00366AE8">
      <w:pPr>
        <w:spacing w:line="360" w:lineRule="auto"/>
        <w:jc w:val="both"/>
        <w:rPr>
          <w:rFonts w:ascii="Arial" w:hAnsi="Arial" w:cs="Arial"/>
          <w:bCs/>
        </w:rPr>
      </w:pPr>
      <w:r w:rsidRPr="003737DB">
        <w:rPr>
          <w:rFonts w:ascii="Arial" w:hAnsi="Arial" w:cs="Arial"/>
          <w:bCs/>
        </w:rPr>
        <w:t xml:space="preserve">Certifíquese y notifíquese. – para el pago de </w:t>
      </w:r>
      <w:proofErr w:type="spellStart"/>
      <w:r w:rsidRPr="003737DB">
        <w:rPr>
          <w:rFonts w:ascii="Arial" w:hAnsi="Arial" w:cs="Arial"/>
          <w:bCs/>
        </w:rPr>
        <w:t>Mayflo</w:t>
      </w:r>
      <w:proofErr w:type="spellEnd"/>
      <w:r w:rsidRPr="003737DB">
        <w:rPr>
          <w:rFonts w:ascii="Arial" w:hAnsi="Arial" w:cs="Arial"/>
          <w:bCs/>
        </w:rPr>
        <w:t xml:space="preserve"> S.A de C.V y  El buen rodaje, salva el voto el señor Carlos Antonio Diaz </w:t>
      </w:r>
      <w:proofErr w:type="spellStart"/>
      <w:r w:rsidRPr="003737DB">
        <w:rPr>
          <w:rFonts w:ascii="Arial" w:hAnsi="Arial" w:cs="Arial"/>
          <w:bCs/>
        </w:rPr>
        <w:t>Diaz</w:t>
      </w:r>
      <w:proofErr w:type="spellEnd"/>
      <w:r w:rsidRPr="003737DB">
        <w:rPr>
          <w:rFonts w:ascii="Arial" w:hAnsi="Arial" w:cs="Arial"/>
          <w:bCs/>
        </w:rPr>
        <w:t xml:space="preserve">, segundo Regidor Propietario,  de conformidad al </w:t>
      </w:r>
      <w:proofErr w:type="spellStart"/>
      <w:r w:rsidRPr="003737DB">
        <w:rPr>
          <w:rFonts w:ascii="Arial" w:hAnsi="Arial" w:cs="Arial"/>
          <w:bCs/>
        </w:rPr>
        <w:t>articulo</w:t>
      </w:r>
      <w:proofErr w:type="spellEnd"/>
      <w:r w:rsidRPr="003737DB">
        <w:rPr>
          <w:rFonts w:ascii="Arial" w:hAnsi="Arial" w:cs="Arial"/>
          <w:bCs/>
        </w:rPr>
        <w:t xml:space="preserve"> 45 del Código Municipal.-</w:t>
      </w:r>
      <w:r w:rsidRPr="003737DB">
        <w:rPr>
          <w:rFonts w:ascii="Arial" w:hAnsi="Arial" w:cs="Arial"/>
          <w:b/>
          <w:bCs/>
        </w:rPr>
        <w:t>ACUERDO NUMERO SIETE.-</w:t>
      </w:r>
      <w:r w:rsidRPr="003737DB">
        <w:rPr>
          <w:rFonts w:ascii="Arial" w:hAnsi="Arial" w:cs="Arial"/>
        </w:rPr>
        <w:t xml:space="preserve"> Con el propósito de Celebrar nuestras Fiestas Titulares en honor a la Virgen de Santa Lucia, y apoyar las actividades religiosas, educativas, deportivas y sociales que coinciden en nuestra celebración titular, disponemos mediante la formulación del perfil, para describir y establecer un presupuesto que reúna las </w:t>
      </w:r>
      <w:r w:rsidRPr="003737DB">
        <w:rPr>
          <w:rFonts w:ascii="Arial" w:hAnsi="Arial" w:cs="Arial"/>
        </w:rPr>
        <w:lastRenderedPageBreak/>
        <w:t>diferentes actividades a realizar en el Área Urbana  de nuestro Municipio de Gualococti, Departamento de Morazán utilizando fondos PROPIOS Y PARA COMPLEMENTAR SE TOMARAN FONDOS DE LIBRE DISPONIBILIDAD, del cual ya se dispone mediante la nueva Ley FODES  y de conformidad al artículo cuatro numeral dieciocho, del Código Municipal donde menciona que es competencia de las municipalidades la promoción y organización de ferias y festividades populares.- En razón a lo expuesto el Concejo Municipal en uso de las facultades legales que le confiere el artículo 30 del código municipal  por unanimidad ACUERDA: Priorizar el Proyecto de Fiestas Titulares 2022, en honor a la Virgen de Santa Lucia; así, mismo se ordena a la UACI, para que elabore el perfil Denominado: “</w:t>
      </w:r>
      <w:r w:rsidRPr="003737DB">
        <w:rPr>
          <w:rFonts w:ascii="Arial" w:hAnsi="Arial" w:cs="Arial"/>
          <w:b/>
          <w:bCs/>
        </w:rPr>
        <w:t xml:space="preserve">Celebración de Fiestas Titulares en Honor a la Virgen de Santa Lucia 2022”, </w:t>
      </w:r>
      <w:r w:rsidRPr="003737DB">
        <w:rPr>
          <w:rFonts w:ascii="Arial" w:hAnsi="Arial" w:cs="Arial"/>
        </w:rPr>
        <w:t xml:space="preserve">tomando en consideración el monto presupuestado, Certifíquese y notifíquese.- </w:t>
      </w:r>
      <w:r w:rsidRPr="003737DB">
        <w:rPr>
          <w:rFonts w:ascii="Arial" w:hAnsi="Arial" w:cs="Arial"/>
          <w:b/>
          <w:bCs/>
        </w:rPr>
        <w:t xml:space="preserve">ACUERDO NUMERO OCHO.- </w:t>
      </w:r>
      <w:bookmarkStart w:id="0" w:name="_Hlk119662852"/>
      <w:r w:rsidRPr="003737DB">
        <w:rPr>
          <w:rFonts w:ascii="Arial" w:hAnsi="Arial" w:cs="Arial"/>
        </w:rPr>
        <w:t xml:space="preserve">El Concejo Municipal en uso de las facultades legales que le confiere el art. 30 numeral 9 del Código Municipal ACUERDA: adjudicar la Formulación de Carpeta Técnica para el proyecto de: </w:t>
      </w:r>
      <w:r w:rsidRPr="003737DB">
        <w:rPr>
          <w:rFonts w:ascii="Arial" w:hAnsi="Arial" w:cs="Arial"/>
          <w:b/>
          <w:bCs/>
        </w:rPr>
        <w:t>“MANTENIMIENTO DE LAS CALLES NO PAVIMENTADAS DEL MUNICIPIO DE GUALOCOCTI, DEPARTAMENTO DE MORAZAN</w:t>
      </w:r>
      <w:r w:rsidRPr="003737DB">
        <w:rPr>
          <w:rFonts w:ascii="Arial" w:hAnsi="Arial" w:cs="Arial"/>
        </w:rPr>
        <w:t xml:space="preserve"> “a la empresa </w:t>
      </w:r>
      <w:proofErr w:type="spellStart"/>
      <w:r>
        <w:rPr>
          <w:rFonts w:ascii="Arial" w:hAnsi="Arial" w:cs="Arial"/>
          <w:b/>
          <w:bCs/>
        </w:rPr>
        <w:t>xxxxxx</w:t>
      </w:r>
      <w:proofErr w:type="spellEnd"/>
      <w:r w:rsidRPr="003737DB">
        <w:rPr>
          <w:rFonts w:ascii="Arial" w:hAnsi="Arial" w:cs="Arial"/>
        </w:rPr>
        <w:t xml:space="preserve"> con un porcentaje del 4% sobre el monto total del proyecto. Así, mismo se le ordena a la UACI, realizar el proceso que establece la LACAP. Además se autoriza a la tesorería hacer el pago respectivo una vez finalice el proceso que realice la UACI, con los fondos de la </w:t>
      </w:r>
      <w:proofErr w:type="gramStart"/>
      <w:r w:rsidRPr="003737DB">
        <w:rPr>
          <w:rFonts w:ascii="Arial" w:hAnsi="Arial" w:cs="Arial"/>
        </w:rPr>
        <w:t>cuenta  FODES</w:t>
      </w:r>
      <w:proofErr w:type="gramEnd"/>
      <w:r w:rsidRPr="003737DB">
        <w:rPr>
          <w:rFonts w:ascii="Arial" w:hAnsi="Arial" w:cs="Arial"/>
        </w:rPr>
        <w:t xml:space="preserve"> LIBRE DISPONIBILIDAD.- Certifíquese y notifíquese.-</w:t>
      </w:r>
      <w:bookmarkEnd w:id="0"/>
      <w:r w:rsidRPr="003737DB">
        <w:rPr>
          <w:rFonts w:ascii="Arial" w:hAnsi="Arial" w:cs="Arial"/>
          <w:b/>
        </w:rPr>
        <w:t xml:space="preserve">ACUERDO NUMERO NUEVE. - </w:t>
      </w:r>
      <w:r w:rsidRPr="003737DB">
        <w:rPr>
          <w:rFonts w:ascii="Arial" w:hAnsi="Arial" w:cs="Arial"/>
        </w:rPr>
        <w:t xml:space="preserve">EL CONCEJO MUNICIPAL DE GUALOCOCTI, DEPARTAMENTO DE MORAZAN, </w:t>
      </w:r>
    </w:p>
    <w:p w14:paraId="73D78C0C" w14:textId="77777777" w:rsidR="00366AE8" w:rsidRPr="003737DB" w:rsidRDefault="00366AE8" w:rsidP="00366AE8">
      <w:pPr>
        <w:spacing w:line="360" w:lineRule="auto"/>
        <w:jc w:val="both"/>
        <w:rPr>
          <w:rFonts w:ascii="Arial" w:hAnsi="Arial" w:cs="Arial"/>
        </w:rPr>
      </w:pPr>
      <w:r w:rsidRPr="003737DB">
        <w:rPr>
          <w:rFonts w:ascii="Arial" w:hAnsi="Arial" w:cs="Arial"/>
        </w:rPr>
        <w:t>CONSIDERANDO:</w:t>
      </w:r>
    </w:p>
    <w:p w14:paraId="2F24A172" w14:textId="77777777" w:rsidR="00366AE8" w:rsidRPr="003737DB" w:rsidRDefault="00366AE8" w:rsidP="00366AE8">
      <w:pPr>
        <w:spacing w:line="360" w:lineRule="auto"/>
        <w:jc w:val="both"/>
        <w:rPr>
          <w:rFonts w:ascii="Arial" w:hAnsi="Arial" w:cs="Arial"/>
        </w:rPr>
      </w:pPr>
    </w:p>
    <w:p w14:paraId="2B525A46" w14:textId="77777777" w:rsidR="00366AE8" w:rsidRPr="003737DB" w:rsidRDefault="00366AE8" w:rsidP="00366AE8">
      <w:pPr>
        <w:numPr>
          <w:ilvl w:val="0"/>
          <w:numId w:val="1"/>
        </w:numPr>
        <w:spacing w:after="160" w:line="360" w:lineRule="auto"/>
        <w:jc w:val="both"/>
        <w:rPr>
          <w:rFonts w:ascii="Arial" w:hAnsi="Arial" w:cs="Arial"/>
        </w:rPr>
      </w:pPr>
      <w:r w:rsidRPr="003737DB">
        <w:rPr>
          <w:rFonts w:ascii="Arial" w:hAnsi="Arial" w:cs="Arial"/>
        </w:rPr>
        <w:t>Que es urgente que el Gobierno Municipal de la Villa de Gualococti, incremente sus ingresos mediante el cobro de las tasas, con el fin de mantener la prestación de los servicios, el bienestar social la seguridad económica de sus habitantes.</w:t>
      </w:r>
    </w:p>
    <w:p w14:paraId="115DEA54" w14:textId="77777777" w:rsidR="00366AE8" w:rsidRPr="003737DB" w:rsidRDefault="00366AE8" w:rsidP="00366AE8">
      <w:pPr>
        <w:numPr>
          <w:ilvl w:val="0"/>
          <w:numId w:val="1"/>
        </w:numPr>
        <w:spacing w:after="160" w:line="360" w:lineRule="auto"/>
        <w:jc w:val="both"/>
        <w:rPr>
          <w:rFonts w:ascii="Arial" w:hAnsi="Arial" w:cs="Arial"/>
        </w:rPr>
      </w:pPr>
      <w:r w:rsidRPr="003737DB">
        <w:rPr>
          <w:rFonts w:ascii="Arial" w:hAnsi="Arial" w:cs="Arial"/>
        </w:rPr>
        <w:t>Que es necesario que el gobierno municipal promueva en los contribuyentes una cultura de pago de los tributos para disminuir el índice de morosidad existente.</w:t>
      </w:r>
    </w:p>
    <w:p w14:paraId="5AF34326" w14:textId="77777777" w:rsidR="00366AE8" w:rsidRPr="003737DB" w:rsidRDefault="00366AE8" w:rsidP="00366AE8">
      <w:pPr>
        <w:numPr>
          <w:ilvl w:val="0"/>
          <w:numId w:val="1"/>
        </w:numPr>
        <w:spacing w:after="160" w:line="360" w:lineRule="auto"/>
        <w:jc w:val="both"/>
        <w:rPr>
          <w:rFonts w:ascii="Arial" w:hAnsi="Arial" w:cs="Arial"/>
        </w:rPr>
      </w:pPr>
      <w:r w:rsidRPr="003737DB">
        <w:rPr>
          <w:rFonts w:ascii="Arial" w:hAnsi="Arial" w:cs="Arial"/>
        </w:rPr>
        <w:lastRenderedPageBreak/>
        <w:t>Que, con el propósito de facilitar el pago de la mora tributaria a favor del municipio, es conveniente otorgar incentivos tributarios con carácter transitorio que estimulen a los contribuyentes el pago de sus deudas tributarias municipales.</w:t>
      </w:r>
    </w:p>
    <w:p w14:paraId="4163F035" w14:textId="77777777" w:rsidR="00366AE8" w:rsidRPr="003737DB" w:rsidRDefault="00366AE8" w:rsidP="00366AE8">
      <w:pPr>
        <w:numPr>
          <w:ilvl w:val="0"/>
          <w:numId w:val="1"/>
        </w:numPr>
        <w:spacing w:after="160" w:line="360" w:lineRule="auto"/>
        <w:jc w:val="both"/>
        <w:rPr>
          <w:rFonts w:ascii="Arial" w:hAnsi="Arial" w:cs="Arial"/>
        </w:rPr>
      </w:pPr>
      <w:r w:rsidRPr="003737DB">
        <w:rPr>
          <w:rFonts w:ascii="Arial" w:hAnsi="Arial" w:cs="Arial"/>
        </w:rPr>
        <w:t>Que al no existir en la constitución de la república ni en la legislación secundaria prohibición alguna para perdonar o dispensar el pago de intereses o accesorios a la obligación principal, en tanto que la dispensa de intereses moratorios y multas por omitir el pago pretende beneficiar a los contribuyentes morosos y lograr una mayor recaudación, es procedente conceder los beneficios de una ordenanza.</w:t>
      </w:r>
    </w:p>
    <w:p w14:paraId="3202EE35" w14:textId="77777777" w:rsidR="00366AE8" w:rsidRPr="003737DB" w:rsidRDefault="00366AE8" w:rsidP="00366AE8">
      <w:pPr>
        <w:numPr>
          <w:ilvl w:val="0"/>
          <w:numId w:val="1"/>
        </w:numPr>
        <w:spacing w:after="160" w:line="360" w:lineRule="auto"/>
        <w:jc w:val="both"/>
        <w:rPr>
          <w:rFonts w:ascii="Arial" w:hAnsi="Arial" w:cs="Arial"/>
        </w:rPr>
      </w:pPr>
      <w:r w:rsidRPr="003737DB">
        <w:rPr>
          <w:rFonts w:ascii="Arial" w:hAnsi="Arial" w:cs="Arial"/>
        </w:rPr>
        <w:t xml:space="preserve">Que en vista de las afectaciones que ha ocasionado la pandemia por COVID 19 en relación al pago de tasas por servicios. - </w:t>
      </w:r>
    </w:p>
    <w:p w14:paraId="35792FA3" w14:textId="77777777" w:rsidR="00366AE8" w:rsidRPr="003737DB" w:rsidRDefault="00366AE8" w:rsidP="00366AE8">
      <w:pPr>
        <w:numPr>
          <w:ilvl w:val="0"/>
          <w:numId w:val="1"/>
        </w:numPr>
        <w:spacing w:after="160" w:line="360" w:lineRule="auto"/>
        <w:jc w:val="both"/>
        <w:rPr>
          <w:rFonts w:ascii="Arial" w:hAnsi="Arial" w:cs="Arial"/>
        </w:rPr>
      </w:pPr>
      <w:r w:rsidRPr="003737DB">
        <w:rPr>
          <w:rFonts w:ascii="Arial" w:hAnsi="Arial" w:cs="Arial"/>
        </w:rPr>
        <w:t>Que de conformidad a los artículos 203 y 204 ordinal 5° de la constitución de la república; artículos 3,13,30 y 32 del código municipal, los municipios son autónomos en lo económico, en lo técnico y regularan de su competencia por medio de ordenanza municipal.</w:t>
      </w:r>
    </w:p>
    <w:p w14:paraId="05254587"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POR TANTO: </w:t>
      </w:r>
    </w:p>
    <w:p w14:paraId="01E90032"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En uso de sus facultades constitucionales y legales, </w:t>
      </w:r>
    </w:p>
    <w:p w14:paraId="62B941D3"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DECRETA la siguiente: </w:t>
      </w:r>
    </w:p>
    <w:p w14:paraId="781F1651" w14:textId="77777777" w:rsidR="00366AE8" w:rsidRPr="003737DB" w:rsidRDefault="00366AE8" w:rsidP="00366AE8">
      <w:pPr>
        <w:spacing w:line="360" w:lineRule="auto"/>
        <w:jc w:val="both"/>
        <w:rPr>
          <w:rFonts w:ascii="Arial" w:hAnsi="Arial" w:cs="Arial"/>
        </w:rPr>
      </w:pPr>
      <w:r w:rsidRPr="003737DB">
        <w:rPr>
          <w:rFonts w:ascii="Arial" w:hAnsi="Arial" w:cs="Arial"/>
          <w:b/>
        </w:rPr>
        <w:t xml:space="preserve">ORDENANZA TRANSITORIA DE EXONERACION DE MULTAS E INTERESES PROVENIENTES DE DEUDAS POR TASAS A FAVOR DEL MUNICIPIO DE GUALOCOCTI, DEPARTAMENTO DE MORAZAN. Según Decreto </w:t>
      </w:r>
      <w:proofErr w:type="spellStart"/>
      <w:r w:rsidRPr="003737DB">
        <w:rPr>
          <w:rFonts w:ascii="Arial" w:hAnsi="Arial" w:cs="Arial"/>
          <w:b/>
        </w:rPr>
        <w:t>numero</w:t>
      </w:r>
      <w:proofErr w:type="spellEnd"/>
      <w:r w:rsidRPr="003737DB">
        <w:rPr>
          <w:rFonts w:ascii="Arial" w:hAnsi="Arial" w:cs="Arial"/>
          <w:b/>
        </w:rPr>
        <w:t xml:space="preserve"> DOS del año dos mil veintidós. - </w:t>
      </w:r>
      <w:proofErr w:type="gramStart"/>
      <w:r w:rsidRPr="003737DB">
        <w:rPr>
          <w:rFonts w:ascii="Arial" w:hAnsi="Arial" w:cs="Arial"/>
          <w:b/>
        </w:rPr>
        <w:t>Publíquese.-</w:t>
      </w:r>
      <w:proofErr w:type="gramEnd"/>
      <w:r w:rsidRPr="003737DB">
        <w:rPr>
          <w:rFonts w:ascii="Arial" w:hAnsi="Arial" w:cs="Arial"/>
        </w:rPr>
        <w:t xml:space="preserve"> Y no habiendo más que hacer constar firmamos la presente acta. –</w:t>
      </w:r>
    </w:p>
    <w:p w14:paraId="5BA80A06" w14:textId="77777777" w:rsidR="00366AE8" w:rsidRPr="003737DB" w:rsidRDefault="00366AE8" w:rsidP="00366AE8">
      <w:pPr>
        <w:spacing w:line="360" w:lineRule="auto"/>
        <w:jc w:val="both"/>
        <w:rPr>
          <w:rFonts w:ascii="Arial" w:hAnsi="Arial" w:cs="Arial"/>
        </w:rPr>
      </w:pPr>
    </w:p>
    <w:p w14:paraId="589577E6" w14:textId="77777777" w:rsidR="00366AE8" w:rsidRPr="003737DB" w:rsidRDefault="00366AE8" w:rsidP="00366AE8">
      <w:pPr>
        <w:spacing w:line="360" w:lineRule="auto"/>
        <w:jc w:val="both"/>
        <w:rPr>
          <w:rFonts w:ascii="Arial" w:hAnsi="Arial" w:cs="Arial"/>
        </w:rPr>
      </w:pPr>
    </w:p>
    <w:p w14:paraId="792585B9"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Rolando Higinio Escobar Pérez </w:t>
      </w:r>
      <w:r w:rsidRPr="003737DB">
        <w:rPr>
          <w:rFonts w:ascii="Arial" w:hAnsi="Arial" w:cs="Arial"/>
        </w:rPr>
        <w:tab/>
      </w:r>
      <w:r w:rsidRPr="003737DB">
        <w:rPr>
          <w:rFonts w:ascii="Arial" w:hAnsi="Arial" w:cs="Arial"/>
        </w:rPr>
        <w:tab/>
        <w:t xml:space="preserve">             José Mauricio Vásquez Hernández</w:t>
      </w:r>
    </w:p>
    <w:p w14:paraId="2F87FBE0"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0ED688FC" w14:textId="77777777" w:rsidR="00366AE8" w:rsidRPr="003737DB" w:rsidRDefault="00366AE8" w:rsidP="00366AE8">
      <w:pPr>
        <w:spacing w:line="360" w:lineRule="auto"/>
        <w:jc w:val="both"/>
        <w:rPr>
          <w:rFonts w:ascii="Arial" w:hAnsi="Arial" w:cs="Arial"/>
        </w:rPr>
      </w:pPr>
    </w:p>
    <w:p w14:paraId="5751DF65" w14:textId="77777777" w:rsidR="00366AE8" w:rsidRPr="003737DB" w:rsidRDefault="00366AE8" w:rsidP="00366AE8">
      <w:pPr>
        <w:spacing w:line="360" w:lineRule="auto"/>
        <w:jc w:val="both"/>
        <w:rPr>
          <w:rFonts w:ascii="Arial" w:hAnsi="Arial" w:cs="Arial"/>
        </w:rPr>
      </w:pPr>
    </w:p>
    <w:p w14:paraId="7AF41A34" w14:textId="77777777" w:rsidR="00366AE8" w:rsidRPr="003737DB" w:rsidRDefault="00366AE8" w:rsidP="00366AE8">
      <w:pPr>
        <w:spacing w:line="360" w:lineRule="auto"/>
        <w:jc w:val="both"/>
        <w:rPr>
          <w:rFonts w:ascii="Arial" w:hAnsi="Arial" w:cs="Arial"/>
        </w:rPr>
      </w:pPr>
    </w:p>
    <w:p w14:paraId="019E280B" w14:textId="77777777" w:rsidR="00366AE8" w:rsidRPr="003737DB" w:rsidRDefault="00366AE8" w:rsidP="00366AE8">
      <w:pPr>
        <w:spacing w:line="360" w:lineRule="auto"/>
        <w:jc w:val="both"/>
        <w:rPr>
          <w:rFonts w:ascii="Arial" w:hAnsi="Arial" w:cs="Arial"/>
        </w:rPr>
      </w:pPr>
      <w:r w:rsidRPr="003737DB">
        <w:rPr>
          <w:rFonts w:ascii="Arial" w:hAnsi="Arial" w:cs="Arial"/>
        </w:rPr>
        <w:lastRenderedPageBreak/>
        <w:t xml:space="preserve"> Carlos Antonio Diaz </w:t>
      </w:r>
      <w:proofErr w:type="spellStart"/>
      <w:r w:rsidRPr="003737DB">
        <w:rPr>
          <w:rFonts w:ascii="Arial" w:hAnsi="Arial" w:cs="Arial"/>
        </w:rPr>
        <w:t>Diaz</w:t>
      </w:r>
      <w:proofErr w:type="spellEnd"/>
      <w:r w:rsidRPr="003737DB">
        <w:rPr>
          <w:rFonts w:ascii="Arial" w:hAnsi="Arial" w:cs="Arial"/>
        </w:rPr>
        <w:t xml:space="preserve">                                     Francisco </w:t>
      </w:r>
      <w:proofErr w:type="spellStart"/>
      <w:r w:rsidRPr="003737DB">
        <w:rPr>
          <w:rFonts w:ascii="Arial" w:hAnsi="Arial" w:cs="Arial"/>
        </w:rPr>
        <w:t>Javiel</w:t>
      </w:r>
      <w:proofErr w:type="spellEnd"/>
      <w:r w:rsidRPr="003737DB">
        <w:rPr>
          <w:rFonts w:ascii="Arial" w:hAnsi="Arial" w:cs="Arial"/>
        </w:rPr>
        <w:t xml:space="preserve"> Cruz Ulloa                                                  </w:t>
      </w:r>
    </w:p>
    <w:p w14:paraId="2B72D7E2"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Segundo Regidor Propietario                                   Primer Regidor suplente                                              </w:t>
      </w:r>
    </w:p>
    <w:p w14:paraId="6FD0C12E" w14:textId="77777777" w:rsidR="00366AE8" w:rsidRPr="003737DB" w:rsidRDefault="00366AE8" w:rsidP="00366AE8">
      <w:pPr>
        <w:spacing w:line="360" w:lineRule="auto"/>
        <w:jc w:val="both"/>
        <w:rPr>
          <w:rFonts w:ascii="Arial" w:hAnsi="Arial" w:cs="Arial"/>
        </w:rPr>
      </w:pPr>
    </w:p>
    <w:p w14:paraId="36900360" w14:textId="77777777" w:rsidR="00366AE8" w:rsidRPr="003737DB" w:rsidRDefault="00366AE8" w:rsidP="00366AE8">
      <w:pPr>
        <w:spacing w:line="360" w:lineRule="auto"/>
        <w:jc w:val="both"/>
        <w:rPr>
          <w:rFonts w:ascii="Arial" w:hAnsi="Arial" w:cs="Arial"/>
        </w:rPr>
      </w:pPr>
    </w:p>
    <w:p w14:paraId="4DDE4D45" w14:textId="77777777" w:rsidR="00366AE8" w:rsidRPr="003737DB" w:rsidRDefault="00366AE8" w:rsidP="00366AE8">
      <w:pPr>
        <w:spacing w:line="360" w:lineRule="auto"/>
        <w:jc w:val="both"/>
        <w:rPr>
          <w:rFonts w:ascii="Arial" w:hAnsi="Arial" w:cs="Arial"/>
        </w:rPr>
      </w:pPr>
    </w:p>
    <w:p w14:paraId="64473046" w14:textId="77777777" w:rsidR="00366AE8" w:rsidRPr="003737DB" w:rsidRDefault="00366AE8" w:rsidP="00366AE8">
      <w:pPr>
        <w:spacing w:line="360" w:lineRule="auto"/>
        <w:jc w:val="both"/>
        <w:rPr>
          <w:rFonts w:ascii="Arial" w:hAnsi="Arial" w:cs="Arial"/>
        </w:rPr>
      </w:pP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p>
    <w:p w14:paraId="1A13CFF7"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  Juan Francisco Hernández                     Dinora Celina Barahona de Guevara</w:t>
      </w:r>
    </w:p>
    <w:p w14:paraId="051DE4BE" w14:textId="77777777" w:rsidR="00366AE8" w:rsidRPr="003737DB" w:rsidRDefault="00366AE8" w:rsidP="00366AE8">
      <w:pPr>
        <w:spacing w:line="360" w:lineRule="auto"/>
        <w:jc w:val="both"/>
        <w:rPr>
          <w:rFonts w:ascii="Arial" w:hAnsi="Arial" w:cs="Arial"/>
        </w:rPr>
      </w:pPr>
      <w:r w:rsidRPr="003737DB">
        <w:rPr>
          <w:rFonts w:ascii="Arial" w:hAnsi="Arial" w:cs="Arial"/>
        </w:rPr>
        <w:t xml:space="preserve">  Segundo Regidor Suplente. –                       Tercera Regidora Suplente</w:t>
      </w:r>
    </w:p>
    <w:p w14:paraId="66DCEE5D" w14:textId="77777777" w:rsidR="00366AE8" w:rsidRPr="003737DB" w:rsidRDefault="00366AE8" w:rsidP="00366AE8">
      <w:pPr>
        <w:spacing w:line="360" w:lineRule="auto"/>
        <w:jc w:val="both"/>
        <w:rPr>
          <w:rFonts w:ascii="Arial" w:hAnsi="Arial" w:cs="Arial"/>
        </w:rPr>
      </w:pPr>
    </w:p>
    <w:p w14:paraId="44B15F78" w14:textId="77777777" w:rsidR="00366AE8" w:rsidRPr="003737DB" w:rsidRDefault="00366AE8" w:rsidP="00366AE8">
      <w:pPr>
        <w:spacing w:line="360" w:lineRule="auto"/>
        <w:jc w:val="both"/>
        <w:rPr>
          <w:rFonts w:ascii="Arial" w:hAnsi="Arial" w:cs="Arial"/>
        </w:rPr>
      </w:pPr>
    </w:p>
    <w:p w14:paraId="63A857D5" w14:textId="77777777" w:rsidR="00366AE8" w:rsidRPr="003737DB" w:rsidRDefault="00366AE8" w:rsidP="00366AE8">
      <w:pPr>
        <w:spacing w:line="360" w:lineRule="auto"/>
        <w:jc w:val="both"/>
        <w:rPr>
          <w:rFonts w:ascii="Arial" w:hAnsi="Arial" w:cs="Arial"/>
        </w:rPr>
      </w:pPr>
    </w:p>
    <w:p w14:paraId="4C3E6D08" w14:textId="77777777" w:rsidR="00366AE8" w:rsidRPr="003737DB" w:rsidRDefault="00366AE8" w:rsidP="00366AE8">
      <w:pPr>
        <w:spacing w:line="360" w:lineRule="auto"/>
        <w:jc w:val="both"/>
        <w:rPr>
          <w:rFonts w:ascii="Arial" w:hAnsi="Arial" w:cs="Arial"/>
        </w:rPr>
      </w:pPr>
    </w:p>
    <w:p w14:paraId="11E99FE7" w14:textId="77777777" w:rsidR="00366AE8" w:rsidRPr="003737DB" w:rsidRDefault="00366AE8" w:rsidP="00366AE8">
      <w:pPr>
        <w:spacing w:line="360" w:lineRule="auto"/>
        <w:jc w:val="both"/>
        <w:rPr>
          <w:rFonts w:ascii="Arial" w:hAnsi="Arial" w:cs="Arial"/>
        </w:rPr>
      </w:pPr>
    </w:p>
    <w:p w14:paraId="4AA82C25" w14:textId="4B75D935" w:rsidR="00366AE8" w:rsidRPr="003737DB" w:rsidRDefault="00366AE8" w:rsidP="00366AE8">
      <w:pPr>
        <w:spacing w:line="360" w:lineRule="auto"/>
        <w:rPr>
          <w:rFonts w:ascii="Arial" w:hAnsi="Arial" w:cs="Arial"/>
        </w:rPr>
      </w:pPr>
      <w:r w:rsidRPr="003737DB">
        <w:rPr>
          <w:rFonts w:ascii="Arial" w:hAnsi="Arial" w:cs="Arial"/>
        </w:rPr>
        <w:t>Carlos Geovany Arriaza Hernández                 Ruth   Noemy Gómez de Urbina</w:t>
      </w:r>
    </w:p>
    <w:p w14:paraId="30B26F5E" w14:textId="5AB74F6D" w:rsidR="00366AE8" w:rsidRPr="003737DB" w:rsidRDefault="00366AE8" w:rsidP="00366AE8">
      <w:pPr>
        <w:spacing w:line="360" w:lineRule="auto"/>
        <w:jc w:val="both"/>
        <w:rPr>
          <w:rFonts w:ascii="Arial" w:hAnsi="Arial" w:cs="Arial"/>
        </w:rPr>
      </w:pPr>
      <w:r w:rsidRPr="003737DB">
        <w:rPr>
          <w:rFonts w:ascii="Arial" w:hAnsi="Arial" w:cs="Arial"/>
        </w:rPr>
        <w:t xml:space="preserve">    Cuarto Regidor suplente                     Secretaria Municipal Interina ad honorem</w:t>
      </w:r>
    </w:p>
    <w:p w14:paraId="48674084" w14:textId="77777777" w:rsidR="00366AE8" w:rsidRPr="003737DB" w:rsidRDefault="00366AE8" w:rsidP="00366AE8">
      <w:pPr>
        <w:spacing w:line="360" w:lineRule="auto"/>
        <w:jc w:val="both"/>
        <w:rPr>
          <w:rFonts w:ascii="Arial" w:hAnsi="Arial" w:cs="Arial"/>
        </w:rPr>
      </w:pPr>
    </w:p>
    <w:p w14:paraId="3C22D9DA" w14:textId="77777777" w:rsidR="00366AE8" w:rsidRPr="003737DB" w:rsidRDefault="00366AE8" w:rsidP="00366AE8">
      <w:pPr>
        <w:spacing w:line="360" w:lineRule="auto"/>
        <w:jc w:val="both"/>
        <w:rPr>
          <w:rFonts w:ascii="Arial" w:hAnsi="Arial" w:cs="Arial"/>
        </w:rPr>
      </w:pPr>
    </w:p>
    <w:p w14:paraId="2F4C0567"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4B41A" w14:textId="77777777" w:rsidR="00026296" w:rsidRDefault="00026296" w:rsidP="00E95BEC">
      <w:r>
        <w:separator/>
      </w:r>
    </w:p>
  </w:endnote>
  <w:endnote w:type="continuationSeparator" w:id="0">
    <w:p w14:paraId="7D66B532" w14:textId="77777777" w:rsidR="00026296" w:rsidRDefault="00026296" w:rsidP="00E9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7C07" w14:textId="194BA425" w:rsidR="00E95BEC" w:rsidRPr="00E95BEC" w:rsidRDefault="00E95BEC">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0B0F8" w14:textId="77777777" w:rsidR="00026296" w:rsidRDefault="00026296" w:rsidP="00E95BEC">
      <w:r>
        <w:separator/>
      </w:r>
    </w:p>
  </w:footnote>
  <w:footnote w:type="continuationSeparator" w:id="0">
    <w:p w14:paraId="4C2642B3" w14:textId="77777777" w:rsidR="00026296" w:rsidRDefault="00026296" w:rsidP="00E9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2F88" w14:textId="77777777" w:rsidR="00E95BEC" w:rsidRDefault="00E95BEC" w:rsidP="00E95BEC">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736FAF60" wp14:editId="1EA7DD94">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63815390" w14:textId="77777777" w:rsidR="00E95BEC" w:rsidRPr="00495BCB" w:rsidRDefault="00E95BEC" w:rsidP="00E95BEC">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27B4DA3F" w14:textId="77777777" w:rsidR="00E95BEC" w:rsidRDefault="00E95B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67042"/>
    <w:multiLevelType w:val="hybridMultilevel"/>
    <w:tmpl w:val="B9D252E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1272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EC"/>
    <w:rsid w:val="00026296"/>
    <w:rsid w:val="00287FCD"/>
    <w:rsid w:val="00366AE8"/>
    <w:rsid w:val="00E95BE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4C4D"/>
  <w15:chartTrackingRefBased/>
  <w15:docId w15:val="{DA3BC6E6-E64B-45F6-AD0E-B7074B2D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AE8"/>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BEC"/>
    <w:pPr>
      <w:tabs>
        <w:tab w:val="center" w:pos="4252"/>
        <w:tab w:val="right" w:pos="8504"/>
      </w:tabs>
    </w:pPr>
  </w:style>
  <w:style w:type="character" w:customStyle="1" w:styleId="EncabezadoCar">
    <w:name w:val="Encabezado Car"/>
    <w:basedOn w:val="Fuentedeprrafopredeter"/>
    <w:link w:val="Encabezado"/>
    <w:uiPriority w:val="99"/>
    <w:rsid w:val="00E95BEC"/>
  </w:style>
  <w:style w:type="paragraph" w:styleId="Piedepgina">
    <w:name w:val="footer"/>
    <w:basedOn w:val="Normal"/>
    <w:link w:val="PiedepginaCar"/>
    <w:uiPriority w:val="99"/>
    <w:unhideWhenUsed/>
    <w:rsid w:val="00E95BEC"/>
    <w:pPr>
      <w:tabs>
        <w:tab w:val="center" w:pos="4252"/>
        <w:tab w:val="right" w:pos="8504"/>
      </w:tabs>
    </w:pPr>
  </w:style>
  <w:style w:type="character" w:customStyle="1" w:styleId="PiedepginaCar">
    <w:name w:val="Pie de página Car"/>
    <w:basedOn w:val="Fuentedeprrafopredeter"/>
    <w:link w:val="Piedepgina"/>
    <w:uiPriority w:val="99"/>
    <w:rsid w:val="00E95BEC"/>
  </w:style>
  <w:style w:type="table" w:styleId="Tablaconcuadrculaclara">
    <w:name w:val="Grid Table Light"/>
    <w:basedOn w:val="Tablanormal"/>
    <w:uiPriority w:val="40"/>
    <w:rsid w:val="00366AE8"/>
    <w:pPr>
      <w:spacing w:after="0" w:line="240" w:lineRule="auto"/>
    </w:pPr>
    <w:rPr>
      <w:kern w:val="0"/>
      <w:lang w:val="es-SV"/>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8813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2024-05-08T15:19:00Z</dcterms:created>
  <dcterms:modified xsi:type="dcterms:W3CDTF">2024-05-08T16:08:00Z</dcterms:modified>
</cp:coreProperties>
</file>