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04" w:rsidRPr="007B0304" w:rsidRDefault="00B811DE" w:rsidP="00764097">
      <w:pPr>
        <w:spacing w:line="360" w:lineRule="auto"/>
        <w:jc w:val="both"/>
        <w:rPr>
          <w:rFonts w:asciiTheme="minorHAnsi" w:hAnsiTheme="minorHAnsi"/>
          <w:sz w:val="22"/>
        </w:rPr>
      </w:pPr>
      <w:r w:rsidRPr="007B0304">
        <w:rPr>
          <w:rFonts w:asciiTheme="minorHAnsi" w:hAnsiTheme="minorHAnsi"/>
          <w:b/>
          <w:sz w:val="22"/>
        </w:rPr>
        <w:t>ACTA NÚMERO NUEVE</w:t>
      </w:r>
      <w:r w:rsidRPr="007B0304">
        <w:rPr>
          <w:rFonts w:asciiTheme="minorHAnsi" w:eastAsia="Arial Unicode MS" w:hAnsiTheme="minorHAnsi"/>
          <w:sz w:val="22"/>
        </w:rPr>
        <w:t xml:space="preserve">.- En el local de sesiones de la Alcaldía Municipal de la ciudad de Cacaopera, Departamento de Morazán a las ocho horas del día </w:t>
      </w:r>
      <w:r w:rsidRPr="007B0304">
        <w:rPr>
          <w:rFonts w:asciiTheme="minorHAnsi" w:eastAsia="Arial Unicode MS" w:hAnsiTheme="minorHAnsi"/>
          <w:b/>
          <w:sz w:val="22"/>
        </w:rPr>
        <w:t>DOCE DE MARZO DEL AÑO DOS MIL TRECE</w:t>
      </w:r>
      <w:r w:rsidRPr="007B0304">
        <w:rPr>
          <w:rFonts w:asciiTheme="minorHAnsi" w:eastAsia="Arial Unicode MS" w:hAnsiTheme="minorHAnsi"/>
          <w:sz w:val="22"/>
        </w:rPr>
        <w:t xml:space="preserve">, constituidos en sesión Extraordinaria los suscritos miembros del Concejo Municipal señor </w:t>
      </w:r>
      <w:r w:rsidRPr="007B0304">
        <w:rPr>
          <w:rFonts w:asciiTheme="minorHAnsi" w:hAnsiTheme="minorHAnsi"/>
          <w:sz w:val="22"/>
        </w:rPr>
        <w:t>Lorenzo de Jesús Canales Benítez</w:t>
      </w:r>
      <w:r w:rsidRPr="007B0304">
        <w:rPr>
          <w:rFonts w:asciiTheme="minorHAnsi" w:eastAsia="Arial Unicode MS" w:hAnsiTheme="minorHAnsi"/>
          <w:sz w:val="22"/>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7B0304">
        <w:rPr>
          <w:rFonts w:asciiTheme="minorHAnsi" w:eastAsia="Arial Unicode MS" w:hAnsiTheme="minorHAnsi"/>
          <w:sz w:val="22"/>
        </w:rPr>
        <w:t>Díaz</w:t>
      </w:r>
      <w:proofErr w:type="spellEnd"/>
      <w:r w:rsidRPr="007B0304">
        <w:rPr>
          <w:rFonts w:asciiTheme="minorHAnsi" w:eastAsia="Arial Unicode MS" w:hAnsiTheme="minorHAnsi"/>
          <w:sz w:val="22"/>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7B0304">
        <w:rPr>
          <w:rFonts w:asciiTheme="minorHAnsi" w:hAnsiTheme="minorHAnsi"/>
          <w:sz w:val="22"/>
        </w:rPr>
        <w:t xml:space="preserve"> Abierta la sesión por el señor Alcalde Municipal, se procedió a darle lectura a la agenda propuesta y</w:t>
      </w:r>
      <w:r w:rsidRPr="007B0304">
        <w:rPr>
          <w:rFonts w:asciiTheme="minorHAnsi" w:eastAsia="Arial Unicode MS" w:hAnsiTheme="minorHAnsi" w:cs="Arial"/>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B0304">
        <w:rPr>
          <w:rFonts w:asciiTheme="minorHAnsi" w:hAnsiTheme="minorHAnsi"/>
          <w:sz w:val="22"/>
        </w:rPr>
        <w:t xml:space="preserve">: </w:t>
      </w:r>
      <w:r w:rsidRPr="007B0304">
        <w:rPr>
          <w:rFonts w:asciiTheme="minorHAnsi" w:hAnsiTheme="minorHAnsi"/>
          <w:b/>
          <w:sz w:val="22"/>
        </w:rPr>
        <w:t xml:space="preserve">ACUERDO NÚMERO UNO: </w:t>
      </w:r>
      <w:r w:rsidRPr="007B0304">
        <w:rPr>
          <w:rFonts w:asciiTheme="minorHAnsi" w:hAnsiTheme="minorHAnsi"/>
          <w:sz w:val="22"/>
        </w:rPr>
        <w:t xml:space="preserve">El Concejo Municipal en uso de las facultades legales que el Código Municipal les confiere en sus Arts. 4 numeral 5  y  30 numeral 14, ACUERDA: a) Realizar Estudio para el tratamiento de Aguas Negras, en el área urbana del municipio de Cacaopera; b) Facultase a la Unidad de Adquisiciones y Contrataciones Institucional, a efecto de que realice los trámites administrativos correspondientes para la contratación de la Consultoría correspondiente, COMUNIQUESE. </w:t>
      </w:r>
      <w:r w:rsidRPr="007B0304">
        <w:rPr>
          <w:rFonts w:asciiTheme="minorHAnsi" w:hAnsiTheme="minorHAnsi"/>
          <w:b/>
          <w:sz w:val="22"/>
        </w:rPr>
        <w:t>ACUERDO NÚMERO DOS:</w:t>
      </w:r>
      <w:r w:rsidRPr="007B0304">
        <w:rPr>
          <w:rFonts w:asciiTheme="minorHAnsi" w:hAnsiTheme="minorHAnsi"/>
          <w:sz w:val="22"/>
        </w:rPr>
        <w:t xml:space="preserve"> El Concejo Municipal en uso de las facultades legales que el Código Municipal les confiere en su Art. 4 numeral 25, y considerando la solicitud presentada por la Asociación de Desarrollo Comunal, del Caserío La Guara, Cantón Sunsulaca de esta jurisdicción, ante la necesidad de que se construya una pasarela peatonal en Quebrada El Papalón paso de la Pita Floja, en tal sentido este Concejo ACUERDA: a) Priorizar el proyecto Construcción de Pasarela Peatonal en Quebrada El Papalón, caserío La Guara, Cantón Sunsulaca, Cacaopera, Morazán; b) Facultase a la Unidad de Adquisiciones y Contrataciones Institucional, a efecto de que realice los trámites administrativos correspondientes para contratar al formulador de la respectiva carpeta técnica; c) Financiar el proyecto con fondos FODES 75%, COMUNIQUESE. </w:t>
      </w:r>
      <w:r w:rsidRPr="007B0304">
        <w:rPr>
          <w:rFonts w:asciiTheme="minorHAnsi" w:hAnsiTheme="minorHAnsi" w:cs="Arial"/>
          <w:b/>
          <w:sz w:val="22"/>
          <w:lang w:val="es-MX"/>
        </w:rPr>
        <w:t>ACUERDO NÚMERO TRES:</w:t>
      </w:r>
      <w:r w:rsidRPr="007B0304">
        <w:rPr>
          <w:rFonts w:asciiTheme="minorHAnsi" w:hAnsiTheme="minorHAnsi" w:cs="Arial"/>
          <w:sz w:val="22"/>
          <w:lang w:val="es-MX"/>
        </w:rPr>
        <w:t xml:space="preserve"> El Concejo Municipal en uso de las facultades legales que el Código Municipal les confiere en su Art. 4 numeral 7, y considerando que durante las vacaciones de Semana Santa, y muchas personas visitan el Rio </w:t>
      </w:r>
      <w:proofErr w:type="spellStart"/>
      <w:r w:rsidRPr="007B0304">
        <w:rPr>
          <w:rFonts w:asciiTheme="minorHAnsi" w:hAnsiTheme="minorHAnsi" w:cs="Arial"/>
          <w:sz w:val="22"/>
          <w:lang w:val="es-MX"/>
        </w:rPr>
        <w:t>Torola</w:t>
      </w:r>
      <w:proofErr w:type="spellEnd"/>
      <w:r w:rsidRPr="007B0304">
        <w:rPr>
          <w:rFonts w:asciiTheme="minorHAnsi" w:hAnsiTheme="minorHAnsi" w:cs="Arial"/>
          <w:sz w:val="22"/>
          <w:lang w:val="es-MX"/>
        </w:rPr>
        <w:t xml:space="preserve">, en diferentes lugares del recorrido que éste hace por el municipio de Cacaopera, y es necesario habilitar </w:t>
      </w:r>
      <w:r w:rsidRPr="007B0304">
        <w:rPr>
          <w:rFonts w:asciiTheme="minorHAnsi" w:hAnsiTheme="minorHAnsi" w:cs="Arial"/>
          <w:sz w:val="22"/>
          <w:lang w:val="es-MX"/>
        </w:rPr>
        <w:lastRenderedPageBreak/>
        <w:t xml:space="preserve">Servicios Sanitarios y realizar limpieza durante y después de los días de más afluencia, a fin de garantizar la protección de los recursos naturales, en tal sentido este concejo, ACUERDA: a) Autorizase a la Comisión de Salud y Medioambiente y Unidad de Medioambiente para que coordinen trabajos de limpieza en la zonas de más afluencia durante las vacaciones de Semana Santa a efecto de que el municipio se conserve limpio; b) Contribuir con la alimentación y transporte para las personas que trabajaran en la limpieza anteriormente expresada; COMUNIQUESE. </w:t>
      </w:r>
      <w:r w:rsidRPr="007B0304">
        <w:rPr>
          <w:rFonts w:asciiTheme="minorHAnsi" w:hAnsiTheme="minorHAnsi" w:cs="Arial"/>
          <w:b/>
          <w:sz w:val="22"/>
          <w:lang w:val="es-MX"/>
        </w:rPr>
        <w:t>ACUERDO NÚMERO CUATRO:</w:t>
      </w:r>
      <w:r w:rsidRPr="007B0304">
        <w:rPr>
          <w:rFonts w:asciiTheme="minorHAnsi" w:hAnsiTheme="minorHAnsi"/>
          <w:sz w:val="22"/>
        </w:rPr>
        <w:t xml:space="preserve"> El Concejo Municipal en uso de las facultades legales que el Código Municipal les confiere en su Art. 30 numeral 9, ACUERDA:  Adjudicar la Compra de cinta </w:t>
      </w:r>
      <w:proofErr w:type="spellStart"/>
      <w:r w:rsidRPr="007B0304">
        <w:rPr>
          <w:rFonts w:asciiTheme="minorHAnsi" w:hAnsiTheme="minorHAnsi"/>
          <w:sz w:val="22"/>
        </w:rPr>
        <w:t>reflectiva</w:t>
      </w:r>
      <w:proofErr w:type="spellEnd"/>
      <w:r w:rsidRPr="007B0304">
        <w:rPr>
          <w:rFonts w:asciiTheme="minorHAnsi" w:hAnsiTheme="minorHAnsi"/>
          <w:sz w:val="22"/>
        </w:rPr>
        <w:t xml:space="preserve"> para el Sub-Proyecto: Construcción  de Túmulos y Rótulos de Señalización en el Área Urbana de Cacaopera, Departamento de Morazán;  a FREUND,  S.A DE C.V., por la cantidad  de  TREINTA Y SEIS DOLARES ($36.00), seguidamente facultase a la Tesorera Municipal a efecto de realizar los pagos correspondientes de los fondos FODES 75%.</w:t>
      </w:r>
      <w:r w:rsidRPr="007B0304">
        <w:rPr>
          <w:rFonts w:asciiTheme="minorHAnsi" w:hAnsiTheme="minorHAnsi"/>
          <w:b/>
          <w:sz w:val="22"/>
        </w:rPr>
        <w:t>ACUERDO NÚMERO CINCO</w:t>
      </w:r>
      <w:r w:rsidRPr="007B0304">
        <w:rPr>
          <w:rFonts w:asciiTheme="minorHAnsi" w:hAnsiTheme="minorHAnsi"/>
          <w:sz w:val="22"/>
        </w:rPr>
        <w:t xml:space="preserve">: El Concejo Municipal en uso de las facultades legales que el Código Municipal les confiere en su Art. 30 numeral 9, ACUERDA: Adjudicar el Suministro Arena para las diferentes contribuciones que se Autoricen por parte del Concejo municipal en el transcurso del presente Año, a Pro-Block, por la cantidad de SETENTA 00/100 DOLARES ($70.00), seguidamente facultase a la Tesorera Municipal, a efecto de que realice el pago correspondiente de los fondos propios municipales, COMUNIQUESE. </w:t>
      </w:r>
      <w:r w:rsidRPr="007B0304">
        <w:rPr>
          <w:rFonts w:asciiTheme="minorHAnsi" w:hAnsiTheme="minorHAnsi"/>
          <w:b/>
          <w:sz w:val="22"/>
        </w:rPr>
        <w:t xml:space="preserve">ACUERDO NÚMERO SEIS: </w:t>
      </w:r>
      <w:r w:rsidRPr="007B0304">
        <w:rPr>
          <w:rFonts w:asciiTheme="minorHAnsi" w:hAnsiTheme="minorHAnsi"/>
          <w:sz w:val="22"/>
        </w:rPr>
        <w:t xml:space="preserve">El Concejo Municipal en uso de las facultades legales que el Código Municipal les confiere en su Art. 30 numeral 14, y considerando que es necesario realizar mantenimiento a la base de datos del Sistema de Facturación y Catastro, para el buen funcionamiento del mismo, en tal sentido este Concejo ACUERDA: a) Autorizase realizar mantenimiento cada cuatro meses, a la Base de datos del Sistema de Facturación y Catastro; b) Facultase a la Unidad de Adquisiciones y Contrataciones Institucional, a efecto de que realice los trámites correspondientes para la contratación del servicio anteriormente expresado, COMUNIQUESE. </w:t>
      </w:r>
      <w:r w:rsidRPr="007B0304">
        <w:rPr>
          <w:rFonts w:asciiTheme="minorHAnsi" w:hAnsiTheme="minorHAnsi"/>
          <w:b/>
          <w:sz w:val="22"/>
        </w:rPr>
        <w:t>ACUERDO NÚMERO SIETE:</w:t>
      </w:r>
      <w:r w:rsidRPr="007B0304">
        <w:rPr>
          <w:rFonts w:asciiTheme="minorHAnsi" w:hAnsiTheme="minorHAnsi"/>
          <w:sz w:val="22"/>
        </w:rPr>
        <w:t xml:space="preserve"> El Concejo Municipal en uso de las facultades legales que el Código Municipal les confiere en su Art. 91, ACUERDA: Autorizase a la Tesorera Municipal a efecto de que realice el pago por supervisión externa del proyecto Construcción de Empedrado Fraguado con Superficie no Terminada, </w:t>
      </w:r>
      <w:proofErr w:type="spellStart"/>
      <w:r w:rsidRPr="007B0304">
        <w:rPr>
          <w:rFonts w:asciiTheme="minorHAnsi" w:hAnsiTheme="minorHAnsi"/>
          <w:sz w:val="22"/>
        </w:rPr>
        <w:t>Concreteado</w:t>
      </w:r>
      <w:proofErr w:type="spellEnd"/>
      <w:r w:rsidRPr="007B0304">
        <w:rPr>
          <w:rFonts w:asciiTheme="minorHAnsi" w:hAnsiTheme="minorHAnsi"/>
          <w:sz w:val="22"/>
        </w:rPr>
        <w:t xml:space="preserve"> y Obras de Drenaje, en Calle que Conduce a Caserío La Naranjera, Cantón La Estancia, Municipio de Cacaopera, Morazán; a la Empresa TERRACERIA, CONSTRUCCION E INGENIERIA, S.A. DE C.V., por la cantidad de UN MIL SEISCIENTOS CINCUENTA 00/100 DOLARES ($1,650.00), eróguese fondos de la cuenta del mismo proyecto, COMUNIQUESE. </w:t>
      </w:r>
      <w:r w:rsidRPr="007B0304">
        <w:rPr>
          <w:rFonts w:asciiTheme="minorHAnsi" w:hAnsiTheme="minorHAnsi"/>
          <w:b/>
          <w:sz w:val="22"/>
        </w:rPr>
        <w:t>ACUERDO NNÚMERO OCHO:</w:t>
      </w:r>
      <w:r w:rsidRPr="007B0304">
        <w:rPr>
          <w:rFonts w:asciiTheme="minorHAnsi" w:hAnsiTheme="minorHAnsi"/>
          <w:sz w:val="22"/>
        </w:rPr>
        <w:t xml:space="preserve"> El Concejo Municipal en uso de las facultades legales que el Código Municipal les confiere en su Art. 91, ACUERDA: Autorizase a la Tesorera Municipal </w:t>
      </w:r>
      <w:r w:rsidRPr="007B0304">
        <w:rPr>
          <w:rFonts w:asciiTheme="minorHAnsi" w:hAnsiTheme="minorHAnsi"/>
          <w:sz w:val="22"/>
        </w:rPr>
        <w:lastRenderedPageBreak/>
        <w:t>a efecto de que realice el pago a la Compañía General de Equipos, S.A. de C.V., por realizar mantenimiento preventivo de dos mil horas de operación al Rodo compactador, propiedad de esta Alcaldía, por la cantidad de UN MIL CUATROCIENTOS CUARENTA DOLARES CON SETENTA Y CINCO CENTAVOS DE DÓLAR ($1,440.75), y la cantidad de UN MIL CIENTO NOVENTA Y SIETE DOLARES CON COHENTA CENTAVOS DE DÓLAR ($1,197.80), por Mantenimiento preventivo de mil horas de operación a Motoniveladora, propiedad de esta municipalidad, COMUNIQUESE. No habiendo más que hacer constar se da por terminada la presente acta ratificamos su contenido y firmamos.</w:t>
      </w:r>
    </w:p>
    <w:p w:rsidR="005D526C" w:rsidRDefault="00764097" w:rsidP="00764097">
      <w:pPr>
        <w:spacing w:line="360" w:lineRule="auto"/>
        <w:jc w:val="both"/>
      </w:pPr>
      <w:r>
        <w:rPr>
          <w:noProof/>
          <w:lang w:val="es-SV" w:eastAsia="es-SV"/>
        </w:rPr>
        <w:drawing>
          <wp:inline distT="0" distB="0" distL="0" distR="0" wp14:anchorId="6A1A680D" wp14:editId="1216989C">
            <wp:extent cx="5753100" cy="4943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594" t="1729" r="2074" b="1557"/>
                    <a:stretch/>
                  </pic:blipFill>
                  <pic:spPr bwMode="auto">
                    <a:xfrm>
                      <a:off x="0" y="0"/>
                      <a:ext cx="5753100" cy="49434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5D526C" w:rsidSect="00764097">
      <w:headerReference w:type="default" r:id="rId9"/>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9D" w:rsidRDefault="00C77A9D" w:rsidP="00764097">
      <w:r>
        <w:separator/>
      </w:r>
    </w:p>
  </w:endnote>
  <w:endnote w:type="continuationSeparator" w:id="0">
    <w:p w:rsidR="00C77A9D" w:rsidRDefault="00C77A9D" w:rsidP="0076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9D" w:rsidRDefault="00C77A9D" w:rsidP="00764097">
      <w:r>
        <w:separator/>
      </w:r>
    </w:p>
  </w:footnote>
  <w:footnote w:type="continuationSeparator" w:id="0">
    <w:p w:rsidR="00C77A9D" w:rsidRDefault="00C77A9D" w:rsidP="00764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97" w:rsidRDefault="00764097">
    <w:pPr>
      <w:pStyle w:val="Encabezado"/>
    </w:pPr>
    <w:r>
      <w:rPr>
        <w:noProof/>
        <w:lang w:val="es-SV" w:eastAsia="es-SV"/>
      </w:rPr>
      <w:drawing>
        <wp:anchor distT="0" distB="0" distL="114300" distR="114300" simplePos="0" relativeHeight="251658240" behindDoc="1" locked="0" layoutInCell="1" allowOverlap="1" wp14:anchorId="37E603E5" wp14:editId="0E3045B5">
          <wp:simplePos x="0" y="0"/>
          <wp:positionH relativeFrom="column">
            <wp:posOffset>-195535</wp:posOffset>
          </wp:positionH>
          <wp:positionV relativeFrom="paragraph">
            <wp:posOffset>-345440</wp:posOffset>
          </wp:positionV>
          <wp:extent cx="1018370" cy="1008897"/>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938" r="5306" b="3620"/>
                  <a:stretch/>
                </pic:blipFill>
                <pic:spPr bwMode="auto">
                  <a:xfrm>
                    <a:off x="0" y="0"/>
                    <a:ext cx="1018370" cy="1008897"/>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DE"/>
    <w:rsid w:val="001319F7"/>
    <w:rsid w:val="005D526C"/>
    <w:rsid w:val="00764097"/>
    <w:rsid w:val="007B0304"/>
    <w:rsid w:val="00B811DE"/>
    <w:rsid w:val="00C77A9D"/>
    <w:rsid w:val="00FE38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097"/>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09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64097"/>
    <w:pPr>
      <w:tabs>
        <w:tab w:val="center" w:pos="4419"/>
        <w:tab w:val="right" w:pos="8838"/>
      </w:tabs>
    </w:pPr>
  </w:style>
  <w:style w:type="character" w:customStyle="1" w:styleId="EncabezadoCar">
    <w:name w:val="Encabezado Car"/>
    <w:basedOn w:val="Fuentedeprrafopredeter"/>
    <w:link w:val="Encabezado"/>
    <w:uiPriority w:val="99"/>
    <w:rsid w:val="0076409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4097"/>
    <w:pPr>
      <w:tabs>
        <w:tab w:val="center" w:pos="4419"/>
        <w:tab w:val="right" w:pos="8838"/>
      </w:tabs>
    </w:pPr>
  </w:style>
  <w:style w:type="character" w:customStyle="1" w:styleId="PiedepginaCar">
    <w:name w:val="Pie de página Car"/>
    <w:basedOn w:val="Fuentedeprrafopredeter"/>
    <w:link w:val="Piedepgina"/>
    <w:uiPriority w:val="99"/>
    <w:rsid w:val="0076409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097"/>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09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64097"/>
    <w:pPr>
      <w:tabs>
        <w:tab w:val="center" w:pos="4419"/>
        <w:tab w:val="right" w:pos="8838"/>
      </w:tabs>
    </w:pPr>
  </w:style>
  <w:style w:type="character" w:customStyle="1" w:styleId="EncabezadoCar">
    <w:name w:val="Encabezado Car"/>
    <w:basedOn w:val="Fuentedeprrafopredeter"/>
    <w:link w:val="Encabezado"/>
    <w:uiPriority w:val="99"/>
    <w:rsid w:val="0076409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4097"/>
    <w:pPr>
      <w:tabs>
        <w:tab w:val="center" w:pos="4419"/>
        <w:tab w:val="right" w:pos="8838"/>
      </w:tabs>
    </w:pPr>
  </w:style>
  <w:style w:type="character" w:customStyle="1" w:styleId="PiedepginaCar">
    <w:name w:val="Pie de página Car"/>
    <w:basedOn w:val="Fuentedeprrafopredeter"/>
    <w:link w:val="Piedepgina"/>
    <w:uiPriority w:val="99"/>
    <w:rsid w:val="0076409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1036</Words>
  <Characters>5701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2016-05-20T15:46:00Z</dcterms:created>
  <dcterms:modified xsi:type="dcterms:W3CDTF">2016-05-20T16:30:00Z</dcterms:modified>
</cp:coreProperties>
</file>