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77D" w:rsidRPr="00C15223" w:rsidRDefault="005E277D" w:rsidP="005E277D">
      <w:pPr>
        <w:spacing w:line="360" w:lineRule="auto"/>
        <w:jc w:val="both"/>
        <w:rPr>
          <w:rFonts w:asciiTheme="majorHAnsi" w:hAnsiTheme="majorHAnsi"/>
        </w:rPr>
      </w:pPr>
      <w:r w:rsidRPr="00C15223">
        <w:rPr>
          <w:rFonts w:asciiTheme="majorHAnsi" w:hAnsiTheme="majorHAnsi"/>
          <w:b/>
        </w:rPr>
        <w:t>ACTA NÚMERO TREINTA.-</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DIEZ DE DICIEMBRE DEL AÑO DOS MIL DOCE</w:t>
      </w:r>
      <w:r w:rsidRPr="00C15223">
        <w:rPr>
          <w:rFonts w:asciiTheme="majorHAnsi" w:eastAsia="Arial Unicode MS" w:hAnsiTheme="majorHAnsi"/>
        </w:rPr>
        <w:t xml:space="preserve">, constituidos en sesión Extraordinaria los suscritos miembros del Concejo Municipal, señor Lorenzo de Jesús Canales </w:t>
      </w:r>
      <w:proofErr w:type="spellStart"/>
      <w:r w:rsidRPr="00C15223">
        <w:rPr>
          <w:rFonts w:asciiTheme="majorHAnsi" w:eastAsia="Arial Unicode MS" w:hAnsiTheme="majorHAnsi"/>
        </w:rPr>
        <w:t>Benítes</w:t>
      </w:r>
      <w:proofErr w:type="spellEnd"/>
      <w:r w:rsidRPr="00C15223">
        <w:rPr>
          <w:rFonts w:asciiTheme="majorHAnsi" w:eastAsia="Arial Unicode MS" w:hAnsiTheme="majorHAnsi"/>
        </w:rPr>
        <w:t xml:space="preserve">, Alcalde Municipal; señor José Elías González Amaya, Síndico Municipal; Dolores Josefina Molina, Primera Regidora Propietaria; Señor José Ramiro Cortez Argueta, Segundo Regidor Propietario; señor Ovidio Alcides Fuentes, Tercer Regidor Propietario; señora Marina del Carmen Ramírez de Argueta, Cuarta Regidora Propietaria;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señorita Julieta Arely Amaya Hernández, Segunda Regidora Suplente,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NUMERO UNO: </w:t>
      </w:r>
      <w:r w:rsidRPr="00C15223">
        <w:rPr>
          <w:rFonts w:asciiTheme="majorHAnsi" w:hAnsiTheme="majorHAnsi" w:cs="Arial"/>
        </w:rPr>
        <w:t xml:space="preserve">El Concejo Municipal en uso de las facultades legales que el Código Municipal les confiere, y considerando </w:t>
      </w:r>
      <w:r w:rsidRPr="00C15223">
        <w:rPr>
          <w:rFonts w:asciiTheme="majorHAnsi" w:eastAsia="Arial Unicode MS" w:hAnsiTheme="majorHAnsi" w:cs="Arial"/>
        </w:rPr>
        <w:t xml:space="preserve">que se aproximan las fiestas navideñas y fin de año, y es importante siempre mantener la armonía, paz y unidad entre funcionarios y empleados municipales y en tal sentido es necesario crear espacios de convivencia que permitan reforzar los lazos de amistad entre empleados municipales y miembros del concejo, siendo esta la ocasión oportuna para esta clase de encuentros este Concejo ACUERDA: a) Realizar un almuerzo Navideño y fin de año, el día veintiuno de diciembre del presente año, con el personal que labora en esta Alcaldía y el Concejo Municipal, en consecuencia se estará laborando hasta las 11:00am de ese mismo día; b) Comprar canastas navideñas, para todo el personal que labora en la Alcaldía y el Concejo Municipal, como incentivos por su dedicación y esfuerzo, </w:t>
      </w:r>
      <w:r w:rsidRPr="00C15223">
        <w:rPr>
          <w:rFonts w:asciiTheme="majorHAnsi" w:hAnsiTheme="majorHAnsi" w:cs="Arial"/>
        </w:rPr>
        <w:t xml:space="preserve">COMUNIQUESE. </w:t>
      </w:r>
      <w:r w:rsidRPr="00C15223">
        <w:rPr>
          <w:rFonts w:asciiTheme="majorHAnsi" w:hAnsiTheme="majorHAnsi" w:cs="Arial"/>
          <w:b/>
        </w:rPr>
        <w:t xml:space="preserve">ACUERDO NÚMERO DOS: </w:t>
      </w:r>
      <w:r w:rsidRPr="00C15223">
        <w:rPr>
          <w:rFonts w:asciiTheme="majorHAnsi" w:hAnsiTheme="majorHAnsi" w:cs="Arial"/>
        </w:rPr>
        <w:t xml:space="preserve">El Concejo Municipal en uso de las facultades legales que el Código Municipal les confiere en su Art. 4 numeral 18, y considerando la solicitud presentada por la Asociación de Desarrollo Comunal de Caserío La Guara, Cantón Sunsulaca, de esta jurisdicción, a fin de que esta municipalidad, les colabore con dos piñatas dos bolsas de dulces y una docena de cohetes, para el cierre de las </w:t>
      </w:r>
      <w:r w:rsidRPr="00C15223">
        <w:rPr>
          <w:rFonts w:asciiTheme="majorHAnsi" w:hAnsiTheme="majorHAnsi" w:cs="Arial"/>
        </w:rPr>
        <w:lastRenderedPageBreak/>
        <w:t xml:space="preserve">Fiestas Patronales en Honor a la Virgen de Guadalupe, en tal sentido este Concejo ACUERDA: a) Contribuir con el aporte de dos piñatas, dos bolsas de dulces, y una docena de cohetes, para las fiestas patronales del Caserío La Guara, Cantón Sunsulaca, de esta jurisdicción; b) Facultase a la Unidad de Adquisiciones y Contrataciones Institucional, a efecto de que realice la compra anteriormente expresada, COMUNIQUESE. </w:t>
      </w:r>
      <w:r w:rsidRPr="00C15223">
        <w:rPr>
          <w:rFonts w:asciiTheme="majorHAnsi" w:hAnsiTheme="majorHAnsi" w:cs="Arial"/>
          <w:b/>
        </w:rPr>
        <w:t xml:space="preserve">ACUERDO NÚMERO TRES: </w:t>
      </w:r>
      <w:r w:rsidRPr="00C15223">
        <w:rPr>
          <w:rFonts w:asciiTheme="majorHAnsi" w:hAnsiTheme="majorHAnsi" w:cs="Arial"/>
        </w:rPr>
        <w:t xml:space="preserve">El Concejo Municipal en uso de las facultades legales que el Código Municipal les confiere en su Arts. 4 numeral 25 y 31 numeral 5, y considerando: Que los caseríos El Rucio, Jimilile y El Sálamo, del Cantón Calavera, y el Caserío San Miguelito del Cantón Guachipilín, entre otros caseríos del municipio de Cacaopera, demandan el servicio del Agua Potable, así como también en el área urbana es deficiente este servicio, por carecer de fuentes de agua legalizadas a favor de la municipalidad que puedan ser intervenidas para mejorar y ampliar este servicio para lograr beneficiar a una mayor población, en tal sentido este Concejo ACUERDA: a) Priorizar la Adquisición de un inmueble que posea una fuente de agua, que sea factible para la construcción de un proyecto de Agua Potable, dentro del municipio de Cacaopera y a su vez la extensión superficial permita realizar obras de protección y conservación de la fuente de agua; b) Facultase a la Comisión de Salud y Medioambiente, para que inicie el proceso de negociación y en coordinación con la Unidad de Adquisiciones y Contrataciones Institucional, realice los trámites administrativos correspondientes para la compra del inmueble antes mencionado, COMUNIQUESE. </w:t>
      </w:r>
      <w:r w:rsidRPr="00C15223">
        <w:rPr>
          <w:rFonts w:asciiTheme="majorHAnsi" w:hAnsiTheme="majorHAnsi" w:cs="Arial"/>
          <w:b/>
        </w:rPr>
        <w:t>A</w:t>
      </w:r>
      <w:r w:rsidRPr="00C15223">
        <w:rPr>
          <w:rFonts w:asciiTheme="majorHAnsi" w:eastAsia="Arial Unicode MS" w:hAnsiTheme="majorHAnsi" w:cs="Arial"/>
          <w:b/>
        </w:rPr>
        <w:t>CUERDO NUMERO CUATRO</w:t>
      </w:r>
      <w:r w:rsidRPr="00C15223">
        <w:rPr>
          <w:rFonts w:asciiTheme="majorHAnsi" w:hAnsiTheme="majorHAnsi" w:cs="Arial"/>
          <w:b/>
        </w:rPr>
        <w:t xml:space="preserve">: </w:t>
      </w:r>
      <w:r w:rsidRPr="00C15223">
        <w:rPr>
          <w:rFonts w:asciiTheme="majorHAnsi" w:eastAsia="Arial Unicode MS" w:hAnsiTheme="majorHAnsi" w:cs="Arial"/>
        </w:rPr>
        <w:t xml:space="preserve">El Concejo Municipal en uso de las facultades legales que el Código Municipal les confiere en su Art. 30 numeral 14, y considerando que se dará ejecución al proyecto </w:t>
      </w:r>
      <w:r w:rsidRPr="00C15223">
        <w:rPr>
          <w:rFonts w:asciiTheme="majorHAnsi" w:hAnsiTheme="majorHAnsi" w:cs="Arial"/>
          <w:b/>
        </w:rPr>
        <w:t>“Paquetes básicos de instalación domiciliar para familias de escasos recursos (Acometida, cableado, tres luminarias y tres tomas) y construcciones de líneas secundarias”,</w:t>
      </w:r>
      <w:r w:rsidRPr="00C15223">
        <w:rPr>
          <w:rFonts w:asciiTheme="majorHAnsi" w:eastAsia="Arial Unicode MS" w:hAnsiTheme="majorHAnsi" w:cs="Arial"/>
        </w:rPr>
        <w:t xml:space="preserve"> con fondos</w:t>
      </w:r>
      <w:r w:rsidRPr="00C15223">
        <w:rPr>
          <w:rFonts w:asciiTheme="majorHAnsi" w:hAnsiTheme="majorHAnsi" w:cs="Arial"/>
        </w:rPr>
        <w:t xml:space="preserve"> provenientes del Proyecto de Fortalecimiento a los Gobiernos Locales PFGL; y con el fin de llevar un mejor registro de los movimientos financieros del proyecto antes mencionado</w:t>
      </w:r>
      <w:r w:rsidRPr="00C15223">
        <w:rPr>
          <w:rFonts w:asciiTheme="majorHAnsi" w:eastAsia="Arial Unicode MS" w:hAnsiTheme="majorHAnsi" w:cs="Arial"/>
        </w:rPr>
        <w:t xml:space="preserve">, este Concejo  ACUERDA: I) Autorizar a la señorita </w:t>
      </w:r>
      <w:proofErr w:type="spellStart"/>
      <w:r w:rsidRPr="00C15223">
        <w:rPr>
          <w:rFonts w:asciiTheme="majorHAnsi" w:eastAsia="Arial Unicode MS" w:hAnsiTheme="majorHAnsi" w:cs="Arial"/>
        </w:rPr>
        <w:t>Rosibel</w:t>
      </w:r>
      <w:proofErr w:type="spellEnd"/>
      <w:r w:rsidRPr="00C15223">
        <w:rPr>
          <w:rFonts w:asciiTheme="majorHAnsi" w:eastAsia="Arial Unicode MS" w:hAnsiTheme="majorHAnsi" w:cs="Arial"/>
        </w:rPr>
        <w:t xml:space="preserve"> de la Paz Canales Portillo, Tesorera Municipal, para que pueda realizar la apertura de una Cuenta corriente por la cantidad de </w:t>
      </w:r>
      <w:r w:rsidRPr="00C15223">
        <w:rPr>
          <w:rFonts w:asciiTheme="majorHAnsi" w:hAnsiTheme="majorHAnsi" w:cs="Arial"/>
          <w:b/>
          <w:color w:val="000000"/>
        </w:rPr>
        <w:t>NOVENTA Y SEIS MIL TRESCIENTOS UN DOLARES CON SETENTA Y SEIS CENTAVOS DE DÓLAR ($96,301.76);</w:t>
      </w:r>
      <w:r w:rsidRPr="00C15223">
        <w:rPr>
          <w:rFonts w:asciiTheme="majorHAnsi" w:eastAsia="Arial Unicode MS" w:hAnsiTheme="majorHAnsi" w:cs="Arial"/>
        </w:rPr>
        <w:t xml:space="preserve"> con el nombre de </w:t>
      </w:r>
      <w:r w:rsidRPr="00C15223">
        <w:rPr>
          <w:rFonts w:asciiTheme="majorHAnsi" w:eastAsia="Arial Unicode MS" w:hAnsiTheme="majorHAnsi" w:cs="Arial"/>
          <w:b/>
        </w:rPr>
        <w:t>CACOPERA/PFGL/FISDL/C1/</w:t>
      </w:r>
      <w:r w:rsidRPr="00C15223">
        <w:rPr>
          <w:rFonts w:asciiTheme="majorHAnsi" w:hAnsiTheme="majorHAnsi" w:cs="Arial"/>
          <w:b/>
        </w:rPr>
        <w:t>PAQUETES BÁSICOS DE INSTALACIÓN DOMICILIAR PARA FAMILIAS DE ESCASOS RECURSOS (ACOMETIDA, CABLEADO, TRES LUMINARIAS Y TRES TOMAS) Y CONSTRUCCIONES DE LÍNEAS SECUNDARIAS</w:t>
      </w:r>
      <w:r w:rsidRPr="00C15223">
        <w:rPr>
          <w:rFonts w:asciiTheme="majorHAnsi" w:eastAsia="Arial Unicode MS" w:hAnsiTheme="majorHAnsi" w:cs="Arial"/>
        </w:rPr>
        <w:t xml:space="preserve">, en el Banco de </w:t>
      </w:r>
      <w:r w:rsidRPr="00C15223">
        <w:rPr>
          <w:rFonts w:asciiTheme="majorHAnsi" w:eastAsia="Arial Unicode MS" w:hAnsiTheme="majorHAnsi" w:cs="Arial"/>
        </w:rPr>
        <w:lastRenderedPageBreak/>
        <w:t xml:space="preserve">América Central. II) </w:t>
      </w:r>
      <w:r w:rsidRPr="00C15223">
        <w:rPr>
          <w:rFonts w:asciiTheme="majorHAnsi" w:hAnsiTheme="majorHAnsi" w:cs="Arial"/>
        </w:rPr>
        <w:t xml:space="preserve">Erogar fondos de la cuenta de ahorro número 105337075, </w:t>
      </w:r>
      <w:r w:rsidRPr="00C15223">
        <w:rPr>
          <w:rFonts w:asciiTheme="majorHAnsi" w:eastAsia="Arial Unicode MS" w:hAnsiTheme="majorHAnsi" w:cs="Arial"/>
        </w:rPr>
        <w:t xml:space="preserve">denominada </w:t>
      </w:r>
      <w:r w:rsidRPr="00C15223">
        <w:rPr>
          <w:rFonts w:asciiTheme="majorHAnsi" w:eastAsia="Arial Unicode MS" w:hAnsiTheme="majorHAnsi" w:cs="Arial"/>
          <w:b/>
        </w:rPr>
        <w:t>CACOPERA/PFGL/FISDL/C1</w:t>
      </w:r>
      <w:r w:rsidRPr="00C15223">
        <w:rPr>
          <w:rFonts w:asciiTheme="majorHAnsi" w:eastAsia="Arial Unicode MS" w:hAnsiTheme="majorHAnsi" w:cs="Arial"/>
        </w:rPr>
        <w:t>, del Banco de América Central. III) A</w:t>
      </w:r>
      <w:r w:rsidRPr="00C15223">
        <w:rPr>
          <w:rFonts w:asciiTheme="majorHAnsi" w:hAnsiTheme="majorHAnsi" w:cs="Arial"/>
        </w:rPr>
        <w:t xml:space="preserve">utorizase como refrendarios de cheques, a los señores Lorenzo de Jesús Canales </w:t>
      </w:r>
      <w:proofErr w:type="spellStart"/>
      <w:r w:rsidRPr="00C15223">
        <w:rPr>
          <w:rFonts w:asciiTheme="majorHAnsi" w:hAnsiTheme="majorHAnsi" w:cs="Arial"/>
        </w:rPr>
        <w:t>Benítes</w:t>
      </w:r>
      <w:proofErr w:type="spellEnd"/>
      <w:r w:rsidRPr="00C15223">
        <w:rPr>
          <w:rFonts w:asciiTheme="majorHAnsi" w:hAnsiTheme="majorHAnsi" w:cs="Arial"/>
        </w:rPr>
        <w:t xml:space="preserve">, Alcalde Municipal; José Mauro González Amaya, Sexto Regidor Propietario; y </w:t>
      </w:r>
      <w:proofErr w:type="spellStart"/>
      <w:r w:rsidRPr="00C15223">
        <w:rPr>
          <w:rFonts w:asciiTheme="majorHAnsi" w:hAnsiTheme="majorHAnsi" w:cs="Arial"/>
        </w:rPr>
        <w:t>Rosibel</w:t>
      </w:r>
      <w:proofErr w:type="spellEnd"/>
      <w:r w:rsidRPr="00C15223">
        <w:rPr>
          <w:rFonts w:asciiTheme="majorHAnsi" w:hAnsiTheme="majorHAnsi" w:cs="Arial"/>
        </w:rPr>
        <w:t xml:space="preserve"> de la Paz Canales Portillo, Tesorera Municipal, para todo cobro de cheque serán dos firmas, con la firma indispensable de la Tesorera Municipal; </w:t>
      </w:r>
      <w:r w:rsidRPr="00C15223">
        <w:rPr>
          <w:rFonts w:asciiTheme="majorHAnsi" w:eastAsia="Arial Unicode MS" w:hAnsiTheme="majorHAnsi" w:cs="Arial"/>
        </w:rPr>
        <w:t>CERTIFIQUESE</w:t>
      </w:r>
      <w:r w:rsidRPr="00C15223">
        <w:rPr>
          <w:rFonts w:asciiTheme="majorHAnsi" w:hAnsiTheme="majorHAnsi" w:cs="Arial"/>
          <w:bCs/>
        </w:rPr>
        <w:t xml:space="preserve">. </w:t>
      </w:r>
      <w:r w:rsidRPr="00C15223">
        <w:rPr>
          <w:rFonts w:asciiTheme="majorHAnsi" w:hAnsiTheme="majorHAnsi" w:cs="Arial"/>
          <w:b/>
          <w:bCs/>
        </w:rPr>
        <w:t xml:space="preserve">ACUERDO NÚMERO CINCO: </w:t>
      </w:r>
      <w:r w:rsidRPr="00C15223">
        <w:rPr>
          <w:rFonts w:asciiTheme="majorHAnsi" w:hAnsiTheme="majorHAnsi" w:cs="Arial"/>
        </w:rPr>
        <w:t xml:space="preserve">El Concejo Municipal en uso de las facultades legales que el Código Municipal les confiere en su Art. 4 numeral 30, y de conformidad al Art. 10 de las Disposiciones Generales del Presupuesto Municipal del año dos mil doce, este Concejo ACUERDA: Autorizase a la Tesorera Municipal para que </w:t>
      </w:r>
      <w:r w:rsidRPr="00C15223">
        <w:rPr>
          <w:rFonts w:asciiTheme="majorHAnsi" w:hAnsiTheme="majorHAnsi"/>
        </w:rPr>
        <w:t xml:space="preserve">de conformidad a la Ley Sobre </w:t>
      </w:r>
      <w:r w:rsidRPr="00C15223">
        <w:rPr>
          <w:rFonts w:asciiTheme="majorHAnsi" w:hAnsiTheme="majorHAnsi" w:cs="Arial"/>
        </w:rPr>
        <w:t>la Compensación Adicional en Efectivo, y al Código de Trabajo, realice el</w:t>
      </w:r>
      <w:r w:rsidRPr="00C15223">
        <w:rPr>
          <w:rFonts w:asciiTheme="majorHAnsi" w:hAnsiTheme="majorHAnsi"/>
        </w:rPr>
        <w:t xml:space="preserve"> pago de aguinaldo al personal permanente y por contrato que labora en esta Alcaldía, la cantidad a pagar será el equivalente a un sueldo mensual asignado para cada trabajador, cuyo pago se efectuara de la asignación FODES 25%, </w:t>
      </w:r>
      <w:r w:rsidRPr="00C15223">
        <w:rPr>
          <w:rFonts w:asciiTheme="majorHAnsi" w:hAnsiTheme="majorHAnsi" w:cs="Arial"/>
        </w:rPr>
        <w:t xml:space="preserve">NOTIFIQUESE. </w:t>
      </w:r>
      <w:r w:rsidR="00AA5ADF">
        <w:rPr>
          <w:rFonts w:asciiTheme="majorHAnsi" w:hAnsiTheme="majorHAnsi" w:cs="Arial"/>
        </w:rPr>
        <w:t xml:space="preserve"> </w:t>
      </w:r>
      <w:r w:rsidRPr="00C15223">
        <w:rPr>
          <w:rFonts w:asciiTheme="majorHAnsi" w:eastAsia="Arial Unicode MS" w:hAnsiTheme="majorHAnsi" w:cs="Arial"/>
          <w:b/>
        </w:rPr>
        <w:t>ACUERDO NUMERO SEIS</w:t>
      </w:r>
      <w:r w:rsidRPr="00C15223">
        <w:rPr>
          <w:rFonts w:asciiTheme="majorHAnsi" w:hAnsiTheme="majorHAnsi" w:cs="Arial"/>
          <w:b/>
        </w:rPr>
        <w:t xml:space="preserve">: </w:t>
      </w:r>
      <w:r w:rsidRPr="00C15223">
        <w:rPr>
          <w:rFonts w:asciiTheme="majorHAnsi" w:hAnsiTheme="majorHAnsi" w:cs="Arial"/>
          <w:lang w:val="es-MX"/>
        </w:rPr>
        <w:t>Este Concejo Municipal en uso de las facultades legales que les confiere el Código Municipal Vigente, en el Art. 30 numeral 14, y Considerando: I- Que se dará ejecución al proyecto “Ambientación, Señalización, Equipamiento y Cambio de Techo en UACI, Contabilidad y Salón de Reuniones de la Alcaldía Municipal de Cacaopera, Morazán</w:t>
      </w:r>
      <w:r w:rsidRPr="00C15223">
        <w:rPr>
          <w:rFonts w:asciiTheme="majorHAnsi" w:hAnsiTheme="majorHAnsi" w:cs="Arial"/>
        </w:rPr>
        <w:t>”</w:t>
      </w:r>
      <w:r w:rsidRPr="00C15223">
        <w:rPr>
          <w:rFonts w:asciiTheme="majorHAnsi" w:hAnsiTheme="majorHAnsi" w:cs="Arial"/>
          <w:lang w:val="es-MX"/>
        </w:rPr>
        <w:t xml:space="preserve">; por un monto total de </w:t>
      </w:r>
      <w:r w:rsidRPr="00C15223">
        <w:rPr>
          <w:rFonts w:asciiTheme="majorHAnsi" w:hAnsiTheme="majorHAnsi" w:cs="Arial"/>
          <w:iCs/>
        </w:rPr>
        <w:t>SETENTA Y UN MIL SETECIENTOS CINCUENTA Y TRES DOLARES CON CINCUENTA Y SEIS CENTAVOS DE DÓLAR ($71,753.56)</w:t>
      </w:r>
      <w:r w:rsidRPr="00C15223">
        <w:rPr>
          <w:rFonts w:asciiTheme="majorHAnsi" w:hAnsiTheme="majorHAnsi" w:cs="Arial"/>
          <w:bCs/>
          <w:lang w:eastAsia="ar-SA"/>
        </w:rPr>
        <w:t xml:space="preserve">; </w:t>
      </w:r>
      <w:r w:rsidRPr="00C15223">
        <w:rPr>
          <w:rFonts w:asciiTheme="majorHAnsi" w:hAnsiTheme="majorHAnsi" w:cs="Arial"/>
          <w:lang w:val="es-MX"/>
        </w:rPr>
        <w:t>que incluye monto de ejecución del proyecto y costo de supervisión externa</w:t>
      </w:r>
      <w:r w:rsidRPr="00C15223">
        <w:rPr>
          <w:rFonts w:asciiTheme="majorHAnsi" w:hAnsiTheme="majorHAnsi" w:cs="Arial"/>
          <w:iCs/>
        </w:rPr>
        <w:t>;</w:t>
      </w:r>
      <w:r w:rsidRPr="00C15223">
        <w:rPr>
          <w:rFonts w:asciiTheme="majorHAnsi" w:hAnsiTheme="majorHAnsi" w:cs="Arial"/>
          <w:lang w:val="es-MX"/>
        </w:rPr>
        <w:t xml:space="preserve"> y con el fin de llevar un buen registro de los movimientos financieros del proyecto; ACUERDA: I- Autorizase a la Tesorera Municipal realizar la apertura de una cuenta corriente en </w:t>
      </w:r>
      <w:r w:rsidRPr="00C15223">
        <w:rPr>
          <w:rFonts w:asciiTheme="majorHAnsi" w:hAnsiTheme="majorHAnsi" w:cs="Arial"/>
          <w:b/>
          <w:lang w:val="es-MX"/>
        </w:rPr>
        <w:t>Banco de América Central</w:t>
      </w:r>
      <w:r w:rsidRPr="00C15223">
        <w:rPr>
          <w:rFonts w:asciiTheme="majorHAnsi" w:hAnsiTheme="majorHAnsi" w:cs="Arial"/>
          <w:lang w:val="es-MX"/>
        </w:rPr>
        <w:t xml:space="preserve"> por el monto de </w:t>
      </w:r>
      <w:r w:rsidRPr="00C15223">
        <w:rPr>
          <w:rFonts w:asciiTheme="majorHAnsi" w:hAnsiTheme="majorHAnsi" w:cs="Arial"/>
          <w:b/>
          <w:iCs/>
        </w:rPr>
        <w:t>SETENTA Y UN MIL SETECIENTOS CINCUENTA Y TRES DOLARES CON CINCUENTA Y SEIS CENTAVOS DE DÓLAR ($71,753.56)</w:t>
      </w:r>
      <w:r w:rsidRPr="00C15223">
        <w:rPr>
          <w:rFonts w:asciiTheme="majorHAnsi" w:hAnsiTheme="majorHAnsi" w:cs="Arial"/>
          <w:b/>
          <w:bCs/>
          <w:lang w:eastAsia="ar-SA"/>
        </w:rPr>
        <w:t xml:space="preserve">; </w:t>
      </w:r>
      <w:r w:rsidRPr="00C15223">
        <w:rPr>
          <w:rFonts w:asciiTheme="majorHAnsi" w:hAnsiTheme="majorHAnsi" w:cs="Arial"/>
          <w:lang w:val="es-MX"/>
        </w:rPr>
        <w:t>con el nombre del proyecto “Ambientación, Señalización, Equipamiento y Cambio de Techo en UACI, Contabilidad y Salón de Reuniones de la Alcaldía Municipal de Cacaopera, Morazán</w:t>
      </w:r>
      <w:r w:rsidRPr="00C15223">
        <w:rPr>
          <w:rFonts w:asciiTheme="majorHAnsi" w:hAnsiTheme="majorHAnsi" w:cs="Arial"/>
        </w:rPr>
        <w:t>”</w:t>
      </w:r>
      <w:r w:rsidRPr="00C15223">
        <w:rPr>
          <w:rFonts w:asciiTheme="majorHAnsi" w:hAnsiTheme="majorHAnsi" w:cs="Arial"/>
          <w:lang w:val="es-MX"/>
        </w:rPr>
        <w:t xml:space="preserve">; para todo cobro de cheque serán dos firmas, autorizase registrar en la cuenta las firmas del señor Lorenzo de Jesús Canales Benítez, Alcalde Municipal, señor José Mauro González Amaya, Sexto Regidor Propietario; y de la señorita </w:t>
      </w:r>
      <w:proofErr w:type="spellStart"/>
      <w:r w:rsidRPr="00C15223">
        <w:rPr>
          <w:rFonts w:asciiTheme="majorHAnsi" w:hAnsiTheme="majorHAnsi" w:cs="Arial"/>
          <w:lang w:val="es-MX"/>
        </w:rPr>
        <w:t>Rosibel</w:t>
      </w:r>
      <w:proofErr w:type="spellEnd"/>
      <w:r w:rsidRPr="00C15223">
        <w:rPr>
          <w:rFonts w:asciiTheme="majorHAnsi" w:hAnsiTheme="majorHAnsi" w:cs="Arial"/>
          <w:lang w:val="es-MX"/>
        </w:rPr>
        <w:t xml:space="preserve"> de la Paz Canales Portillo, Tesorera Municipal, con la firma indispensable de la Tesorera Municipal. II- Eróguese fondos para la apertura de la cuenta corriente antes mencionada, según el detalle siguiente: la cantidad de </w:t>
      </w:r>
      <w:r w:rsidRPr="00C15223">
        <w:rPr>
          <w:rFonts w:asciiTheme="majorHAnsi" w:hAnsiTheme="majorHAnsi" w:cs="Arial"/>
          <w:b/>
          <w:lang w:val="es-MX"/>
        </w:rPr>
        <w:t xml:space="preserve">SESENTA Y SIETE MIL OCHOCIENTOS CINCUENTA Y NUEVE </w:t>
      </w:r>
      <w:r w:rsidRPr="00C15223">
        <w:rPr>
          <w:rFonts w:asciiTheme="majorHAnsi" w:hAnsiTheme="majorHAnsi" w:cs="Arial"/>
          <w:b/>
          <w:lang w:val="es-MX"/>
        </w:rPr>
        <w:lastRenderedPageBreak/>
        <w:t>DOLARES CON TREINTA Y TRES CENTAVOS DE DÓLAR ($67,859.33),</w:t>
      </w:r>
      <w:r w:rsidRPr="00C15223">
        <w:rPr>
          <w:rFonts w:asciiTheme="majorHAnsi" w:hAnsiTheme="majorHAnsi" w:cs="Arial"/>
          <w:lang w:val="es-MX"/>
        </w:rPr>
        <w:t xml:space="preserve"> de la Cuenta Corriente número 200721215, a nombre de Alcaldía Municipal de Cacaopera, FODES 75%, y </w:t>
      </w:r>
      <w:r w:rsidRPr="00C15223">
        <w:rPr>
          <w:rFonts w:asciiTheme="majorHAnsi" w:hAnsiTheme="majorHAnsi"/>
        </w:rPr>
        <w:t xml:space="preserve">la cantidad de </w:t>
      </w:r>
      <w:r w:rsidRPr="00C15223">
        <w:rPr>
          <w:rFonts w:asciiTheme="majorHAnsi" w:hAnsiTheme="majorHAnsi"/>
          <w:b/>
        </w:rPr>
        <w:t xml:space="preserve">TRES MIL OCHOCIENTOS NOVENTA Y CUATRO DOLARES CON VEINTITRES CENTAVOS DE DÓLAR (3,894.23), </w:t>
      </w:r>
      <w:r w:rsidRPr="00C15223">
        <w:rPr>
          <w:rFonts w:asciiTheme="majorHAnsi" w:hAnsiTheme="majorHAnsi" w:cs="Arial"/>
          <w:lang w:val="es-MX"/>
        </w:rPr>
        <w:t xml:space="preserve">de la </w:t>
      </w:r>
      <w:r w:rsidRPr="00C15223">
        <w:rPr>
          <w:rFonts w:asciiTheme="majorHAnsi" w:hAnsiTheme="majorHAnsi"/>
        </w:rPr>
        <w:t>Cuenta de Ahorro número 106005598, a nombre de Alcaldía Municipal de Cacaopera, departamento de Morazán, fondos de empréstitos 2011, a fin de liquidar la cuenta mencionada.</w:t>
      </w:r>
      <w:r w:rsidRPr="00C15223">
        <w:rPr>
          <w:rFonts w:asciiTheme="majorHAnsi" w:hAnsiTheme="majorHAnsi" w:cs="Arial"/>
          <w:lang w:val="es-MX"/>
        </w:rPr>
        <w:t xml:space="preserve"> </w:t>
      </w:r>
      <w:r w:rsidRPr="00C15223">
        <w:rPr>
          <w:rFonts w:asciiTheme="majorHAnsi" w:hAnsiTheme="majorHAnsi" w:cs="Arial"/>
        </w:rPr>
        <w:t xml:space="preserve">CERTIFIQUESE. </w:t>
      </w:r>
      <w:r w:rsidRPr="00C15223">
        <w:rPr>
          <w:rFonts w:asciiTheme="majorHAnsi" w:hAnsiTheme="majorHAnsi" w:cs="Arial"/>
          <w:b/>
        </w:rPr>
        <w:t>ACUERDO NÚMERO SIETE:</w:t>
      </w:r>
      <w:r w:rsidRPr="00C15223">
        <w:rPr>
          <w:rFonts w:asciiTheme="majorHAnsi" w:hAnsiTheme="majorHAnsi" w:cs="Arial"/>
        </w:rPr>
        <w:t xml:space="preserve"> </w:t>
      </w:r>
      <w:r w:rsidRPr="00C15223">
        <w:rPr>
          <w:rFonts w:asciiTheme="majorHAnsi" w:eastAsia="Arial Unicode MS" w:hAnsiTheme="majorHAnsi" w:cs="Arial"/>
        </w:rPr>
        <w:t xml:space="preserve">El Concejo Municipal en uso de las facultades legales que el Código Municipal les confiere en su Art. 30 numeral 14, y considerando que se ha finalizado el proyecto </w:t>
      </w:r>
      <w:r w:rsidRPr="00C15223">
        <w:rPr>
          <w:rFonts w:asciiTheme="majorHAnsi" w:hAnsiTheme="majorHAnsi" w:cs="Arial"/>
          <w:lang w:val="es-MX"/>
        </w:rPr>
        <w:t>Empedrado Fraguado Superficie no Terminada en Caserío El Campo, y Caserío Los Hernández, Cantón Ocotillo, Municipio de Cacaopera, Morazán;</w:t>
      </w:r>
      <w:r w:rsidRPr="00C15223">
        <w:rPr>
          <w:rFonts w:asciiTheme="majorHAnsi" w:eastAsia="Arial Unicode MS" w:hAnsiTheme="majorHAnsi" w:cs="Arial"/>
        </w:rPr>
        <w:t xml:space="preserve"> en tal sentido este Concejo ACUERDA: a) </w:t>
      </w:r>
      <w:r w:rsidRPr="00C15223">
        <w:rPr>
          <w:rFonts w:asciiTheme="majorHAnsi" w:hAnsiTheme="majorHAnsi" w:cs="Arial"/>
        </w:rPr>
        <w:t xml:space="preserve">Liquidar la cuenta corriente del proyecto </w:t>
      </w:r>
      <w:r w:rsidRPr="00C15223">
        <w:rPr>
          <w:rFonts w:asciiTheme="majorHAnsi" w:hAnsiTheme="majorHAnsi" w:cs="Arial"/>
          <w:lang w:val="es-MX"/>
        </w:rPr>
        <w:t>Empedrado Fraguado Superficie no Terminada en Caserío El Campo, y Caserío Los Hernández, Cantón Ocotillo, Municipio de Cacaopera, Morazán; según cuenta corriente número 200544120,</w:t>
      </w:r>
      <w:r w:rsidRPr="00C15223">
        <w:rPr>
          <w:rFonts w:asciiTheme="majorHAnsi" w:hAnsiTheme="majorHAnsi" w:cs="Arial"/>
        </w:rPr>
        <w:t xml:space="preserve"> por la cantidad de CIENTO SESENTA Y SIETE DOLARES CON TRES CENTAVOS DE DÓLAR ($167.03); y depositar el saldo existente en la cuenta corriente número 200721215, correspondiente al FODES 75%, del Banco América Central</w:t>
      </w:r>
      <w:r w:rsidRPr="00C15223">
        <w:rPr>
          <w:rFonts w:asciiTheme="majorHAnsi" w:hAnsiTheme="majorHAnsi" w:cs="Arial"/>
          <w:lang w:val="es-MX"/>
        </w:rPr>
        <w:t>; b</w:t>
      </w:r>
      <w:r w:rsidRPr="00C15223">
        <w:rPr>
          <w:rFonts w:asciiTheme="majorHAnsi" w:hAnsiTheme="majorHAnsi" w:cs="Arial"/>
        </w:rPr>
        <w:t xml:space="preserve">) Facultase a la Tesorera Municipal para que realice los trámites correspondientes para la liquidación de las cuentas mencionadas, COMUNIQUESE. </w:t>
      </w:r>
      <w:r w:rsidRPr="00C15223">
        <w:rPr>
          <w:rFonts w:asciiTheme="majorHAnsi" w:hAnsiTheme="majorHAnsi"/>
          <w:b/>
        </w:rPr>
        <w:t>ACUERDO NÚMERO OCHO:</w:t>
      </w:r>
      <w:r w:rsidRPr="00C15223">
        <w:rPr>
          <w:rFonts w:asciiTheme="majorHAnsi" w:hAnsiTheme="majorHAnsi"/>
        </w:rPr>
        <w:t xml:space="preserve"> El Concejo Municipal en uso de las facultades legales que el Código Municipal les confiere en su Art. 30 numeral 14, ACUERDA: </w:t>
      </w:r>
      <w:r w:rsidRPr="00C15223">
        <w:rPr>
          <w:rFonts w:asciiTheme="majorHAnsi" w:eastAsia="Arial Unicode MS" w:hAnsiTheme="majorHAnsi" w:cs="Arial"/>
        </w:rPr>
        <w:t xml:space="preserve">I) Autorizase a la Tesorera Municipal a efecto de que realice en el Banco de América Central, la siguiente transacción: Trasladar de la cuenta corriente número 200721215 del 75% FODES, la cantidad de </w:t>
      </w:r>
      <w:r w:rsidRPr="00C15223">
        <w:rPr>
          <w:rFonts w:asciiTheme="majorHAnsi" w:hAnsiTheme="majorHAnsi" w:cs="Arial"/>
        </w:rPr>
        <w:t>DOS MIL DOSCIENTOS VEINTICINCO DOLARES CON SETENTA Y SIETE CENTAVOS DE DÓLAR ($2,225.77)</w:t>
      </w:r>
      <w:r w:rsidRPr="00C15223">
        <w:rPr>
          <w:rFonts w:asciiTheme="majorHAnsi" w:eastAsia="Arial Unicode MS" w:hAnsiTheme="majorHAnsi" w:cs="Arial"/>
        </w:rPr>
        <w:t>, a la cuenta  corriente número 200714707 a nombre Alcaldía Municipal de Cacaopera Mantenimiento y Equipamiento de Equipo</w:t>
      </w:r>
      <w:r w:rsidRPr="00C15223">
        <w:rPr>
          <w:rFonts w:asciiTheme="majorHAnsi" w:hAnsiTheme="majorHAnsi" w:cs="Arial"/>
        </w:rPr>
        <w:t xml:space="preserve">. </w:t>
      </w:r>
      <w:r w:rsidRPr="00C15223">
        <w:rPr>
          <w:rFonts w:asciiTheme="majorHAnsi" w:eastAsia="Arial Unicode MS" w:hAnsiTheme="majorHAnsi" w:cs="Arial"/>
        </w:rPr>
        <w:t xml:space="preserve">II) Facultase al Banco de América Central, para que realice la Transferencia anteriormente expresada, CERTIFIQUESE. </w:t>
      </w:r>
      <w:r w:rsidRPr="00C15223">
        <w:rPr>
          <w:rFonts w:asciiTheme="majorHAnsi" w:eastAsia="Arial Unicode MS" w:hAnsiTheme="majorHAnsi" w:cs="Arial"/>
          <w:b/>
        </w:rPr>
        <w:t>ACUERDO NÚMERO NUEVE:</w:t>
      </w:r>
      <w:r w:rsidRPr="00C15223">
        <w:rPr>
          <w:rFonts w:asciiTheme="majorHAnsi" w:eastAsia="Arial Unicode MS" w:hAnsiTheme="majorHAnsi" w:cs="Arial"/>
        </w:rPr>
        <w:t xml:space="preserve"> </w:t>
      </w:r>
      <w:r w:rsidRPr="00C15223">
        <w:rPr>
          <w:rFonts w:asciiTheme="majorHAnsi" w:hAnsiTheme="majorHAnsi" w:cs="Arial"/>
        </w:rPr>
        <w:t xml:space="preserve">El Concejo Municipal en uso de las facultades legales que el Código Municipal les confiere en su Art. 30 numeral 14, ACUERDA: a) Autorizase a la Tesorera Municipal para que pueda tramitar </w:t>
      </w:r>
      <w:r w:rsidRPr="00C15223">
        <w:rPr>
          <w:rFonts w:asciiTheme="majorHAnsi" w:eastAsia="Arial Unicode MS" w:hAnsiTheme="majorHAnsi" w:cs="Arial"/>
        </w:rPr>
        <w:t>Traslado de fondos de la cuenta corriente número 200721215 del 75% FODES, por la cantidad de SEIS MIL DOLARES DE LOS ESTADOS UNIDOS ($6,000.00), a la cuenta  corriente número 200714699 a nombre de Alcaldía Municipal de Cacaopera Servicios Profesionales. b) Facultase al Banco de América Central, para que realice la Transferencia anteriormente expresada, CERTIFIQUESE.</w:t>
      </w:r>
      <w:r w:rsidRPr="00C15223">
        <w:rPr>
          <w:rFonts w:asciiTheme="majorHAnsi" w:eastAsia="Arial Unicode MS" w:hAnsiTheme="majorHAnsi" w:cs="Arial"/>
          <w:b/>
        </w:rPr>
        <w:t xml:space="preserve"> </w:t>
      </w:r>
      <w:r w:rsidRPr="00C15223">
        <w:rPr>
          <w:rFonts w:asciiTheme="majorHAnsi" w:eastAsia="Arial Unicode MS" w:hAnsiTheme="majorHAnsi" w:cs="Arial"/>
          <w:b/>
        </w:rPr>
        <w:lastRenderedPageBreak/>
        <w:t>ACUERDO NÚMERO DIEZ:</w:t>
      </w:r>
      <w:r w:rsidRPr="00C15223">
        <w:rPr>
          <w:rFonts w:asciiTheme="majorHAnsi" w:eastAsia="Arial Unicode MS" w:hAnsiTheme="majorHAnsi" w:cs="Arial"/>
        </w:rPr>
        <w:t xml:space="preserve"> El Concejo Municipal en uso de las facultades legales que el Código Municipal les confiere en su Art. 30 numeral 9, ACUERDA: </w:t>
      </w:r>
      <w:r w:rsidRPr="00C15223">
        <w:rPr>
          <w:rFonts w:asciiTheme="majorHAnsi" w:hAnsiTheme="majorHAnsi"/>
        </w:rPr>
        <w:t xml:space="preserve">Adjudicar la Compra de Control de Transmisión de cambios de velocidades de Motoniveladora 120H, Propiedad de esta Municipalidad, a la  Compañía General de Equipos S.A DE C.V., por la cantidad  de  UN MIL SETECIENTOS CUARENTA Y DOS DOLARES CON NOVENTA Y DOS CENTAVOS DE DÓLAR ($1,742.92), seguidamente facultase a la Tesorera Municipal, a efecto de que realice el pago de la factura correspondiente a la compra anteriormente expresada, de la cuenta Mantenimiento y Equipamiento de Equipo, COMUNIQUESE. </w:t>
      </w:r>
      <w:r>
        <w:rPr>
          <w:rFonts w:asciiTheme="majorHAnsi" w:hAnsiTheme="majorHAnsi"/>
        </w:rPr>
        <w:t xml:space="preserve"> </w:t>
      </w:r>
      <w:r w:rsidRPr="00C15223">
        <w:rPr>
          <w:rFonts w:asciiTheme="majorHAnsi" w:hAnsiTheme="majorHAnsi"/>
          <w:b/>
        </w:rPr>
        <w:t>ACUERDO NÚMERO ONCE:</w:t>
      </w:r>
      <w:r w:rsidRPr="00C15223">
        <w:rPr>
          <w:rFonts w:asciiTheme="majorHAnsi" w:hAnsiTheme="majorHAnsi"/>
        </w:rPr>
        <w:t xml:space="preserve"> El Concejo Municipal en uso de las facultades legales que el Código Municipal les confiere en su Art. 30 numeral 9, ACUERDA: Adjudicar la Compra de un Uniforme de futbol para el Club Deportivo SAPRISSA, del Caserío la Presa Cantón La Estancia, de esta jurisdicción; a la empresa  INDUSTRIAS VIKTOR, S.A DE C.V., por la cantidad de CIENTO TREINTA Y SIETE DOLARES CON CUARENTA CENTAVOS DE DÓLAR ($137.40), seguidamente facultase a la Tesorera Municipal, a efecto de que realice el pago de la factura correspondiente de los fondos propios municipales, COMUNIQUESE. </w:t>
      </w:r>
      <w:r>
        <w:rPr>
          <w:rFonts w:asciiTheme="majorHAnsi" w:hAnsiTheme="majorHAnsi"/>
        </w:rPr>
        <w:t xml:space="preserve"> </w:t>
      </w:r>
      <w:r w:rsidRPr="00C15223">
        <w:rPr>
          <w:rFonts w:asciiTheme="majorHAnsi" w:hAnsiTheme="majorHAnsi"/>
          <w:b/>
        </w:rPr>
        <w:t>ACUERDO NÚMERO DOCE:</w:t>
      </w:r>
      <w:r w:rsidRPr="00C15223">
        <w:rPr>
          <w:rFonts w:asciiTheme="majorHAnsi" w:hAnsiTheme="majorHAnsi"/>
        </w:rPr>
        <w:t xml:space="preserve"> El Concejo Municipal en uso de las facultades legales que el Código Municipal les confiere en su Art. 30 numeral 9, ACUERDA: Adjudicar la Compra de cuarenta canastas  navideñas para  empleados y Concejo Municipal, a  Selectos  </w:t>
      </w:r>
      <w:proofErr w:type="spellStart"/>
      <w:r w:rsidRPr="00C15223">
        <w:rPr>
          <w:rFonts w:asciiTheme="majorHAnsi" w:hAnsiTheme="majorHAnsi"/>
        </w:rPr>
        <w:t>Market</w:t>
      </w:r>
      <w:proofErr w:type="spellEnd"/>
      <w:r w:rsidRPr="00C15223">
        <w:rPr>
          <w:rFonts w:asciiTheme="majorHAnsi" w:hAnsiTheme="majorHAnsi"/>
        </w:rPr>
        <w:t xml:space="preserve">  San Francisco Gotera, por la cantidad  de  QUINCE DOLARES ($15.00) cada una haciendo un total de SEISCIENTOS DOLARES ($600.00),  y el suministro de Almuerzos a la Señora Sonia </w:t>
      </w:r>
      <w:proofErr w:type="spellStart"/>
      <w:r w:rsidRPr="00C15223">
        <w:rPr>
          <w:rFonts w:asciiTheme="majorHAnsi" w:hAnsiTheme="majorHAnsi"/>
        </w:rPr>
        <w:t>Dorivel</w:t>
      </w:r>
      <w:proofErr w:type="spellEnd"/>
      <w:r w:rsidRPr="00C15223">
        <w:rPr>
          <w:rFonts w:asciiTheme="majorHAnsi" w:hAnsiTheme="majorHAnsi"/>
        </w:rPr>
        <w:t xml:space="preserve"> González, por la cantidad total de DOSCIENTOS VEINTICINCO DOLARES ($225.00), seguidamente facultase a la Tesorera Municipal a efecto de que realice los pagos correspondiente a las adjudicaciones anteriormente expresadas de los fondos propios municipales, COMUNIQUESE. </w:t>
      </w:r>
      <w:r w:rsidR="001C1CB1">
        <w:rPr>
          <w:rFonts w:asciiTheme="majorHAnsi" w:hAnsiTheme="majorHAnsi"/>
        </w:rPr>
        <w:t xml:space="preserve"> </w:t>
      </w:r>
      <w:r w:rsidRPr="00C15223">
        <w:rPr>
          <w:rFonts w:asciiTheme="majorHAnsi" w:hAnsiTheme="majorHAnsi"/>
          <w:b/>
        </w:rPr>
        <w:t>ACUERDO</w:t>
      </w:r>
      <w:r w:rsidR="001C1CB1">
        <w:rPr>
          <w:rFonts w:asciiTheme="majorHAnsi" w:hAnsiTheme="majorHAnsi"/>
          <w:b/>
        </w:rPr>
        <w:t xml:space="preserve"> </w:t>
      </w:r>
      <w:r w:rsidRPr="00C15223">
        <w:rPr>
          <w:rFonts w:asciiTheme="majorHAnsi" w:hAnsiTheme="majorHAnsi"/>
          <w:b/>
        </w:rPr>
        <w:t xml:space="preserve"> NÚMERO TRECE:</w:t>
      </w:r>
      <w:r w:rsidRPr="00C15223">
        <w:rPr>
          <w:rFonts w:asciiTheme="majorHAnsi" w:hAnsiTheme="majorHAnsi"/>
        </w:rPr>
        <w:t xml:space="preserve"> El Concejo Municipal en uso de las facultades legales que el Código Municipal les confiere en su Art. 30 numeral 9, ACUERDA: Adjudicar la Compra de Fotocopiadora KIOCERA  MINOLTA BH 283 a PRINTER de El Salvador S.A de C.V., por la cantidad de TRES MIL DOLARES ($3,000.00) y la compra de Central Telefónica a la empresa SYSCOTEL  S.A DE C.V., por la  cantidad total de UN MIL DOSCIENTOS </w:t>
      </w:r>
      <w:r w:rsidR="00C66F3C">
        <w:rPr>
          <w:rFonts w:asciiTheme="majorHAnsi" w:hAnsiTheme="majorHAnsi"/>
        </w:rPr>
        <w:t>C</w:t>
      </w:r>
      <w:r w:rsidRPr="00C15223">
        <w:rPr>
          <w:rFonts w:asciiTheme="majorHAnsi" w:hAnsiTheme="majorHAnsi"/>
        </w:rPr>
        <w:t xml:space="preserve">INCUENTA DOLARES ($1,250.00). en el Proyecto: Ambientación, Señalización, Equipamiento y cambio de techo en UACI, Contabilidad y Salón de Reuniones de la Alcaldía Municipal de Cacaopera; seguidamente facultase a la Tesorera Municipal a efecto de que realice los pagos de las facturas correspondientes de la cuenta del mismo proyecto, </w:t>
      </w:r>
      <w:r w:rsidRPr="00C15223">
        <w:rPr>
          <w:rFonts w:asciiTheme="majorHAnsi" w:hAnsiTheme="majorHAnsi"/>
        </w:rPr>
        <w:lastRenderedPageBreak/>
        <w:t xml:space="preserve">COMUNIQUESE.- </w:t>
      </w:r>
      <w:r w:rsidRPr="00C15223">
        <w:rPr>
          <w:rFonts w:asciiTheme="majorHAnsi" w:hAnsiTheme="majorHAnsi"/>
          <w:b/>
        </w:rPr>
        <w:t>ACUERDO NUMERO CATORCE:</w:t>
      </w:r>
      <w:r w:rsidRPr="00C15223">
        <w:rPr>
          <w:rFonts w:asciiTheme="majorHAnsi" w:hAnsiTheme="majorHAnsi"/>
        </w:rPr>
        <w:t xml:space="preserve"> El Concejo Municipal en uso de las facultades legales que el Código Municipal les confiere en su Art. 30 numeral 9, ACUERDA: Adjudicar Repuestos para Retroexcavadora 416D, propiedad de esta Municipalidad, a La Compañía General de Equipos S.A DE C.V., por la cantidad total de SETECIENTOS NOVENTA Y CINCO DOLARES CON OCHENTA Y OCHO CENTAVOS DE DÓLAR ($795.88) y la elaboración de dos vástagos de botellas gemelas al taller de mecánica Industrial J. R. </w:t>
      </w:r>
      <w:proofErr w:type="spellStart"/>
      <w:r w:rsidRPr="00C15223">
        <w:rPr>
          <w:rFonts w:asciiTheme="majorHAnsi" w:hAnsiTheme="majorHAnsi"/>
        </w:rPr>
        <w:t>Buching</w:t>
      </w:r>
      <w:proofErr w:type="spellEnd"/>
      <w:r w:rsidRPr="00C15223">
        <w:rPr>
          <w:rFonts w:asciiTheme="majorHAnsi" w:hAnsiTheme="majorHAnsi"/>
        </w:rPr>
        <w:t xml:space="preserve">-CH, por la cantidad total de OCHOCIENTOS DOLARES ($800.00), seguidamente facultase a la Tesorera Municipal a efecto de que realice el pago correspondiente de la Cuenta de Maquinaria, COMUNIQUESE. </w:t>
      </w:r>
      <w:r w:rsidRPr="00C15223">
        <w:rPr>
          <w:rFonts w:asciiTheme="majorHAnsi" w:hAnsiTheme="majorHAnsi"/>
          <w:b/>
        </w:rPr>
        <w:t>ACUERDO NUMERO QUINCE:</w:t>
      </w:r>
      <w:r w:rsidRPr="00C15223">
        <w:rPr>
          <w:rFonts w:asciiTheme="majorHAnsi" w:hAnsiTheme="majorHAnsi"/>
        </w:rPr>
        <w:t xml:space="preserve"> El Concejo Municipal en uso de las facultades legales que el Código Municipal les confiere en su Art. 30 numeral 9, ACUERDA: Adjudicar la Compra de refrigerios a la señora Ana Arely Fuentes Hernández, por la cantidad de TRESCIENTOS DOLARES ($300.00) y el Alquiler de sillas a la Empresa </w:t>
      </w:r>
      <w:proofErr w:type="spellStart"/>
      <w:r w:rsidRPr="00C15223">
        <w:rPr>
          <w:rFonts w:asciiTheme="majorHAnsi" w:hAnsiTheme="majorHAnsi"/>
        </w:rPr>
        <w:t>House</w:t>
      </w:r>
      <w:proofErr w:type="spellEnd"/>
      <w:r w:rsidRPr="00C15223">
        <w:rPr>
          <w:rFonts w:asciiTheme="majorHAnsi" w:hAnsiTheme="majorHAnsi"/>
        </w:rPr>
        <w:t xml:space="preserve"> </w:t>
      </w:r>
      <w:proofErr w:type="spellStart"/>
      <w:r w:rsidRPr="00C15223">
        <w:rPr>
          <w:rFonts w:asciiTheme="majorHAnsi" w:hAnsiTheme="majorHAnsi"/>
        </w:rPr>
        <w:t>Party</w:t>
      </w:r>
      <w:proofErr w:type="spellEnd"/>
      <w:r w:rsidRPr="00C15223">
        <w:rPr>
          <w:rFonts w:asciiTheme="majorHAnsi" w:hAnsiTheme="majorHAnsi"/>
        </w:rPr>
        <w:t xml:space="preserve">, por la cantidad DOSCIENTOS CUATRO DOLARES ($204.00), para el evento de la consulta Ciudadana del Proyecto Mejoramiento de Cuesta El Copante Cantón La Estancia Municipio de Cacaopera, seguidamente facultase a la Tesorera Municipal a efecto de que realice el pago correspondiente de los fondos propios municipales, COMUNIQUESE. </w:t>
      </w:r>
      <w:r>
        <w:rPr>
          <w:rFonts w:asciiTheme="majorHAnsi" w:hAnsiTheme="majorHAnsi"/>
        </w:rPr>
        <w:t xml:space="preserve"> </w:t>
      </w:r>
      <w:r w:rsidRPr="00C15223">
        <w:rPr>
          <w:rFonts w:asciiTheme="majorHAnsi" w:hAnsiTheme="majorHAnsi"/>
          <w:b/>
        </w:rPr>
        <w:t>ACUERDO NÚMERO DIECISEIS:</w:t>
      </w:r>
      <w:r w:rsidRPr="00C15223">
        <w:rPr>
          <w:rFonts w:asciiTheme="majorHAnsi" w:hAnsiTheme="majorHAnsi" w:cs="Arial"/>
        </w:rPr>
        <w:t xml:space="preserve"> </w:t>
      </w:r>
      <w:r w:rsidRPr="00C15223">
        <w:rPr>
          <w:rFonts w:asciiTheme="majorHAnsi" w:hAnsiTheme="majorHAnsi"/>
        </w:rPr>
        <w:t>El concejo Municipal en uso de las facultades legales, que el código municipal le concede ACUERDA: Aprobar la reestructuración de la Junta Directiva del Comité de Desarrollo del Municipio de Cacaopera (CODEM) así:</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 xml:space="preserve">Coordinador: </w:t>
      </w:r>
      <w:r w:rsidRPr="00C15223">
        <w:rPr>
          <w:rFonts w:asciiTheme="majorHAnsi" w:hAnsiTheme="majorHAnsi"/>
        </w:rPr>
        <w:tab/>
      </w:r>
      <w:r w:rsidRPr="00C15223">
        <w:rPr>
          <w:rFonts w:asciiTheme="majorHAnsi" w:hAnsiTheme="majorHAnsi"/>
        </w:rPr>
        <w:tab/>
        <w:t xml:space="preserve">           </w:t>
      </w:r>
      <w:r w:rsidRPr="00C15223">
        <w:rPr>
          <w:rFonts w:asciiTheme="majorHAnsi" w:hAnsiTheme="majorHAnsi"/>
        </w:rPr>
        <w:tab/>
      </w:r>
      <w:r w:rsidRPr="00C15223">
        <w:rPr>
          <w:rFonts w:asciiTheme="majorHAnsi" w:hAnsiTheme="majorHAnsi"/>
        </w:rPr>
        <w:tab/>
        <w:t>Santos Andrés Márquez.</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Sub Coordinador:</w:t>
      </w:r>
      <w:r w:rsidRPr="00C15223">
        <w:rPr>
          <w:rFonts w:asciiTheme="majorHAnsi" w:hAnsiTheme="majorHAnsi"/>
        </w:rPr>
        <w:tab/>
      </w:r>
      <w:r w:rsidRPr="00C15223">
        <w:rPr>
          <w:rFonts w:asciiTheme="majorHAnsi" w:hAnsiTheme="majorHAnsi"/>
        </w:rPr>
        <w:tab/>
      </w:r>
      <w:r w:rsidRPr="00C15223">
        <w:rPr>
          <w:rFonts w:asciiTheme="majorHAnsi" w:hAnsiTheme="majorHAnsi"/>
        </w:rPr>
        <w:tab/>
        <w:t xml:space="preserve">Martín Ezequiel García </w:t>
      </w:r>
      <w:proofErr w:type="spellStart"/>
      <w:r w:rsidRPr="00C15223">
        <w:rPr>
          <w:rFonts w:asciiTheme="majorHAnsi" w:hAnsiTheme="majorHAnsi"/>
        </w:rPr>
        <w:t>García</w:t>
      </w:r>
      <w:proofErr w:type="spellEnd"/>
      <w:r w:rsidRPr="00C15223">
        <w:rPr>
          <w:rFonts w:asciiTheme="majorHAnsi" w:hAnsiTheme="majorHAnsi"/>
        </w:rPr>
        <w:t>.</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Secretaria:</w:t>
      </w:r>
      <w:r w:rsidRPr="00C15223">
        <w:rPr>
          <w:rFonts w:asciiTheme="majorHAnsi" w:hAnsiTheme="majorHAnsi"/>
        </w:rPr>
        <w:tab/>
      </w:r>
      <w:r w:rsidRPr="00C15223">
        <w:rPr>
          <w:rFonts w:asciiTheme="majorHAnsi" w:hAnsiTheme="majorHAnsi"/>
        </w:rPr>
        <w:tab/>
      </w:r>
      <w:r w:rsidRPr="00C15223">
        <w:rPr>
          <w:rFonts w:asciiTheme="majorHAnsi" w:hAnsiTheme="majorHAnsi"/>
        </w:rPr>
        <w:tab/>
      </w:r>
      <w:r w:rsidRPr="00C15223">
        <w:rPr>
          <w:rFonts w:asciiTheme="majorHAnsi" w:hAnsiTheme="majorHAnsi"/>
        </w:rPr>
        <w:tab/>
        <w:t>Silvia Carolina Arriaza Fuentes.</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 xml:space="preserve">Pro secretario: </w:t>
      </w:r>
      <w:r w:rsidRPr="00C15223">
        <w:rPr>
          <w:rFonts w:asciiTheme="majorHAnsi" w:hAnsiTheme="majorHAnsi"/>
        </w:rPr>
        <w:tab/>
      </w:r>
      <w:r w:rsidRPr="00C15223">
        <w:rPr>
          <w:rFonts w:asciiTheme="majorHAnsi" w:hAnsiTheme="majorHAnsi"/>
        </w:rPr>
        <w:tab/>
      </w:r>
      <w:r w:rsidRPr="00C15223">
        <w:rPr>
          <w:rFonts w:asciiTheme="majorHAnsi" w:hAnsiTheme="majorHAnsi"/>
        </w:rPr>
        <w:tab/>
        <w:t>Elmer Mauricio Ramírez Villatoro.</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Tesorera:</w:t>
      </w:r>
      <w:r w:rsidRPr="00C15223">
        <w:rPr>
          <w:rFonts w:asciiTheme="majorHAnsi" w:hAnsiTheme="majorHAnsi"/>
        </w:rPr>
        <w:tab/>
      </w:r>
      <w:r w:rsidRPr="00C15223">
        <w:rPr>
          <w:rFonts w:asciiTheme="majorHAnsi" w:hAnsiTheme="majorHAnsi"/>
        </w:rPr>
        <w:tab/>
      </w:r>
      <w:r w:rsidRPr="00C15223">
        <w:rPr>
          <w:rFonts w:asciiTheme="majorHAnsi" w:hAnsiTheme="majorHAnsi"/>
        </w:rPr>
        <w:tab/>
      </w:r>
      <w:r w:rsidRPr="00C15223">
        <w:rPr>
          <w:rFonts w:asciiTheme="majorHAnsi" w:hAnsiTheme="majorHAnsi"/>
        </w:rPr>
        <w:tab/>
        <w:t>Lidia del Carmen Ramos.</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 xml:space="preserve">Pro tesorera: </w:t>
      </w:r>
      <w:r w:rsidRPr="00C15223">
        <w:rPr>
          <w:rFonts w:asciiTheme="majorHAnsi" w:hAnsiTheme="majorHAnsi"/>
        </w:rPr>
        <w:tab/>
      </w:r>
      <w:r w:rsidRPr="00C15223">
        <w:rPr>
          <w:rFonts w:asciiTheme="majorHAnsi" w:hAnsiTheme="majorHAnsi"/>
        </w:rPr>
        <w:tab/>
        <w:t xml:space="preserve">           </w:t>
      </w:r>
      <w:r w:rsidRPr="00C15223">
        <w:rPr>
          <w:rFonts w:asciiTheme="majorHAnsi" w:hAnsiTheme="majorHAnsi"/>
        </w:rPr>
        <w:tab/>
      </w:r>
      <w:r w:rsidRPr="00C15223">
        <w:rPr>
          <w:rFonts w:asciiTheme="majorHAnsi" w:hAnsiTheme="majorHAnsi"/>
        </w:rPr>
        <w:tab/>
        <w:t>Vicenta de Jesús Chicas González.</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Síndico:</w:t>
      </w:r>
      <w:r w:rsidRPr="00C15223">
        <w:rPr>
          <w:rFonts w:asciiTheme="majorHAnsi" w:hAnsiTheme="majorHAnsi"/>
        </w:rPr>
        <w:tab/>
      </w:r>
      <w:r w:rsidRPr="00C15223">
        <w:rPr>
          <w:rFonts w:asciiTheme="majorHAnsi" w:hAnsiTheme="majorHAnsi"/>
        </w:rPr>
        <w:tab/>
      </w:r>
      <w:r w:rsidRPr="00C15223">
        <w:rPr>
          <w:rFonts w:asciiTheme="majorHAnsi" w:hAnsiTheme="majorHAnsi"/>
        </w:rPr>
        <w:tab/>
      </w:r>
      <w:r w:rsidRPr="00C15223">
        <w:rPr>
          <w:rFonts w:asciiTheme="majorHAnsi" w:hAnsiTheme="majorHAnsi"/>
        </w:rPr>
        <w:tab/>
        <w:t>José María Argueta Chica.</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Primer Vocal:</w:t>
      </w:r>
      <w:r w:rsidRPr="00C15223">
        <w:rPr>
          <w:rFonts w:asciiTheme="majorHAnsi" w:hAnsiTheme="majorHAnsi"/>
        </w:rPr>
        <w:tab/>
      </w:r>
      <w:r w:rsidRPr="00C15223">
        <w:rPr>
          <w:rFonts w:asciiTheme="majorHAnsi" w:hAnsiTheme="majorHAnsi"/>
        </w:rPr>
        <w:tab/>
      </w:r>
      <w:r w:rsidRPr="00C15223">
        <w:rPr>
          <w:rFonts w:asciiTheme="majorHAnsi" w:hAnsiTheme="majorHAnsi"/>
        </w:rPr>
        <w:tab/>
      </w:r>
      <w:r w:rsidRPr="00C15223">
        <w:rPr>
          <w:rFonts w:asciiTheme="majorHAnsi" w:hAnsiTheme="majorHAnsi"/>
        </w:rPr>
        <w:tab/>
        <w:t xml:space="preserve">Noel </w:t>
      </w:r>
      <w:proofErr w:type="spellStart"/>
      <w:r w:rsidRPr="00C15223">
        <w:rPr>
          <w:rFonts w:asciiTheme="majorHAnsi" w:hAnsiTheme="majorHAnsi"/>
        </w:rPr>
        <w:t>Emeldo</w:t>
      </w:r>
      <w:proofErr w:type="spellEnd"/>
      <w:r w:rsidRPr="00C15223">
        <w:rPr>
          <w:rFonts w:asciiTheme="majorHAnsi" w:hAnsiTheme="majorHAnsi"/>
        </w:rPr>
        <w:t xml:space="preserve"> Ramírez.</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Segundo Vocal:</w:t>
      </w:r>
      <w:r w:rsidRPr="00C15223">
        <w:rPr>
          <w:rFonts w:asciiTheme="majorHAnsi" w:hAnsiTheme="majorHAnsi"/>
        </w:rPr>
        <w:tab/>
      </w:r>
      <w:r w:rsidRPr="00C15223">
        <w:rPr>
          <w:rFonts w:asciiTheme="majorHAnsi" w:hAnsiTheme="majorHAnsi"/>
        </w:rPr>
        <w:tab/>
      </w:r>
      <w:r w:rsidRPr="00C15223">
        <w:rPr>
          <w:rFonts w:asciiTheme="majorHAnsi" w:hAnsiTheme="majorHAnsi"/>
        </w:rPr>
        <w:tab/>
        <w:t>Marta Alicia Portillo Argueta.</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Tercer Vocal:</w:t>
      </w:r>
      <w:r w:rsidRPr="00C15223">
        <w:rPr>
          <w:rFonts w:asciiTheme="majorHAnsi" w:hAnsiTheme="majorHAnsi"/>
        </w:rPr>
        <w:tab/>
      </w:r>
      <w:r w:rsidRPr="00C15223">
        <w:rPr>
          <w:rFonts w:asciiTheme="majorHAnsi" w:hAnsiTheme="majorHAnsi"/>
        </w:rPr>
        <w:tab/>
      </w:r>
      <w:r w:rsidRPr="00C15223">
        <w:rPr>
          <w:rFonts w:asciiTheme="majorHAnsi" w:hAnsiTheme="majorHAnsi"/>
        </w:rPr>
        <w:tab/>
      </w:r>
      <w:r w:rsidRPr="00C15223">
        <w:rPr>
          <w:rFonts w:asciiTheme="majorHAnsi" w:hAnsiTheme="majorHAnsi"/>
        </w:rPr>
        <w:tab/>
        <w:t>María Francisca Cortez Ortiz.</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Formando también la Directiva de los Comités.</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 xml:space="preserve">Infraestructura: </w:t>
      </w:r>
      <w:r w:rsidRPr="00C15223">
        <w:rPr>
          <w:rFonts w:asciiTheme="majorHAnsi" w:hAnsiTheme="majorHAnsi"/>
        </w:rPr>
        <w:tab/>
      </w:r>
      <w:r w:rsidRPr="00C15223">
        <w:rPr>
          <w:rFonts w:asciiTheme="majorHAnsi" w:hAnsiTheme="majorHAnsi"/>
        </w:rPr>
        <w:tab/>
        <w:t>José Alfredo Pérez Ortiz.</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lastRenderedPageBreak/>
        <w:t>Social:</w:t>
      </w:r>
      <w:r w:rsidRPr="00C15223">
        <w:rPr>
          <w:rFonts w:asciiTheme="majorHAnsi" w:hAnsiTheme="majorHAnsi"/>
        </w:rPr>
        <w:tab/>
      </w:r>
      <w:r w:rsidRPr="00C15223">
        <w:rPr>
          <w:rFonts w:asciiTheme="majorHAnsi" w:hAnsiTheme="majorHAnsi"/>
        </w:rPr>
        <w:tab/>
      </w:r>
      <w:r w:rsidRPr="00C15223">
        <w:rPr>
          <w:rFonts w:asciiTheme="majorHAnsi" w:hAnsiTheme="majorHAnsi"/>
        </w:rPr>
        <w:tab/>
      </w:r>
      <w:r w:rsidRPr="00C15223">
        <w:rPr>
          <w:rFonts w:asciiTheme="majorHAnsi" w:hAnsiTheme="majorHAnsi"/>
        </w:rPr>
        <w:tab/>
        <w:t>Víctor Manuel Hernández.</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 xml:space="preserve">Ambiental: </w:t>
      </w:r>
      <w:r w:rsidRPr="00C15223">
        <w:rPr>
          <w:rFonts w:asciiTheme="majorHAnsi" w:hAnsiTheme="majorHAnsi"/>
        </w:rPr>
        <w:tab/>
      </w:r>
      <w:r w:rsidRPr="00C15223">
        <w:rPr>
          <w:rFonts w:asciiTheme="majorHAnsi" w:hAnsiTheme="majorHAnsi"/>
        </w:rPr>
        <w:tab/>
      </w:r>
      <w:r w:rsidRPr="00C15223">
        <w:rPr>
          <w:rFonts w:asciiTheme="majorHAnsi" w:hAnsiTheme="majorHAnsi"/>
        </w:rPr>
        <w:tab/>
        <w:t>Valentín Pérez Fuentes.</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Salud:</w:t>
      </w:r>
      <w:r w:rsidRPr="00C15223">
        <w:rPr>
          <w:rFonts w:asciiTheme="majorHAnsi" w:hAnsiTheme="majorHAnsi"/>
        </w:rPr>
        <w:tab/>
      </w:r>
      <w:r w:rsidRPr="00C15223">
        <w:rPr>
          <w:rFonts w:asciiTheme="majorHAnsi" w:hAnsiTheme="majorHAnsi"/>
        </w:rPr>
        <w:tab/>
      </w:r>
      <w:r w:rsidRPr="00C15223">
        <w:rPr>
          <w:rFonts w:asciiTheme="majorHAnsi" w:hAnsiTheme="majorHAnsi"/>
        </w:rPr>
        <w:tab/>
      </w:r>
      <w:r w:rsidRPr="00C15223">
        <w:rPr>
          <w:rFonts w:asciiTheme="majorHAnsi" w:hAnsiTheme="majorHAnsi"/>
        </w:rPr>
        <w:tab/>
        <w:t>Samuel Márquez.</w:t>
      </w:r>
    </w:p>
    <w:p w:rsidR="005E277D" w:rsidRPr="00C15223" w:rsidRDefault="005E277D" w:rsidP="005E277D">
      <w:pPr>
        <w:spacing w:line="360" w:lineRule="auto"/>
        <w:jc w:val="both"/>
        <w:rPr>
          <w:rFonts w:asciiTheme="majorHAnsi" w:hAnsiTheme="majorHAnsi"/>
        </w:rPr>
      </w:pPr>
      <w:r w:rsidRPr="00C15223">
        <w:rPr>
          <w:rFonts w:asciiTheme="majorHAnsi" w:hAnsiTheme="majorHAnsi"/>
        </w:rPr>
        <w:t xml:space="preserve">Economía: </w:t>
      </w:r>
      <w:r w:rsidRPr="00C15223">
        <w:rPr>
          <w:rFonts w:asciiTheme="majorHAnsi" w:hAnsiTheme="majorHAnsi"/>
        </w:rPr>
        <w:tab/>
      </w:r>
      <w:r w:rsidRPr="00C15223">
        <w:rPr>
          <w:rFonts w:asciiTheme="majorHAnsi" w:hAnsiTheme="majorHAnsi"/>
        </w:rPr>
        <w:tab/>
      </w:r>
      <w:r w:rsidRPr="00C15223">
        <w:rPr>
          <w:rFonts w:asciiTheme="majorHAnsi" w:hAnsiTheme="majorHAnsi"/>
        </w:rPr>
        <w:tab/>
        <w:t>José Santos Luna.</w:t>
      </w:r>
    </w:p>
    <w:p w:rsidR="005E277D" w:rsidRDefault="005E277D" w:rsidP="005E277D">
      <w:pPr>
        <w:spacing w:line="360" w:lineRule="auto"/>
        <w:jc w:val="both"/>
        <w:rPr>
          <w:rFonts w:asciiTheme="majorHAnsi" w:hAnsiTheme="majorHAnsi" w:cs="Arial"/>
        </w:rPr>
      </w:pPr>
      <w:r w:rsidRPr="00C15223">
        <w:rPr>
          <w:rFonts w:asciiTheme="majorHAnsi" w:hAnsiTheme="majorHAnsi"/>
        </w:rPr>
        <w:t>Comunicación:</w:t>
      </w:r>
      <w:r w:rsidRPr="00C15223">
        <w:rPr>
          <w:rFonts w:asciiTheme="majorHAnsi" w:hAnsiTheme="majorHAnsi"/>
        </w:rPr>
        <w:tab/>
      </w:r>
      <w:r w:rsidRPr="00C15223">
        <w:rPr>
          <w:rFonts w:asciiTheme="majorHAnsi" w:hAnsiTheme="majorHAnsi"/>
        </w:rPr>
        <w:tab/>
        <w:t xml:space="preserve">Santos Reyes Argueta. Esta Directiva se reunió el día treinta de noviembre del corriente año. </w:t>
      </w:r>
      <w:r w:rsidRPr="00C15223">
        <w:rPr>
          <w:rFonts w:asciiTheme="majorHAnsi" w:hAnsiTheme="majorHAnsi"/>
          <w:b/>
        </w:rPr>
        <w:t>ACUERDO NÚMERO DIECISIETE:</w:t>
      </w:r>
      <w:r w:rsidRPr="00C15223">
        <w:rPr>
          <w:rFonts w:asciiTheme="majorHAnsi" w:hAnsiTheme="majorHAnsi"/>
        </w:rPr>
        <w:t xml:space="preserve"> El Concejo Municipal en uso de las facultades legales que </w:t>
      </w:r>
      <w:bookmarkStart w:id="0" w:name="_GoBack"/>
      <w:bookmarkEnd w:id="0"/>
      <w:r w:rsidRPr="00C15223">
        <w:rPr>
          <w:rFonts w:asciiTheme="majorHAnsi" w:hAnsiTheme="majorHAnsi"/>
        </w:rPr>
        <w:t xml:space="preserve">el Código Municipal les confiere en su Art. 91, ACUERDA: Autorizase a la Tesorera Municipal a efecto de que realice el pago de una primer estimación a la Empresa OBRAS CIVILES Y PROYECTOS, S.A. DE C.V., por ejecución del proyecto Construcción de Empedrado Fraguado con Superficie Terminada, en caserío La Colonia, Cantón Guachipilín, Cacaopera, Morazán; por la cantidad de ONCE MIL SETECIENTOS SIETE DOLARES CON CUARENTA Y NUEVE CENTAVOS DE DÓLAR ($11,707.49), eróguese fondos de la cuenta del mismo proyecto, COMUNIQUESE. </w:t>
      </w:r>
      <w:r w:rsidRPr="00C15223">
        <w:rPr>
          <w:rFonts w:asciiTheme="majorHAnsi" w:hAnsiTheme="majorHAnsi"/>
          <w:b/>
        </w:rPr>
        <w:t>ACUERDO NÚMERO DIECIOCHO:</w:t>
      </w:r>
      <w:r w:rsidRPr="00C15223">
        <w:rPr>
          <w:rFonts w:asciiTheme="majorHAnsi" w:hAnsiTheme="majorHAnsi"/>
        </w:rPr>
        <w:t xml:space="preserve"> El Concejo Municipal en uso de las facultades legales que el Código Municipal les confiere en su Art. 91, ACUERDA: Autorizase a la Tesorera Municipal a efecto de que realice el pago de liquidación final del proyecto Mejoramiento del Sistema de Almacenamiento, Recolección y Transporte de los Desechos Sólidos del Municipio de Cacaopera, al Ingeniero Melvin Martín Santos Luna, por la cantidad SIETE MIL TRESCIENTOS CUARENTA Y UN DOLARES CON NOVENTA Y OCHO CENTAVOS DE DÓLAR ($7,341.98), eróguese fondos de la cuenta del mismo proyecto, COMUNIQUESE. </w:t>
      </w:r>
      <w:r>
        <w:rPr>
          <w:rFonts w:asciiTheme="majorHAnsi" w:hAnsiTheme="majorHAnsi"/>
        </w:rPr>
        <w:t xml:space="preserve"> </w:t>
      </w:r>
      <w:r w:rsidRPr="00C15223">
        <w:rPr>
          <w:rFonts w:asciiTheme="majorHAnsi" w:hAnsiTheme="majorHAnsi"/>
          <w:b/>
        </w:rPr>
        <w:t xml:space="preserve">ACUERDO NÚMERO DIECINUEVE: </w:t>
      </w:r>
      <w:r w:rsidRPr="00C15223">
        <w:rPr>
          <w:rFonts w:asciiTheme="majorHAnsi" w:hAnsiTheme="majorHAnsi"/>
        </w:rPr>
        <w:t>El Concejo Municipal en uso de las facultades legales que el Código Municipal les confiere en su Art. 91, ACUERDA: Autorizase a la Tesorera Municipal a efecto de que cancele la cantidad de UN MIL DOSCIENTOS CINCUENTA Y CUATRO DOLARES CON NOVENTA Y CUATRO CENTAVOS DE DÓLAR ($1,254.94), al Ingeniero Albín Arístides Chávez Fuentes, en concepto de pago por elaboración de Carpeta Técnica para el proyecto Conformación y Balastado de Tramos de Calles Vecinales de Cantón Calavera, Municipio de Cacaopera, Morazán; eróguese fondos de la cuenta de Servicios Profesionales, COMUNIQUESE.</w:t>
      </w:r>
      <w:r>
        <w:rPr>
          <w:rFonts w:asciiTheme="majorHAnsi" w:hAnsiTheme="majorHAnsi"/>
        </w:rPr>
        <w:t xml:space="preserve"> </w:t>
      </w:r>
      <w:r w:rsidRPr="00C15223">
        <w:rPr>
          <w:rFonts w:asciiTheme="majorHAnsi" w:hAnsiTheme="majorHAnsi"/>
        </w:rPr>
        <w:t xml:space="preserve"> </w:t>
      </w:r>
      <w:r w:rsidRPr="00C15223">
        <w:rPr>
          <w:rFonts w:asciiTheme="majorHAnsi" w:hAnsiTheme="majorHAnsi" w:cs="Arial"/>
        </w:rPr>
        <w:t>No habiendo más que hacer constar se da por terminada la presente acta, ratificamos su contenido y firmamos.</w:t>
      </w:r>
    </w:p>
    <w:p w:rsidR="005E277D" w:rsidRPr="005E277D" w:rsidRDefault="005E277D" w:rsidP="005E277D">
      <w:pPr>
        <w:rPr>
          <w:rFonts w:asciiTheme="majorHAnsi" w:hAnsiTheme="majorHAnsi" w:cs="Arial"/>
        </w:rPr>
      </w:pPr>
    </w:p>
    <w:p w:rsidR="005E277D" w:rsidRDefault="005E277D" w:rsidP="005E277D">
      <w:pPr>
        <w:rPr>
          <w:rFonts w:asciiTheme="majorHAnsi" w:hAnsiTheme="majorHAnsi" w:cs="Arial"/>
        </w:rPr>
      </w:pPr>
    </w:p>
    <w:p w:rsidR="005E277D" w:rsidRPr="005E277D" w:rsidRDefault="005E277D" w:rsidP="005E277D">
      <w:pPr>
        <w:tabs>
          <w:tab w:val="left" w:pos="7776"/>
        </w:tabs>
        <w:jc w:val="right"/>
        <w:rPr>
          <w:rFonts w:asciiTheme="majorHAnsi" w:hAnsiTheme="majorHAnsi" w:cs="Arial"/>
        </w:rPr>
      </w:pPr>
      <w:r>
        <w:rPr>
          <w:rFonts w:asciiTheme="majorHAnsi" w:hAnsiTheme="majorHAnsi" w:cs="Arial"/>
        </w:rPr>
        <w:tab/>
      </w:r>
      <w:r>
        <w:rPr>
          <w:rFonts w:asciiTheme="majorHAnsi" w:hAnsiTheme="majorHAnsi" w:cs="Arial"/>
          <w:noProof/>
          <w:lang w:val="es-SV" w:eastAsia="es-SV"/>
        </w:rPr>
        <w:drawing>
          <wp:inline distT="0" distB="0" distL="0" distR="0">
            <wp:extent cx="1121664" cy="164950"/>
            <wp:effectExtent l="0" t="0" r="254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4226" t="22733" b="31800"/>
                    <a:stretch/>
                  </pic:blipFill>
                  <pic:spPr bwMode="auto">
                    <a:xfrm>
                      <a:off x="0" y="0"/>
                      <a:ext cx="1125544" cy="165521"/>
                    </a:xfrm>
                    <a:prstGeom prst="rect">
                      <a:avLst/>
                    </a:prstGeom>
                    <a:noFill/>
                    <a:ln>
                      <a:noFill/>
                    </a:ln>
                    <a:extLst>
                      <a:ext uri="{53640926-AAD7-44D8-BBD7-CCE9431645EC}">
                        <a14:shadowObscured xmlns:a14="http://schemas.microsoft.com/office/drawing/2010/main"/>
                      </a:ext>
                    </a:extLst>
                  </pic:spPr>
                </pic:pic>
              </a:graphicData>
            </a:graphic>
          </wp:inline>
        </w:drawing>
      </w:r>
    </w:p>
    <w:p w:rsidR="00D728A8" w:rsidRDefault="005E277D" w:rsidP="00C66F3C">
      <w:pPr>
        <w:jc w:val="center"/>
      </w:pPr>
      <w:r>
        <w:rPr>
          <w:noProof/>
          <w:lang w:val="es-SV" w:eastAsia="es-SV"/>
        </w:rPr>
        <w:lastRenderedPageBreak/>
        <w:drawing>
          <wp:inline distT="0" distB="0" distL="0" distR="0">
            <wp:extent cx="5541163" cy="5767898"/>
            <wp:effectExtent l="0" t="0" r="254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2064" b="2438"/>
                    <a:stretch/>
                  </pic:blipFill>
                  <pic:spPr bwMode="auto">
                    <a:xfrm>
                      <a:off x="0" y="0"/>
                      <a:ext cx="5544135" cy="5770991"/>
                    </a:xfrm>
                    <a:prstGeom prst="rect">
                      <a:avLst/>
                    </a:prstGeom>
                    <a:noFill/>
                    <a:ln>
                      <a:noFill/>
                    </a:ln>
                    <a:extLst>
                      <a:ext uri="{53640926-AAD7-44D8-BBD7-CCE9431645EC}">
                        <a14:shadowObscured xmlns:a14="http://schemas.microsoft.com/office/drawing/2010/main"/>
                      </a:ext>
                    </a:extLst>
                  </pic:spPr>
                </pic:pic>
              </a:graphicData>
            </a:graphic>
          </wp:inline>
        </w:drawing>
      </w:r>
    </w:p>
    <w:sectPr w:rsidR="00D728A8" w:rsidSect="005E277D">
      <w:headerReference w:type="default" r:id="rId10"/>
      <w:pgSz w:w="12240" w:h="15840"/>
      <w:pgMar w:top="1985"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66B" w:rsidRDefault="006E066B" w:rsidP="005E277D">
      <w:r>
        <w:separator/>
      </w:r>
    </w:p>
  </w:endnote>
  <w:endnote w:type="continuationSeparator" w:id="0">
    <w:p w:rsidR="006E066B" w:rsidRDefault="006E066B" w:rsidP="005E2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66B" w:rsidRDefault="006E066B" w:rsidP="005E277D">
      <w:r>
        <w:separator/>
      </w:r>
    </w:p>
  </w:footnote>
  <w:footnote w:type="continuationSeparator" w:id="0">
    <w:p w:rsidR="006E066B" w:rsidRDefault="006E066B" w:rsidP="005E2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77D" w:rsidRDefault="005E277D">
    <w:pPr>
      <w:pStyle w:val="Encabezado"/>
    </w:pPr>
    <w:r>
      <w:rPr>
        <w:noProof/>
        <w:lang w:val="es-SV" w:eastAsia="es-SV"/>
      </w:rPr>
      <w:drawing>
        <wp:anchor distT="0" distB="0" distL="114300" distR="114300" simplePos="0" relativeHeight="251659264" behindDoc="1" locked="0" layoutInCell="1" allowOverlap="1" wp14:anchorId="3F2CDF8F" wp14:editId="37893523">
          <wp:simplePos x="0" y="0"/>
          <wp:positionH relativeFrom="column">
            <wp:posOffset>-171450</wp:posOffset>
          </wp:positionH>
          <wp:positionV relativeFrom="paragraph">
            <wp:posOffset>-130109</wp:posOffset>
          </wp:positionV>
          <wp:extent cx="850790" cy="862221"/>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27" t="1967" r="4658"/>
                  <a:stretch/>
                </pic:blipFill>
                <pic:spPr bwMode="auto">
                  <a:xfrm>
                    <a:off x="0" y="0"/>
                    <a:ext cx="863914" cy="875521"/>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77D"/>
    <w:rsid w:val="001C1CB1"/>
    <w:rsid w:val="005E277D"/>
    <w:rsid w:val="006C2B87"/>
    <w:rsid w:val="006E066B"/>
    <w:rsid w:val="008E2040"/>
    <w:rsid w:val="00934096"/>
    <w:rsid w:val="00AA5ADF"/>
    <w:rsid w:val="00C66F3C"/>
    <w:rsid w:val="00D728A8"/>
    <w:rsid w:val="00DF4C4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AF48D0-1E8F-41B4-AFC5-EAEB70F2E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77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5E277D"/>
    <w:pPr>
      <w:tabs>
        <w:tab w:val="left" w:pos="709"/>
      </w:tabs>
      <w:suppressAutoHyphens/>
      <w:spacing w:after="0" w:line="100" w:lineRule="atLeast"/>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5E277D"/>
    <w:pPr>
      <w:tabs>
        <w:tab w:val="center" w:pos="4419"/>
        <w:tab w:val="right" w:pos="8838"/>
      </w:tabs>
    </w:pPr>
  </w:style>
  <w:style w:type="character" w:customStyle="1" w:styleId="EncabezadoCar">
    <w:name w:val="Encabezado Car"/>
    <w:basedOn w:val="Fuentedeprrafopredeter"/>
    <w:link w:val="Encabezado"/>
    <w:uiPriority w:val="99"/>
    <w:rsid w:val="005E277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5E277D"/>
    <w:pPr>
      <w:tabs>
        <w:tab w:val="center" w:pos="4419"/>
        <w:tab w:val="right" w:pos="8838"/>
      </w:tabs>
    </w:pPr>
  </w:style>
  <w:style w:type="character" w:customStyle="1" w:styleId="PiedepginaCar">
    <w:name w:val="Pie de página Car"/>
    <w:basedOn w:val="Fuentedeprrafopredeter"/>
    <w:link w:val="Piedepgina"/>
    <w:uiPriority w:val="99"/>
    <w:rsid w:val="005E277D"/>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E277D"/>
    <w:rPr>
      <w:rFonts w:ascii="Tahoma" w:hAnsi="Tahoma" w:cs="Tahoma"/>
      <w:sz w:val="16"/>
      <w:szCs w:val="16"/>
    </w:rPr>
  </w:style>
  <w:style w:type="character" w:customStyle="1" w:styleId="TextodegloboCar">
    <w:name w:val="Texto de globo Car"/>
    <w:basedOn w:val="Fuentedeprrafopredeter"/>
    <w:link w:val="Textodeglobo"/>
    <w:uiPriority w:val="99"/>
    <w:semiHidden/>
    <w:rsid w:val="005E277D"/>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Pages>
  <Words>2739</Words>
  <Characters>15065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5</cp:revision>
  <dcterms:created xsi:type="dcterms:W3CDTF">2015-11-09T19:27:00Z</dcterms:created>
  <dcterms:modified xsi:type="dcterms:W3CDTF">2016-10-20T16:47:00Z</dcterms:modified>
</cp:coreProperties>
</file>