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93718D" w:rsidRDefault="00A360BC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FA4F58" w:rsidRDefault="00FA4F58" w:rsidP="00FA4F58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081CAC">
        <w:rPr>
          <w:color w:val="000000"/>
          <w:szCs w:val="20"/>
        </w:rPr>
        <w:t>22</w:t>
      </w:r>
      <w:r w:rsidRPr="0093718D">
        <w:rPr>
          <w:color w:val="000000"/>
          <w:szCs w:val="20"/>
        </w:rPr>
        <w:t xml:space="preserve"> de </w:t>
      </w:r>
      <w:r w:rsidR="00F61EE4">
        <w:rPr>
          <w:color w:val="000000"/>
          <w:szCs w:val="20"/>
        </w:rPr>
        <w:t>agosto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4A1897" w:rsidRPr="0093718D" w:rsidRDefault="004A1897" w:rsidP="004A1897">
      <w:pPr>
        <w:ind w:left="720"/>
        <w:jc w:val="both"/>
        <w:rPr>
          <w:b/>
          <w:color w:val="000000"/>
          <w:szCs w:val="20"/>
        </w:rPr>
      </w:pP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081CAC">
        <w:rPr>
          <w:color w:val="000000"/>
          <w:szCs w:val="20"/>
        </w:rPr>
        <w:t>16</w:t>
      </w:r>
      <w:r w:rsidRPr="00EC7B4C">
        <w:rPr>
          <w:color w:val="000000"/>
          <w:szCs w:val="20"/>
        </w:rPr>
        <w:t xml:space="preserve"> de </w:t>
      </w:r>
      <w:r w:rsidR="00F61EE4">
        <w:rPr>
          <w:color w:val="000000"/>
          <w:szCs w:val="20"/>
        </w:rPr>
        <w:t>agosto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61EE4">
        <w:rPr>
          <w:color w:val="000000"/>
          <w:szCs w:val="20"/>
        </w:rPr>
        <w:t xml:space="preserve">el </w:t>
      </w:r>
      <w:r w:rsidR="00081CAC">
        <w:rPr>
          <w:color w:val="000000"/>
          <w:szCs w:val="20"/>
        </w:rPr>
        <w:t>señor</w:t>
      </w:r>
      <w:r w:rsidR="00761E6A">
        <w:rPr>
          <w:color w:val="000000"/>
          <w:szCs w:val="20"/>
        </w:rPr>
        <w:t xml:space="preserve"> </w:t>
      </w:r>
      <w:proofErr w:type="spellStart"/>
      <w:r w:rsidR="00187A20" w:rsidRPr="00187A20">
        <w:rPr>
          <w:b/>
          <w:color w:val="000000"/>
          <w:szCs w:val="20"/>
          <w:highlight w:val="black"/>
        </w:rPr>
        <w:t>xxxxxxxxxxxxxxxxxxxxxxxxxxxxxxxxxxxxx</w:t>
      </w:r>
      <w:proofErr w:type="spellEnd"/>
      <w:r w:rsidRPr="00F61EE4">
        <w:rPr>
          <w:color w:val="000000"/>
        </w:rPr>
        <w:t xml:space="preserve">, del domicilio de </w:t>
      </w:r>
      <w:proofErr w:type="spellStart"/>
      <w:r w:rsidR="00187A20" w:rsidRPr="00187A20">
        <w:rPr>
          <w:color w:val="000000"/>
          <w:highlight w:val="black"/>
        </w:rPr>
        <w:t>xxxxxxxxxxxx</w:t>
      </w:r>
      <w:proofErr w:type="spellEnd"/>
      <w:r w:rsidRPr="00F61EE4">
        <w:rPr>
          <w:color w:val="000000"/>
        </w:rPr>
        <w:t xml:space="preserve">, Departamento de </w:t>
      </w:r>
      <w:proofErr w:type="spellStart"/>
      <w:r w:rsidR="00187A20" w:rsidRPr="00187A20">
        <w:rPr>
          <w:color w:val="000000"/>
          <w:highlight w:val="black"/>
        </w:rPr>
        <w:t>xxxxxxxxxx</w:t>
      </w:r>
      <w:proofErr w:type="spellEnd"/>
      <w:r w:rsidRPr="00F61EE4">
        <w:rPr>
          <w:color w:val="000000"/>
        </w:rPr>
        <w:t>, con Documento Único de Identidad número</w:t>
      </w:r>
      <w:r w:rsidRPr="00F61EE4">
        <w:rPr>
          <w:b/>
          <w:color w:val="000000"/>
        </w:rPr>
        <w:t xml:space="preserve"> </w:t>
      </w:r>
      <w:proofErr w:type="spellStart"/>
      <w:r w:rsidR="00187A20" w:rsidRPr="00187A20">
        <w:rPr>
          <w:b/>
          <w:color w:val="000000"/>
          <w:highlight w:val="black"/>
        </w:rPr>
        <w:t>xxxxxxxxx</w:t>
      </w:r>
      <w:proofErr w:type="spellEnd"/>
      <w:r w:rsidR="00187A20" w:rsidRPr="00187A20">
        <w:rPr>
          <w:b/>
          <w:color w:val="00000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>bajo la referencia UAIP.</w:t>
      </w:r>
      <w:r w:rsidR="00F61EE4">
        <w:rPr>
          <w:color w:val="000000"/>
        </w:rPr>
        <w:t>1</w:t>
      </w:r>
      <w:r w:rsidR="00081CAC">
        <w:rPr>
          <w:color w:val="000000"/>
        </w:rPr>
        <w:t>1</w:t>
      </w:r>
      <w:r>
        <w:rPr>
          <w:color w:val="000000"/>
        </w:rPr>
        <w:t xml:space="preserve">.INT.2019, </w:t>
      </w:r>
      <w:r w:rsidRPr="00EC7B4C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FA4F58" w:rsidRPr="00FA4F58" w:rsidRDefault="00081CAC" w:rsidP="00B63B88">
      <w:pPr>
        <w:pStyle w:val="Prrafodelista"/>
        <w:numPr>
          <w:ilvl w:val="0"/>
          <w:numId w:val="8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>
        <w:rPr>
          <w:rFonts w:eastAsia="Batang"/>
          <w:b/>
        </w:rPr>
        <w:t xml:space="preserve">2 </w:t>
      </w:r>
      <w:r w:rsidR="00F61EE4">
        <w:rPr>
          <w:rFonts w:eastAsia="Batang"/>
          <w:b/>
        </w:rPr>
        <w:t>Fotocopia</w:t>
      </w:r>
      <w:r>
        <w:rPr>
          <w:rFonts w:eastAsia="Batang"/>
          <w:b/>
        </w:rPr>
        <w:t>s</w:t>
      </w:r>
      <w:r w:rsidR="00F61EE4">
        <w:rPr>
          <w:rFonts w:eastAsia="Batang"/>
          <w:b/>
        </w:rPr>
        <w:t xml:space="preserve"> </w:t>
      </w:r>
      <w:r>
        <w:rPr>
          <w:rFonts w:eastAsia="Batang"/>
          <w:b/>
        </w:rPr>
        <w:t xml:space="preserve">certificadas del expediente C005-17 promovido por el señor </w:t>
      </w:r>
      <w:proofErr w:type="spellStart"/>
      <w:r w:rsidR="00187A20" w:rsidRPr="00187A20">
        <w:rPr>
          <w:rFonts w:eastAsia="Batang"/>
          <w:b/>
          <w:highlight w:val="black"/>
        </w:rPr>
        <w:t>xxxxxxxxxxxxxxxxxxxxxxxxxxxxxxxxxxxxxxxx</w:t>
      </w:r>
      <w:proofErr w:type="spellEnd"/>
      <w:r w:rsidR="00FA4F58" w:rsidRPr="00FA4F58">
        <w:rPr>
          <w:rFonts w:eastAsia="Batang"/>
          <w:b/>
        </w:rPr>
        <w:t xml:space="preserve">.   </w:t>
      </w:r>
    </w:p>
    <w:p w:rsidR="00FA4F58" w:rsidRDefault="00FA4F58" w:rsidP="004A1897">
      <w:pPr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</w:t>
      </w:r>
      <w:r w:rsidR="00D344D6">
        <w:rPr>
          <w:color w:val="000000"/>
          <w:szCs w:val="20"/>
        </w:rPr>
        <w:t>la información solicitada por el</w:t>
      </w:r>
      <w:r w:rsidRPr="0093718D">
        <w:rPr>
          <w:color w:val="000000"/>
          <w:szCs w:val="20"/>
        </w:rPr>
        <w:t xml:space="preserve">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Como parte del procedimiento de acceso a información pública, la suscrita Oficial de Información, requirió la información solicitada de conformidad a lo establecido en el</w:t>
      </w:r>
      <w:r w:rsidR="007973DB">
        <w:rPr>
          <w:color w:val="000000"/>
          <w:szCs w:val="20"/>
        </w:rPr>
        <w:t xml:space="preserve"> art. 70 de la LAIP, a aquella U</w:t>
      </w:r>
      <w:r w:rsidRPr="0093718D">
        <w:rPr>
          <w:color w:val="000000"/>
          <w:szCs w:val="2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Default="00225928" w:rsidP="00225928">
      <w:pPr>
        <w:ind w:left="720"/>
        <w:jc w:val="both"/>
        <w:rPr>
          <w:szCs w:val="20"/>
        </w:rPr>
      </w:pPr>
    </w:p>
    <w:p w:rsidR="00DF433D" w:rsidRDefault="007C1755" w:rsidP="00DF433D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Con fecha 16</w:t>
      </w:r>
      <w:r w:rsidR="004F37DD">
        <w:rPr>
          <w:szCs w:val="20"/>
        </w:rPr>
        <w:t xml:space="preserve"> de </w:t>
      </w:r>
      <w:r w:rsidR="00225928">
        <w:rPr>
          <w:szCs w:val="20"/>
        </w:rPr>
        <w:t>agosto de</w:t>
      </w:r>
      <w:r>
        <w:rPr>
          <w:szCs w:val="20"/>
        </w:rPr>
        <w:t xml:space="preserve"> 2019, se le solicitó al Centro de Mediación de esta Municipalidad</w:t>
      </w:r>
      <w:r w:rsidR="004F37DD">
        <w:rPr>
          <w:szCs w:val="20"/>
        </w:rPr>
        <w:t xml:space="preserve">, la información requerida. Al respecto </w:t>
      </w:r>
      <w:r>
        <w:rPr>
          <w:szCs w:val="20"/>
        </w:rPr>
        <w:t>remitieron memorándum</w:t>
      </w:r>
      <w:r w:rsidR="009410B4">
        <w:rPr>
          <w:szCs w:val="20"/>
        </w:rPr>
        <w:t xml:space="preserve"> interno recibido en esta Unidad el día 19 de agosto de 2019</w:t>
      </w:r>
      <w:r w:rsidR="00863150">
        <w:rPr>
          <w:szCs w:val="20"/>
        </w:rPr>
        <w:t>,</w:t>
      </w:r>
      <w:r w:rsidR="009410B4">
        <w:rPr>
          <w:szCs w:val="20"/>
        </w:rPr>
        <w:t xml:space="preserve"> a las 08:14 horas,</w:t>
      </w:r>
      <w:r>
        <w:rPr>
          <w:szCs w:val="20"/>
        </w:rPr>
        <w:t xml:space="preserve"> informando que el </w:t>
      </w:r>
      <w:r w:rsidR="009410B4">
        <w:rPr>
          <w:szCs w:val="20"/>
        </w:rPr>
        <w:t>número</w:t>
      </w:r>
      <w:r>
        <w:rPr>
          <w:szCs w:val="20"/>
        </w:rPr>
        <w:t xml:space="preserve"> de </w:t>
      </w:r>
      <w:r>
        <w:rPr>
          <w:szCs w:val="20"/>
        </w:rPr>
        <w:lastRenderedPageBreak/>
        <w:t xml:space="preserve">expediente </w:t>
      </w:r>
      <w:r w:rsidR="009410B4">
        <w:rPr>
          <w:szCs w:val="20"/>
        </w:rPr>
        <w:t xml:space="preserve">proporcionado por el solicitante no corresponde a la información solicitada, por tanto, el 19 de agosto 2019, se procedió a notificar vía correo electrónico </w:t>
      </w:r>
      <w:r w:rsidR="00915113">
        <w:rPr>
          <w:szCs w:val="20"/>
        </w:rPr>
        <w:t xml:space="preserve">y vía telefónica </w:t>
      </w:r>
      <w:r w:rsidR="009410B4">
        <w:rPr>
          <w:szCs w:val="20"/>
        </w:rPr>
        <w:t>al solicitante que los datos proporcionados no coincidían con la información solicitada</w:t>
      </w:r>
      <w:r w:rsidR="00863150">
        <w:rPr>
          <w:szCs w:val="20"/>
        </w:rPr>
        <w:t>;</w:t>
      </w:r>
      <w:r w:rsidR="009410B4">
        <w:rPr>
          <w:szCs w:val="20"/>
        </w:rPr>
        <w:t xml:space="preserve"> conforme al art. 66 de la Ley de Acceso a la Información Pública el solicitante </w:t>
      </w:r>
      <w:r w:rsidR="00DF433D">
        <w:rPr>
          <w:szCs w:val="20"/>
        </w:rPr>
        <w:t>se presentó a esta Unidad este mismo día a las 16:42 horas para</w:t>
      </w:r>
      <w:r w:rsidR="009410B4">
        <w:rPr>
          <w:szCs w:val="20"/>
        </w:rPr>
        <w:t xml:space="preserve"> ampliar el detalle de la información que solicita.</w:t>
      </w:r>
    </w:p>
    <w:p w:rsidR="00DF433D" w:rsidRDefault="00DF433D" w:rsidP="00DF433D">
      <w:pPr>
        <w:ind w:left="720"/>
        <w:jc w:val="both"/>
        <w:rPr>
          <w:szCs w:val="20"/>
        </w:rPr>
      </w:pPr>
    </w:p>
    <w:p w:rsidR="00FD349D" w:rsidRPr="0093718D" w:rsidRDefault="00DF433D" w:rsidP="00FD349D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 xml:space="preserve">El día 20 de agosto 2019, nuevamente se solicitó al Centro de Mediación de esta Municipalidad, la información requerida luego de haber realizado la ampliación de la misma, </w:t>
      </w:r>
      <w:r w:rsidR="00FD349D">
        <w:rPr>
          <w:szCs w:val="20"/>
        </w:rPr>
        <w:t>Al respecto con fecha 21 de agosto 2019, remitieron las 2 fotocopias certificadas las cuales constan de 80 folios cada una</w:t>
      </w:r>
      <w:r w:rsidR="00FD349D" w:rsidRPr="0093718D">
        <w:rPr>
          <w:szCs w:val="20"/>
        </w:rPr>
        <w:t>.</w:t>
      </w:r>
    </w:p>
    <w:p w:rsidR="00DF433D" w:rsidRPr="00DF433D" w:rsidRDefault="00DF433D" w:rsidP="00FD349D">
      <w:pPr>
        <w:jc w:val="both"/>
        <w:rPr>
          <w:szCs w:val="20"/>
        </w:rPr>
      </w:pPr>
    </w:p>
    <w:p w:rsidR="004A1897" w:rsidRDefault="00FA4F58" w:rsidP="00FD349D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FA4F58" w:rsidRPr="0093718D" w:rsidRDefault="00FA4F58" w:rsidP="004F37DD">
      <w:pPr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</w:t>
      </w:r>
      <w:r w:rsidR="00504953">
        <w:rPr>
          <w:szCs w:val="20"/>
        </w:rPr>
        <w:t xml:space="preserve"> entrega de lo remitido por la U</w:t>
      </w:r>
      <w:r>
        <w:rPr>
          <w:szCs w:val="20"/>
        </w:rPr>
        <w:t>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FA4F58" w:rsidRPr="0093718D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4A1897" w:rsidRDefault="004A1897" w:rsidP="00FA4F58">
      <w:pPr>
        <w:ind w:firstLine="360"/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 w:rsidR="005E709E"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 w:rsidR="005E709E"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 w:rsidR="005E709E"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 w:rsidR="005E709E"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 w:rsidR="005E709E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4A1897" w:rsidRPr="0093718D" w:rsidRDefault="004A1897" w:rsidP="00FA4F58">
      <w:pPr>
        <w:ind w:firstLine="360"/>
        <w:jc w:val="both"/>
        <w:rPr>
          <w:b/>
          <w:color w:val="000000"/>
          <w:szCs w:val="20"/>
        </w:rPr>
      </w:pPr>
    </w:p>
    <w:p w:rsidR="00FA4F58" w:rsidRDefault="00FA4F58" w:rsidP="00FA4F58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</w:t>
      </w:r>
      <w:r w:rsidR="000E5ED9">
        <w:rPr>
          <w:color w:val="000000"/>
          <w:szCs w:val="20"/>
        </w:rPr>
        <w:t xml:space="preserve"> a esta Unidad por parte de la U</w:t>
      </w:r>
      <w:r w:rsidR="00D53F6F">
        <w:rPr>
          <w:color w:val="000000"/>
          <w:szCs w:val="20"/>
        </w:rPr>
        <w:t>nidad A</w:t>
      </w:r>
      <w:r w:rsidRPr="0093718D">
        <w:rPr>
          <w:color w:val="000000"/>
          <w:szCs w:val="20"/>
        </w:rPr>
        <w:t>dministrativa que posee la información solicitada.</w:t>
      </w:r>
    </w:p>
    <w:p w:rsidR="004A1897" w:rsidRPr="0093718D" w:rsidRDefault="004A1897" w:rsidP="004A1897">
      <w:pPr>
        <w:ind w:left="720"/>
        <w:jc w:val="both"/>
        <w:rPr>
          <w:color w:val="000000"/>
          <w:szCs w:val="20"/>
        </w:rPr>
      </w:pPr>
    </w:p>
    <w:p w:rsidR="004A1897" w:rsidRPr="004A1897" w:rsidRDefault="00FA4F58" w:rsidP="004A1897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4A1897" w:rsidRPr="0093718D" w:rsidRDefault="004A1897" w:rsidP="004A1897">
      <w:pPr>
        <w:ind w:left="720"/>
        <w:rPr>
          <w:color w:val="000000"/>
          <w:szCs w:val="20"/>
        </w:rPr>
      </w:pPr>
    </w:p>
    <w:p w:rsidR="00FA4F58" w:rsidRPr="0093718D" w:rsidRDefault="00FA4F58" w:rsidP="00FA4F5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3718D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0E1E7F" w:rsidRPr="00FA4F58" w:rsidRDefault="000E1E7F" w:rsidP="00FA4F58">
      <w:bookmarkStart w:id="0" w:name="_GoBack"/>
      <w:bookmarkEnd w:id="0"/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AA" w:rsidRDefault="008165AA" w:rsidP="00632E03">
      <w:r>
        <w:separator/>
      </w:r>
    </w:p>
  </w:endnote>
  <w:endnote w:type="continuationSeparator" w:id="0">
    <w:p w:rsidR="008165AA" w:rsidRDefault="008165AA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187A20" w:rsidRPr="008A532A" w:rsidRDefault="00187A20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AA" w:rsidRDefault="008165AA" w:rsidP="00632E03">
      <w:r>
        <w:separator/>
      </w:r>
    </w:p>
  </w:footnote>
  <w:footnote w:type="continuationSeparator" w:id="0">
    <w:p w:rsidR="008165AA" w:rsidRDefault="008165AA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931D97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81CAC"/>
    <w:rsid w:val="000E1E7F"/>
    <w:rsid w:val="000E5ED9"/>
    <w:rsid w:val="00185F33"/>
    <w:rsid w:val="00187A20"/>
    <w:rsid w:val="00190E2E"/>
    <w:rsid w:val="00220623"/>
    <w:rsid w:val="00225928"/>
    <w:rsid w:val="002577A7"/>
    <w:rsid w:val="002A0126"/>
    <w:rsid w:val="00347CA1"/>
    <w:rsid w:val="003B3AF5"/>
    <w:rsid w:val="003D3CEE"/>
    <w:rsid w:val="004A1897"/>
    <w:rsid w:val="004F37DD"/>
    <w:rsid w:val="00500433"/>
    <w:rsid w:val="00504953"/>
    <w:rsid w:val="00573D54"/>
    <w:rsid w:val="005A1D11"/>
    <w:rsid w:val="005C4403"/>
    <w:rsid w:val="005E709E"/>
    <w:rsid w:val="00632E03"/>
    <w:rsid w:val="00660E95"/>
    <w:rsid w:val="00761E6A"/>
    <w:rsid w:val="007973DB"/>
    <w:rsid w:val="007C1755"/>
    <w:rsid w:val="007C4B22"/>
    <w:rsid w:val="007E1110"/>
    <w:rsid w:val="007E3F4C"/>
    <w:rsid w:val="008165AA"/>
    <w:rsid w:val="008348C8"/>
    <w:rsid w:val="00863150"/>
    <w:rsid w:val="008A532A"/>
    <w:rsid w:val="00915113"/>
    <w:rsid w:val="00931D97"/>
    <w:rsid w:val="009410B4"/>
    <w:rsid w:val="00A360BC"/>
    <w:rsid w:val="00A36B7E"/>
    <w:rsid w:val="00CE2F23"/>
    <w:rsid w:val="00CF7B9F"/>
    <w:rsid w:val="00D0097F"/>
    <w:rsid w:val="00D04AD8"/>
    <w:rsid w:val="00D344D6"/>
    <w:rsid w:val="00D407EC"/>
    <w:rsid w:val="00D53F6F"/>
    <w:rsid w:val="00DF433D"/>
    <w:rsid w:val="00E10967"/>
    <w:rsid w:val="00E37490"/>
    <w:rsid w:val="00EA0A80"/>
    <w:rsid w:val="00EE167C"/>
    <w:rsid w:val="00F61EE4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89F1-CF6B-485D-A318-B07C0934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29</cp:revision>
  <cp:lastPrinted>2019-06-13T15:50:00Z</cp:lastPrinted>
  <dcterms:created xsi:type="dcterms:W3CDTF">2019-06-13T15:10:00Z</dcterms:created>
  <dcterms:modified xsi:type="dcterms:W3CDTF">2019-09-27T17:04:00Z</dcterms:modified>
</cp:coreProperties>
</file>