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E499" w14:textId="77777777" w:rsidR="006F2F1B" w:rsidRPr="00EC4D08" w:rsidRDefault="006F2F1B" w:rsidP="006F2F1B">
      <w:pPr>
        <w:spacing w:after="0" w:line="276" w:lineRule="auto"/>
        <w:jc w:val="both"/>
        <w:rPr>
          <w:rFonts w:ascii="Book Antiqua" w:eastAsia="Times New Roman" w:hAnsi="Book Antiqua" w:cs="Times New Roman"/>
          <w:b/>
          <w:bCs/>
          <w:color w:val="231F20"/>
          <w:sz w:val="18"/>
          <w:szCs w:val="18"/>
          <w:lang w:val="es-ES"/>
        </w:rPr>
      </w:pPr>
      <w:r w:rsidRPr="00EC4D08">
        <w:rPr>
          <w:rFonts w:ascii="Book Antiqua" w:eastAsia="Times New Roman" w:hAnsi="Book Antiqua" w:cs="Times New Roman"/>
          <w:b/>
          <w:bCs/>
          <w:color w:val="231F20"/>
          <w:sz w:val="18"/>
          <w:szCs w:val="18"/>
          <w:lang w:val="es-ES"/>
        </w:rPr>
        <w:t>DECRETO N.º 3</w:t>
      </w:r>
    </w:p>
    <w:p w14:paraId="23C6632A" w14:textId="77777777" w:rsidR="005822C6" w:rsidRPr="00EC4D08" w:rsidRDefault="005822C6" w:rsidP="006F2F1B">
      <w:pPr>
        <w:spacing w:after="0" w:line="276" w:lineRule="auto"/>
        <w:jc w:val="both"/>
        <w:rPr>
          <w:rFonts w:ascii="Book Antiqua" w:eastAsia="Times New Roman" w:hAnsi="Book Antiqua" w:cs="Times New Roman"/>
          <w:b/>
          <w:bCs/>
          <w:color w:val="231F20"/>
          <w:sz w:val="18"/>
          <w:szCs w:val="18"/>
          <w:lang w:val="es-ES"/>
        </w:rPr>
      </w:pPr>
    </w:p>
    <w:p w14:paraId="3C4FAF6D" w14:textId="2E7042FB" w:rsidR="006F2F1B" w:rsidRPr="00EC4D08" w:rsidRDefault="006F2F1B" w:rsidP="006F2F1B">
      <w:pPr>
        <w:spacing w:after="0" w:line="276" w:lineRule="auto"/>
        <w:jc w:val="both"/>
        <w:rPr>
          <w:rFonts w:ascii="Book Antiqua" w:eastAsia="Times New Roman" w:hAnsi="Book Antiqua" w:cs="Times New Roman"/>
          <w:b/>
          <w:bCs/>
          <w:color w:val="231F20"/>
          <w:sz w:val="18"/>
          <w:szCs w:val="18"/>
          <w:lang w:val="es-ES"/>
        </w:rPr>
      </w:pPr>
      <w:r w:rsidRPr="00EC4D08">
        <w:rPr>
          <w:rFonts w:ascii="Book Antiqua" w:eastAsia="Times New Roman" w:hAnsi="Book Antiqua" w:cs="Times New Roman"/>
          <w:b/>
          <w:bCs/>
          <w:color w:val="231F20"/>
          <w:sz w:val="18"/>
          <w:szCs w:val="18"/>
          <w:lang w:val="es-ES"/>
        </w:rPr>
        <w:t xml:space="preserve">EL CONCEJO MUNICIPAL DE VILLA EL CARMEN, DEPARTAMENTO DE CUSCATLÁN </w:t>
      </w:r>
    </w:p>
    <w:p w14:paraId="29350F22" w14:textId="77777777" w:rsidR="005720C8" w:rsidRPr="00EC4D08" w:rsidRDefault="005720C8" w:rsidP="006F2F1B">
      <w:pPr>
        <w:spacing w:after="0" w:line="276" w:lineRule="auto"/>
        <w:jc w:val="both"/>
        <w:rPr>
          <w:rFonts w:ascii="Book Antiqua" w:eastAsia="Times New Roman" w:hAnsi="Book Antiqua" w:cs="Times New Roman"/>
          <w:b/>
          <w:bCs/>
          <w:color w:val="231F20"/>
          <w:sz w:val="18"/>
          <w:szCs w:val="18"/>
          <w:lang w:val="es-ES"/>
        </w:rPr>
      </w:pPr>
    </w:p>
    <w:p w14:paraId="5809CD60" w14:textId="2B20ED1C" w:rsidR="006F2F1B" w:rsidRPr="00EC4D08" w:rsidRDefault="006F2F1B" w:rsidP="006F2F1B">
      <w:pPr>
        <w:spacing w:after="0" w:line="276" w:lineRule="auto"/>
        <w:jc w:val="both"/>
        <w:rPr>
          <w:rFonts w:ascii="Book Antiqua" w:eastAsia="Times New Roman" w:hAnsi="Book Antiqua" w:cs="Times New Roman"/>
          <w:b/>
          <w:bCs/>
          <w:color w:val="231F20"/>
          <w:sz w:val="18"/>
          <w:szCs w:val="18"/>
          <w:lang w:val="es-ES"/>
        </w:rPr>
      </w:pPr>
      <w:r w:rsidRPr="00EC4D08">
        <w:rPr>
          <w:rFonts w:ascii="Book Antiqua" w:eastAsia="Times New Roman" w:hAnsi="Book Antiqua" w:cs="Times New Roman"/>
          <w:b/>
          <w:bCs/>
          <w:color w:val="231F20"/>
          <w:sz w:val="18"/>
          <w:szCs w:val="18"/>
          <w:lang w:val="es-ES"/>
        </w:rPr>
        <w:t xml:space="preserve">CONSIDERANDO: </w:t>
      </w:r>
    </w:p>
    <w:p w14:paraId="0B18C17B"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p>
    <w:p w14:paraId="50CE0B28" w14:textId="17D286F5" w:rsidR="005720C8" w:rsidRPr="005720C8" w:rsidRDefault="006F2F1B" w:rsidP="005720C8">
      <w:pPr>
        <w:pStyle w:val="Prrafodelista"/>
        <w:numPr>
          <w:ilvl w:val="0"/>
          <w:numId w:val="1"/>
        </w:numPr>
        <w:spacing w:after="100" w:afterAutospacing="1"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 xml:space="preserve">De conformidad con los artículos 203 y 204 ordinal 5° de la Constitución de la República de El Salvador, artículos 3, 5, 30 numerales 4 y 32 del Código Municipal, establecen que los municipios son autónomos en lo económico, en lo técnico y en lo administrativo y regularán las materias de su competencia por medio de Ordenanzas Municipales. </w:t>
      </w:r>
    </w:p>
    <w:p w14:paraId="6BA15F08" w14:textId="547DEAA9" w:rsidR="006F2F1B" w:rsidRPr="005720C8" w:rsidRDefault="006F2F1B" w:rsidP="006F2F1B">
      <w:pPr>
        <w:pStyle w:val="Prrafodelista"/>
        <w:numPr>
          <w:ilvl w:val="0"/>
          <w:numId w:val="1"/>
        </w:numPr>
        <w:spacing w:after="100" w:afterAutospacing="1"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 xml:space="preserve">Que según la ORDENANZA REGULADORA DEL SERVICIO DE AGUA POTABLE, SUMINISTRADO POR LA MUNICIPALIDAD DE EL CARMEN CUSCATLAN, publicada en el Diario Oficial número 179, Tomo número 388 de fecha 27 de Septiembre del año 2010, en la cual se regula el cobro de servicio de Agua Potable que brinda esta municipalidad, en su artículo </w:t>
      </w:r>
      <w:bookmarkStart w:id="0" w:name="_Hlk92370013"/>
      <w:r w:rsidRPr="005720C8">
        <w:rPr>
          <w:rFonts w:ascii="Book Antiqua" w:eastAsia="Times New Roman" w:hAnsi="Book Antiqua" w:cs="Times New Roman"/>
          <w:color w:val="231F20"/>
          <w:sz w:val="18"/>
          <w:szCs w:val="18"/>
          <w:lang w:val="es-ES"/>
        </w:rPr>
        <w:t xml:space="preserve">6  literal b), </w:t>
      </w:r>
      <w:bookmarkEnd w:id="0"/>
      <w:r w:rsidRPr="005720C8">
        <w:rPr>
          <w:rFonts w:ascii="Book Antiqua" w:eastAsia="Times New Roman" w:hAnsi="Book Antiqua" w:cs="Times New Roman"/>
          <w:color w:val="231F20"/>
          <w:sz w:val="18"/>
          <w:szCs w:val="18"/>
          <w:lang w:val="es-ES"/>
        </w:rPr>
        <w:t>se contempla como requisito taxativo la construcción de una fosa séptica para que se autorice la conexión del servicio de agua potable que brinda esta municipalidad cuando es requerida por sus habitantes.</w:t>
      </w:r>
    </w:p>
    <w:p w14:paraId="0CAE4F72" w14:textId="3920FF05" w:rsidR="006F2F1B" w:rsidRPr="005720C8" w:rsidRDefault="006F2F1B" w:rsidP="006F2F1B">
      <w:pPr>
        <w:pStyle w:val="Prrafodelista"/>
        <w:numPr>
          <w:ilvl w:val="0"/>
          <w:numId w:val="1"/>
        </w:numPr>
        <w:spacing w:after="100" w:afterAutospacing="1"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 xml:space="preserve"> Que el municipio de Villa El Carmen y a su población conforme al último censo emitido por la DYGESTIC se ha clasificado en pobreza alta y extrema, por lo que no cuentan con los recursos necesarios para la construcción de obras que se sujetan a condición para gozar de los recursos naturales como lo es el Agua Potable, por lo que es eminente la necesidad de eliminar el requisito contemplado en el artículo 6 literal b) de la referida Ordenanza. </w:t>
      </w:r>
    </w:p>
    <w:p w14:paraId="162A7B38" w14:textId="77777777" w:rsidR="006F2F1B" w:rsidRPr="005720C8" w:rsidRDefault="006F2F1B" w:rsidP="006F2F1B">
      <w:pPr>
        <w:pStyle w:val="Prrafodelista"/>
        <w:numPr>
          <w:ilvl w:val="0"/>
          <w:numId w:val="1"/>
        </w:numPr>
        <w:spacing w:after="100" w:afterAutospacing="1"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 xml:space="preserve">Que el propósito de derogar el artículo relacionado en el romano anterior, se encuentra sustentado en garantizar el derecho Universal al Agua, como recurso natural, y declarado de Interés Social de conformidad al Art. 117 de nuestra constitución, facilitando el acceso sin más trámites que el resto de los señalados en la respectiva Ordenanza. </w:t>
      </w:r>
    </w:p>
    <w:p w14:paraId="76C5CCA9" w14:textId="77777777" w:rsidR="006F2F1B" w:rsidRPr="005720C8" w:rsidRDefault="006F2F1B" w:rsidP="006F2F1B">
      <w:pPr>
        <w:spacing w:after="0" w:line="276" w:lineRule="auto"/>
        <w:jc w:val="both"/>
        <w:rPr>
          <w:rFonts w:ascii="Book Antiqua" w:eastAsia="Times New Roman" w:hAnsi="Book Antiqua" w:cs="Times New Roman"/>
          <w:b/>
          <w:bCs/>
          <w:color w:val="231F20"/>
          <w:sz w:val="18"/>
          <w:szCs w:val="18"/>
          <w:lang w:val="es-ES"/>
        </w:rPr>
      </w:pPr>
      <w:r w:rsidRPr="005720C8">
        <w:rPr>
          <w:rFonts w:ascii="Book Antiqua" w:eastAsia="Times New Roman" w:hAnsi="Book Antiqua" w:cs="Times New Roman"/>
          <w:b/>
          <w:bCs/>
          <w:color w:val="231F20"/>
          <w:sz w:val="18"/>
          <w:szCs w:val="18"/>
          <w:lang w:val="es-ES"/>
        </w:rPr>
        <w:t xml:space="preserve">POR TANTO: </w:t>
      </w:r>
    </w:p>
    <w:p w14:paraId="1D496DE0"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 xml:space="preserve">El Concejo Municipal de Villa El Carmen, en uso de sus facultades legales, DECRETA la siguiente DEROGATORIA DEL ARTICULO 6 literal b), DE LA </w:t>
      </w:r>
      <w:bookmarkStart w:id="1" w:name="_Hlk92361646"/>
      <w:r w:rsidRPr="005720C8">
        <w:rPr>
          <w:rFonts w:ascii="Book Antiqua" w:eastAsia="Times New Roman" w:hAnsi="Book Antiqua" w:cs="Times New Roman"/>
          <w:color w:val="231F20"/>
          <w:sz w:val="18"/>
          <w:szCs w:val="18"/>
          <w:lang w:val="es-ES"/>
        </w:rPr>
        <w:t>ORDENANZA DE PRESTACION DE SERVICIO DE AGUA POTABLE DEL MUNICIPIO DE VILLA EL CARMEN, DEPARTAMENTO DE CUSCATLÁN en los términos siguientes:</w:t>
      </w:r>
    </w:p>
    <w:p w14:paraId="2508F53B"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p>
    <w:bookmarkEnd w:id="1"/>
    <w:p w14:paraId="63B49D84"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Art. 1.- Derogase en el Art. 6 literal b) de la ORDENANZA DE PRESTACION DE SERVICIO DE AGUA POTABLE DEL MUNICIPIO DE VILLA EL CARMEN, DEPARTAMENTO DE CUSCATLÁN que establece literalmente: Art. 6.- Toda persona que solicite el servicio de Agua Potable de la municipalidad deberá cumplir con los siguientes requisitos: literal b) Presentación de permiso, extendido por la unidad de salud, donde el requerimiento será el haber construido una fosa séptica. De acuerdo a los lineamientos del Ministerio de Salud.</w:t>
      </w:r>
    </w:p>
    <w:p w14:paraId="230BBCED"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p>
    <w:p w14:paraId="145BA020" w14:textId="77777777" w:rsidR="006F2F1B" w:rsidRPr="00EC4D08" w:rsidRDefault="006F2F1B" w:rsidP="006F2F1B">
      <w:pPr>
        <w:spacing w:after="0" w:line="276" w:lineRule="auto"/>
        <w:jc w:val="both"/>
        <w:rPr>
          <w:rFonts w:ascii="Book Antiqua" w:eastAsia="Times New Roman" w:hAnsi="Book Antiqua" w:cs="Times New Roman"/>
          <w:b/>
          <w:bCs/>
          <w:color w:val="231F20"/>
          <w:sz w:val="18"/>
          <w:szCs w:val="18"/>
          <w:lang w:val="es-ES"/>
        </w:rPr>
      </w:pPr>
      <w:r w:rsidRPr="00EC4D08">
        <w:rPr>
          <w:rFonts w:ascii="Book Antiqua" w:eastAsia="Times New Roman" w:hAnsi="Book Antiqua" w:cs="Times New Roman"/>
          <w:b/>
          <w:bCs/>
          <w:color w:val="231F20"/>
          <w:sz w:val="18"/>
          <w:szCs w:val="18"/>
          <w:lang w:val="es-ES"/>
        </w:rPr>
        <w:t>Vigencia</w:t>
      </w:r>
    </w:p>
    <w:p w14:paraId="1A1A9ECE"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Art. 2.- La presente Ordenanza entrará en vigencia ocho días después de su publicación en el Diario Oficial.</w:t>
      </w:r>
    </w:p>
    <w:p w14:paraId="0A4AFAA3" w14:textId="77777777" w:rsidR="006F2F1B" w:rsidRPr="005720C8" w:rsidRDefault="006F2F1B" w:rsidP="006F2F1B">
      <w:pPr>
        <w:spacing w:after="0" w:line="276" w:lineRule="auto"/>
        <w:jc w:val="both"/>
        <w:rPr>
          <w:rFonts w:ascii="Book Antiqua" w:eastAsia="Times New Roman" w:hAnsi="Book Antiqua" w:cs="Times New Roman"/>
          <w:color w:val="231F20"/>
          <w:sz w:val="18"/>
          <w:szCs w:val="18"/>
          <w:lang w:val="es-ES"/>
        </w:rPr>
      </w:pPr>
    </w:p>
    <w:p w14:paraId="797E02B9" w14:textId="48FA9925" w:rsidR="006F2F1B" w:rsidRDefault="006F2F1B" w:rsidP="006F2F1B">
      <w:pPr>
        <w:tabs>
          <w:tab w:val="left" w:pos="993"/>
        </w:tabs>
        <w:spacing w:line="276" w:lineRule="auto"/>
        <w:jc w:val="both"/>
        <w:rPr>
          <w:rFonts w:ascii="Book Antiqua" w:eastAsia="Times New Roman" w:hAnsi="Book Antiqua" w:cs="Times New Roman"/>
          <w:color w:val="231F20"/>
          <w:sz w:val="18"/>
          <w:szCs w:val="18"/>
          <w:lang w:val="es-ES"/>
        </w:rPr>
      </w:pPr>
      <w:r w:rsidRPr="005720C8">
        <w:rPr>
          <w:rFonts w:ascii="Book Antiqua" w:eastAsia="Times New Roman" w:hAnsi="Book Antiqua" w:cs="Times New Roman"/>
          <w:color w:val="231F20"/>
          <w:sz w:val="18"/>
          <w:szCs w:val="18"/>
          <w:lang w:val="es-ES"/>
        </w:rPr>
        <w:t>DADO EN EL SALÓN DE SESIONES DE LA ALCALDÍA MUNICIPAL DE VILLA EL CARMEN, a los dieciocho días del mes de diciembre de dos mil veintiuno.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F5A42" w:rsidRPr="006F5A42" w14:paraId="29FFE188" w14:textId="77777777" w:rsidTr="009206ED">
        <w:tc>
          <w:tcPr>
            <w:tcW w:w="4414" w:type="dxa"/>
          </w:tcPr>
          <w:p w14:paraId="56D28E87" w14:textId="77777777" w:rsidR="00901669" w:rsidRDefault="00901669" w:rsidP="009206ED">
            <w:pPr>
              <w:jc w:val="center"/>
              <w:rPr>
                <w:rFonts w:ascii="Book Antiqua" w:eastAsia="Times New Roman" w:hAnsi="Book Antiqua" w:cs="Times New Roman"/>
                <w:color w:val="231F20"/>
                <w:sz w:val="18"/>
                <w:szCs w:val="18"/>
                <w:lang w:val="es-ES"/>
              </w:rPr>
            </w:pPr>
          </w:p>
          <w:p w14:paraId="54E27AD3" w14:textId="5902ADCE" w:rsidR="006F5A42" w:rsidRPr="006F5A42" w:rsidRDefault="006F5A42" w:rsidP="009206ED">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Omar Josué Pineda Rodríguez</w:t>
            </w:r>
            <w:r w:rsidR="009C72E8">
              <w:rPr>
                <w:rFonts w:ascii="Book Antiqua" w:eastAsia="Times New Roman" w:hAnsi="Book Antiqua" w:cs="Times New Roman"/>
                <w:color w:val="231F20"/>
                <w:sz w:val="18"/>
                <w:szCs w:val="18"/>
                <w:lang w:val="es-ES"/>
              </w:rPr>
              <w:t>,</w:t>
            </w:r>
          </w:p>
          <w:p w14:paraId="0F8ED9B5" w14:textId="7B69D40C" w:rsidR="006F5A42" w:rsidRPr="006F5A42" w:rsidRDefault="006F5A42" w:rsidP="009206ED">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Alcalde Municipal</w:t>
            </w:r>
            <w:r w:rsidR="009C72E8">
              <w:rPr>
                <w:rFonts w:ascii="Book Antiqua" w:eastAsia="Times New Roman" w:hAnsi="Book Antiqua" w:cs="Times New Roman"/>
                <w:color w:val="231F20"/>
                <w:sz w:val="18"/>
                <w:szCs w:val="18"/>
                <w:lang w:val="es-ES"/>
              </w:rPr>
              <w:t>.</w:t>
            </w:r>
          </w:p>
          <w:p w14:paraId="76429B30" w14:textId="77777777" w:rsidR="006F5A42" w:rsidRPr="006F5A42" w:rsidRDefault="006F5A42" w:rsidP="009206ED">
            <w:pPr>
              <w:rPr>
                <w:rFonts w:ascii="Book Antiqua" w:eastAsia="Times New Roman" w:hAnsi="Book Antiqua" w:cs="Times New Roman"/>
                <w:color w:val="231F20"/>
                <w:sz w:val="18"/>
                <w:szCs w:val="18"/>
                <w:lang w:val="es-ES"/>
              </w:rPr>
            </w:pPr>
          </w:p>
        </w:tc>
        <w:tc>
          <w:tcPr>
            <w:tcW w:w="4414" w:type="dxa"/>
          </w:tcPr>
          <w:p w14:paraId="7448879B" w14:textId="25F8BEA8" w:rsidR="006F5A42" w:rsidRPr="006F5A42" w:rsidRDefault="006F5A42" w:rsidP="009206ED">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 xml:space="preserve">XXXX </w:t>
            </w:r>
            <w:proofErr w:type="spellStart"/>
            <w:r w:rsidRPr="006F5A42">
              <w:rPr>
                <w:rFonts w:ascii="Book Antiqua" w:eastAsia="Times New Roman" w:hAnsi="Book Antiqua" w:cs="Times New Roman"/>
                <w:color w:val="231F20"/>
                <w:sz w:val="18"/>
                <w:szCs w:val="18"/>
                <w:lang w:val="es-ES"/>
              </w:rPr>
              <w:t>XXXX</w:t>
            </w:r>
            <w:proofErr w:type="spellEnd"/>
            <w:r w:rsidRPr="006F5A42">
              <w:rPr>
                <w:rFonts w:ascii="Book Antiqua" w:eastAsia="Times New Roman" w:hAnsi="Book Antiqua" w:cs="Times New Roman"/>
                <w:color w:val="231F20"/>
                <w:sz w:val="18"/>
                <w:szCs w:val="18"/>
                <w:lang w:val="es-ES"/>
              </w:rPr>
              <w:t xml:space="preserve"> </w:t>
            </w:r>
            <w:proofErr w:type="spellStart"/>
            <w:r w:rsidRPr="006F5A42">
              <w:rPr>
                <w:rFonts w:ascii="Book Antiqua" w:eastAsia="Times New Roman" w:hAnsi="Book Antiqua" w:cs="Times New Roman"/>
                <w:color w:val="231F20"/>
                <w:sz w:val="18"/>
                <w:szCs w:val="18"/>
                <w:lang w:val="es-ES"/>
              </w:rPr>
              <w:t>XXXX</w:t>
            </w:r>
            <w:proofErr w:type="spellEnd"/>
            <w:r w:rsidRPr="006F5A42">
              <w:rPr>
                <w:rFonts w:ascii="Book Antiqua" w:eastAsia="Times New Roman" w:hAnsi="Book Antiqua" w:cs="Times New Roman"/>
                <w:color w:val="231F20"/>
                <w:sz w:val="18"/>
                <w:szCs w:val="18"/>
                <w:lang w:val="es-ES"/>
              </w:rPr>
              <w:t xml:space="preserve"> </w:t>
            </w:r>
            <w:proofErr w:type="spellStart"/>
            <w:r w:rsidRPr="006F5A42">
              <w:rPr>
                <w:rFonts w:ascii="Book Antiqua" w:eastAsia="Times New Roman" w:hAnsi="Book Antiqua" w:cs="Times New Roman"/>
                <w:color w:val="231F20"/>
                <w:sz w:val="18"/>
                <w:szCs w:val="18"/>
                <w:lang w:val="es-ES"/>
              </w:rPr>
              <w:t>XXXX</w:t>
            </w:r>
            <w:proofErr w:type="spellEnd"/>
            <w:r w:rsidR="009C72E8">
              <w:rPr>
                <w:rFonts w:ascii="Book Antiqua" w:eastAsia="Times New Roman" w:hAnsi="Book Antiqua" w:cs="Times New Roman"/>
                <w:color w:val="231F20"/>
                <w:sz w:val="18"/>
                <w:szCs w:val="18"/>
                <w:lang w:val="es-ES"/>
              </w:rPr>
              <w:t>,</w:t>
            </w:r>
          </w:p>
          <w:p w14:paraId="67AB198B" w14:textId="52B6F4E4" w:rsidR="006F5A42" w:rsidRPr="006F5A42" w:rsidRDefault="006F5A42" w:rsidP="006F5A42">
            <w:pPr>
              <w:jc w:val="center"/>
              <w:rPr>
                <w:rFonts w:ascii="Book Antiqua" w:eastAsia="Times New Roman" w:hAnsi="Book Antiqua" w:cs="Times New Roman"/>
                <w:color w:val="231F20"/>
                <w:sz w:val="18"/>
                <w:szCs w:val="18"/>
                <w:lang w:val="es-ES"/>
              </w:rPr>
            </w:pPr>
            <w:r w:rsidRPr="006F5A42">
              <w:rPr>
                <w:rFonts w:ascii="Book Antiqua" w:eastAsia="Times New Roman" w:hAnsi="Book Antiqua" w:cs="Times New Roman"/>
                <w:color w:val="231F20"/>
                <w:sz w:val="18"/>
                <w:szCs w:val="18"/>
                <w:lang w:val="es-ES"/>
              </w:rPr>
              <w:t>Secretari</w:t>
            </w:r>
            <w:r>
              <w:rPr>
                <w:rFonts w:ascii="Book Antiqua" w:eastAsia="Times New Roman" w:hAnsi="Book Antiqua" w:cs="Times New Roman"/>
                <w:color w:val="231F20"/>
                <w:sz w:val="18"/>
                <w:szCs w:val="18"/>
                <w:lang w:val="es-ES"/>
              </w:rPr>
              <w:t>a</w:t>
            </w:r>
            <w:r w:rsidRPr="006F5A42">
              <w:rPr>
                <w:rFonts w:ascii="Book Antiqua" w:eastAsia="Times New Roman" w:hAnsi="Book Antiqua" w:cs="Times New Roman"/>
                <w:color w:val="231F20"/>
                <w:sz w:val="18"/>
                <w:szCs w:val="18"/>
                <w:lang w:val="es-ES"/>
              </w:rPr>
              <w:t xml:space="preserve"> Municipal</w:t>
            </w:r>
            <w:r w:rsidR="009C72E8">
              <w:rPr>
                <w:rFonts w:ascii="Book Antiqua" w:eastAsia="Times New Roman" w:hAnsi="Book Antiqua" w:cs="Times New Roman"/>
                <w:color w:val="231F20"/>
                <w:sz w:val="18"/>
                <w:szCs w:val="18"/>
                <w:lang w:val="es-ES"/>
              </w:rPr>
              <w:t>.</w:t>
            </w:r>
          </w:p>
        </w:tc>
      </w:tr>
    </w:tbl>
    <w:p w14:paraId="5D87A60E" w14:textId="09F768B1" w:rsidR="00E50442" w:rsidRDefault="00E50442" w:rsidP="00E50442">
      <w:pPr>
        <w:pStyle w:val="Textoindependiente"/>
        <w:spacing w:before="132"/>
        <w:ind w:right="49"/>
        <w:rPr>
          <w:rFonts w:ascii="Book Antiqua" w:hAnsi="Book Antiqua"/>
          <w:b/>
          <w:bCs/>
          <w:color w:val="231F20"/>
          <w:sz w:val="18"/>
          <w:szCs w:val="18"/>
        </w:rPr>
      </w:pPr>
      <w:r w:rsidRPr="001372D9">
        <w:rPr>
          <w:rFonts w:ascii="Book Antiqua" w:hAnsi="Book Antiqua"/>
          <w:b/>
          <w:bCs/>
          <w:color w:val="231F20"/>
          <w:sz w:val="18"/>
          <w:szCs w:val="18"/>
        </w:rPr>
        <w:t>PUBLICA</w:t>
      </w:r>
      <w:r>
        <w:rPr>
          <w:rFonts w:ascii="Book Antiqua" w:hAnsi="Book Antiqua"/>
          <w:b/>
          <w:bCs/>
          <w:color w:val="231F20"/>
          <w:sz w:val="18"/>
          <w:szCs w:val="18"/>
        </w:rPr>
        <w:t>CIÓN</w:t>
      </w:r>
    </w:p>
    <w:p w14:paraId="69C18C14" w14:textId="0A77F8D7" w:rsidR="005720C8" w:rsidRPr="001372D9" w:rsidRDefault="005720C8" w:rsidP="00E50442">
      <w:pPr>
        <w:pStyle w:val="Textoindependiente"/>
        <w:spacing w:before="132"/>
        <w:ind w:right="49"/>
        <w:rPr>
          <w:rFonts w:ascii="Book Antiqua" w:hAnsi="Book Antiqua"/>
          <w:b/>
          <w:bCs/>
          <w:color w:val="231F20"/>
          <w:sz w:val="18"/>
          <w:szCs w:val="18"/>
        </w:rPr>
      </w:pPr>
      <w:r w:rsidRPr="001372D9">
        <w:rPr>
          <w:rFonts w:ascii="Book Antiqua" w:hAnsi="Book Antiqua"/>
          <w:b/>
          <w:bCs/>
          <w:color w:val="231F20"/>
          <w:sz w:val="18"/>
          <w:szCs w:val="18"/>
        </w:rPr>
        <w:t xml:space="preserve"> DIARIO OFICIAL NÚMERO 21 TOMO </w:t>
      </w:r>
      <w:proofErr w:type="spellStart"/>
      <w:r w:rsidRPr="001372D9">
        <w:rPr>
          <w:rFonts w:ascii="Book Antiqua" w:hAnsi="Book Antiqua"/>
          <w:b/>
          <w:bCs/>
          <w:color w:val="231F20"/>
          <w:sz w:val="18"/>
          <w:szCs w:val="18"/>
        </w:rPr>
        <w:t>Nº</w:t>
      </w:r>
      <w:proofErr w:type="spellEnd"/>
      <w:r w:rsidRPr="001372D9">
        <w:rPr>
          <w:rFonts w:ascii="Book Antiqua" w:hAnsi="Book Antiqua"/>
          <w:b/>
          <w:bCs/>
          <w:color w:val="231F20"/>
          <w:sz w:val="18"/>
          <w:szCs w:val="18"/>
        </w:rPr>
        <w:t xml:space="preserve"> 434, DEL 31 DE ENERO DE 2022</w:t>
      </w:r>
    </w:p>
    <w:p w14:paraId="5EF89C44" w14:textId="4FDDC211" w:rsidR="00333685" w:rsidRPr="001372D9" w:rsidRDefault="005720C8" w:rsidP="009C72E8">
      <w:pPr>
        <w:pStyle w:val="Textoindependiente"/>
        <w:spacing w:before="132"/>
        <w:ind w:right="49"/>
        <w:jc w:val="center"/>
        <w:rPr>
          <w:rFonts w:ascii="Book Antiqua" w:hAnsi="Book Antiqua"/>
          <w:b/>
          <w:bCs/>
          <w:color w:val="231F20"/>
          <w:sz w:val="18"/>
          <w:szCs w:val="18"/>
        </w:rPr>
      </w:pPr>
      <w:r w:rsidRPr="001372D9">
        <w:rPr>
          <w:rFonts w:ascii="Book Antiqua" w:hAnsi="Book Antiqua"/>
          <w:b/>
          <w:bCs/>
          <w:color w:val="231F20"/>
          <w:sz w:val="18"/>
          <w:szCs w:val="18"/>
        </w:rPr>
        <w:t>(Registro No. A031161)</w:t>
      </w:r>
    </w:p>
    <w:sectPr w:rsidR="00333685" w:rsidRPr="001372D9" w:rsidSect="00901669">
      <w:pgSz w:w="12240" w:h="15840" w:code="1"/>
      <w:pgMar w:top="1417" w:right="1701" w:bottom="851" w:left="1701" w:header="510"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C32D9"/>
    <w:multiLevelType w:val="hybridMultilevel"/>
    <w:tmpl w:val="6386AAD2"/>
    <w:lvl w:ilvl="0" w:tplc="AD44784C">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91643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1B"/>
    <w:rsid w:val="001372D9"/>
    <w:rsid w:val="00333685"/>
    <w:rsid w:val="005720C8"/>
    <w:rsid w:val="005822C6"/>
    <w:rsid w:val="006F2F1B"/>
    <w:rsid w:val="006F5A42"/>
    <w:rsid w:val="00901669"/>
    <w:rsid w:val="009C72E8"/>
    <w:rsid w:val="00A12354"/>
    <w:rsid w:val="00B90F2D"/>
    <w:rsid w:val="00E50442"/>
    <w:rsid w:val="00EC4D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1400"/>
  <w15:chartTrackingRefBased/>
  <w15:docId w15:val="{240632E5-411D-4644-A63F-BDA2C1B7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6F2F1B"/>
    <w:pPr>
      <w:ind w:left="720"/>
      <w:contextualSpacing/>
    </w:pPr>
  </w:style>
  <w:style w:type="paragraph" w:styleId="Textoindependiente">
    <w:name w:val="Body Text"/>
    <w:basedOn w:val="Normal"/>
    <w:link w:val="TextoindependienteCar"/>
    <w:uiPriority w:val="1"/>
    <w:qFormat/>
    <w:rsid w:val="005720C8"/>
    <w:pPr>
      <w:widowControl w:val="0"/>
      <w:autoSpaceDE w:val="0"/>
      <w:autoSpaceDN w:val="0"/>
      <w:spacing w:after="0" w:line="240" w:lineRule="auto"/>
    </w:pPr>
    <w:rPr>
      <w:rFonts w:ascii="Times New Roman" w:eastAsia="Times New Roman" w:hAnsi="Times New Roman" w:cs="Times New Roman"/>
      <w:sz w:val="16"/>
      <w:szCs w:val="16"/>
      <w:lang w:val="es-ES"/>
    </w:rPr>
  </w:style>
  <w:style w:type="character" w:customStyle="1" w:styleId="TextoindependienteCar">
    <w:name w:val="Texto independiente Car"/>
    <w:basedOn w:val="Fuentedeprrafopredeter"/>
    <w:link w:val="Textoindependiente"/>
    <w:uiPriority w:val="1"/>
    <w:rsid w:val="005720C8"/>
    <w:rPr>
      <w:rFonts w:ascii="Times New Roman" w:eastAsia="Times New Roman" w:hAnsi="Times New Roman" w:cs="Times New Roman"/>
      <w:sz w:val="16"/>
      <w:szCs w:val="16"/>
      <w:lang w:val="es-ES"/>
    </w:rPr>
  </w:style>
  <w:style w:type="table" w:styleId="Tablaconcuadrcula">
    <w:name w:val="Table Grid"/>
    <w:basedOn w:val="Tablanormal"/>
    <w:uiPriority w:val="39"/>
    <w:rsid w:val="006F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466</Words>
  <Characters>2566</Characters>
  <Application>Microsoft Office Word</Application>
  <DocSecurity>0</DocSecurity>
  <Lines>21</Lines>
  <Paragraphs>6</Paragraphs>
  <ScaleCrop>false</ScaleCrop>
  <Company>Hewlett-Packard Company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10</cp:revision>
  <dcterms:created xsi:type="dcterms:W3CDTF">2023-03-16T22:47:00Z</dcterms:created>
  <dcterms:modified xsi:type="dcterms:W3CDTF">2023-03-27T20:47:00Z</dcterms:modified>
</cp:coreProperties>
</file>