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9503EB" w:rsidP="009503EB">
      <w:pPr>
        <w:jc w:val="both"/>
        <w:rPr>
          <w:sz w:val="23"/>
          <w:szCs w:val="23"/>
        </w:rPr>
      </w:pPr>
      <w:r>
        <w:rPr>
          <w:b/>
          <w:bCs/>
          <w:sz w:val="23"/>
          <w:szCs w:val="23"/>
        </w:rPr>
        <w:t xml:space="preserve">ACTA NUMERO TREINTA Y CUATRO: </w:t>
      </w:r>
      <w:r>
        <w:rPr>
          <w:sz w:val="23"/>
          <w:szCs w:val="23"/>
        </w:rPr>
        <w:t xml:space="preserve">Sesión Extraordinaria Celebrada en la Municipalidad de Villa El Carmen, Departamento de Cuscatlán a las Catorce horas del día Treinta y Uno de Agosto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realice los siguientes desembolsos:</w:t>
      </w:r>
    </w:p>
    <w:tbl>
      <w:tblPr>
        <w:tblStyle w:val="TableGrid"/>
        <w:tblW w:w="9752" w:type="dxa"/>
        <w:tblInd w:w="-108" w:type="dxa"/>
        <w:tblCellMar>
          <w:top w:w="0" w:type="dxa"/>
          <w:left w:w="104" w:type="dxa"/>
          <w:bottom w:w="0" w:type="dxa"/>
          <w:right w:w="51" w:type="dxa"/>
        </w:tblCellMar>
        <w:tblLook w:val="04A0" w:firstRow="1" w:lastRow="0" w:firstColumn="1" w:lastColumn="0" w:noHBand="0" w:noVBand="1"/>
      </w:tblPr>
      <w:tblGrid>
        <w:gridCol w:w="1669"/>
        <w:gridCol w:w="3545"/>
        <w:gridCol w:w="4538"/>
      </w:tblGrid>
      <w:tr w:rsidR="009503EB" w:rsidTr="00C12D57">
        <w:trPr>
          <w:trHeight w:val="718"/>
        </w:trPr>
        <w:tc>
          <w:tcPr>
            <w:tcW w:w="166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5"/>
              <w:jc w:val="center"/>
            </w:pPr>
          </w:p>
          <w:p w:rsidR="009503EB" w:rsidRDefault="009503EB" w:rsidP="00C12D57">
            <w:pPr>
              <w:spacing w:line="276" w:lineRule="auto"/>
              <w:jc w:val="center"/>
            </w:pPr>
            <w:r>
              <w:rPr>
                <w:rFonts w:ascii="Lucida Sans" w:eastAsia="Lucida Sans" w:hAnsi="Lucida Sans" w:cs="Lucida Sans"/>
                <w:b/>
                <w:sz w:val="20"/>
              </w:rPr>
              <w:t xml:space="preserve">MONTO </w:t>
            </w:r>
          </w:p>
        </w:tc>
        <w:tc>
          <w:tcPr>
            <w:tcW w:w="3545"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5"/>
              <w:jc w:val="center"/>
            </w:pPr>
            <w:r>
              <w:rPr>
                <w:rFonts w:ascii="Lucida Sans" w:eastAsia="Lucida Sans" w:hAnsi="Lucida Sans" w:cs="Lucida Sans"/>
                <w:b/>
                <w:sz w:val="20"/>
              </w:rPr>
              <w:t xml:space="preserve"> </w:t>
            </w:r>
          </w:p>
          <w:p w:rsidR="009503EB" w:rsidRDefault="009503EB" w:rsidP="00C12D57">
            <w:pPr>
              <w:spacing w:line="276" w:lineRule="auto"/>
              <w:jc w:val="center"/>
            </w:pPr>
            <w:r>
              <w:rPr>
                <w:rFonts w:ascii="Lucida Sans" w:eastAsia="Lucida Sans" w:hAnsi="Lucida Sans" w:cs="Lucida Sans"/>
                <w:b/>
                <w:sz w:val="20"/>
              </w:rPr>
              <w:t xml:space="preserve">N° DE CUENTA CORRIENTE </w:t>
            </w:r>
          </w:p>
        </w:tc>
        <w:tc>
          <w:tcPr>
            <w:tcW w:w="453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5"/>
              <w:jc w:val="center"/>
            </w:pPr>
            <w:r>
              <w:rPr>
                <w:rFonts w:ascii="Lucida Sans" w:eastAsia="Lucida Sans" w:hAnsi="Lucida Sans" w:cs="Lucida Sans"/>
                <w:b/>
                <w:sz w:val="20"/>
              </w:rPr>
              <w:t xml:space="preserve"> </w:t>
            </w:r>
          </w:p>
          <w:p w:rsidR="009503EB" w:rsidRDefault="009503EB" w:rsidP="00C12D57">
            <w:pPr>
              <w:spacing w:line="276" w:lineRule="auto"/>
              <w:jc w:val="center"/>
            </w:pPr>
            <w:r>
              <w:rPr>
                <w:rFonts w:ascii="Lucida Sans" w:eastAsia="Lucida Sans" w:hAnsi="Lucida Sans" w:cs="Lucida Sans"/>
                <w:b/>
                <w:sz w:val="20"/>
              </w:rPr>
              <w:t xml:space="preserve">NOMBRE DEL PROYECTO </w:t>
            </w:r>
          </w:p>
        </w:tc>
      </w:tr>
      <w:tr w:rsidR="009503EB" w:rsidTr="00C12D57">
        <w:trPr>
          <w:trHeight w:val="1072"/>
        </w:trPr>
        <w:tc>
          <w:tcPr>
            <w:tcW w:w="166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line="276" w:lineRule="auto"/>
              <w:ind w:left="4"/>
            </w:pPr>
            <w:r>
              <w:rPr>
                <w:sz w:val="20"/>
              </w:rPr>
              <w:t xml:space="preserve">$ 2,450.00 </w:t>
            </w:r>
          </w:p>
        </w:tc>
        <w:tc>
          <w:tcPr>
            <w:tcW w:w="3545"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line="276" w:lineRule="auto"/>
              <w:ind w:left="4"/>
            </w:pPr>
            <w:r>
              <w:rPr>
                <w:sz w:val="20"/>
              </w:rPr>
              <w:t xml:space="preserve">100-170-701073-8 </w:t>
            </w:r>
          </w:p>
        </w:tc>
        <w:tc>
          <w:tcPr>
            <w:tcW w:w="453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pPr>
            <w:r>
              <w:rPr>
                <w:sz w:val="20"/>
              </w:rPr>
              <w:t xml:space="preserve"> </w:t>
            </w:r>
          </w:p>
          <w:p w:rsidR="009503EB" w:rsidRDefault="009503EB" w:rsidP="00C12D57">
            <w:pPr>
              <w:spacing w:line="276" w:lineRule="auto"/>
            </w:pPr>
            <w:r>
              <w:rPr>
                <w:sz w:val="20"/>
              </w:rPr>
              <w:t xml:space="preserve">Disposición Final de Cadáveres por casos de COVID-19 en el Municipio. </w:t>
            </w:r>
          </w:p>
        </w:tc>
      </w:tr>
      <w:tr w:rsidR="009503EB" w:rsidTr="00C12D57">
        <w:trPr>
          <w:trHeight w:val="1424"/>
        </w:trPr>
        <w:tc>
          <w:tcPr>
            <w:tcW w:w="166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8"/>
              <w:ind w:left="4"/>
            </w:pPr>
            <w:r>
              <w:rPr>
                <w:sz w:val="20"/>
              </w:rPr>
              <w:t xml:space="preserve"> </w:t>
            </w:r>
          </w:p>
          <w:p w:rsidR="009503EB" w:rsidRDefault="009503EB" w:rsidP="00C12D57">
            <w:pPr>
              <w:spacing w:line="276" w:lineRule="auto"/>
              <w:ind w:left="4"/>
            </w:pPr>
            <w:r>
              <w:rPr>
                <w:sz w:val="20"/>
              </w:rPr>
              <w:t xml:space="preserve">$ 5,000.00 </w:t>
            </w:r>
          </w:p>
        </w:tc>
        <w:tc>
          <w:tcPr>
            <w:tcW w:w="3545"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8"/>
              <w:ind w:left="4"/>
            </w:pPr>
            <w:r>
              <w:rPr>
                <w:sz w:val="20"/>
              </w:rPr>
              <w:t xml:space="preserve"> </w:t>
            </w:r>
          </w:p>
          <w:p w:rsidR="009503EB" w:rsidRDefault="009503EB" w:rsidP="00C12D57">
            <w:pPr>
              <w:spacing w:line="276" w:lineRule="auto"/>
              <w:ind w:left="4"/>
            </w:pPr>
            <w:r>
              <w:rPr>
                <w:sz w:val="20"/>
              </w:rPr>
              <w:t xml:space="preserve">100-170-701101-7 </w:t>
            </w:r>
          </w:p>
        </w:tc>
        <w:tc>
          <w:tcPr>
            <w:tcW w:w="453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8"/>
            </w:pPr>
            <w:r>
              <w:rPr>
                <w:sz w:val="20"/>
              </w:rPr>
              <w:t xml:space="preserve"> </w:t>
            </w:r>
          </w:p>
          <w:p w:rsidR="009503EB" w:rsidRDefault="009503EB" w:rsidP="00C12D57">
            <w:pPr>
              <w:spacing w:line="276" w:lineRule="auto"/>
            </w:pPr>
            <w:proofErr w:type="gramStart"/>
            <w:r>
              <w:rPr>
                <w:sz w:val="20"/>
              </w:rPr>
              <w:t>Implementación  del</w:t>
            </w:r>
            <w:proofErr w:type="gramEnd"/>
            <w:r>
              <w:rPr>
                <w:sz w:val="20"/>
              </w:rPr>
              <w:t xml:space="preserve"> Programa de Salud a Familias del Municipio en Respuesta a </w:t>
            </w:r>
            <w:proofErr w:type="spellStart"/>
            <w:r>
              <w:rPr>
                <w:sz w:val="20"/>
              </w:rPr>
              <w:t>al</w:t>
            </w:r>
            <w:proofErr w:type="spellEnd"/>
            <w:r>
              <w:rPr>
                <w:sz w:val="20"/>
              </w:rPr>
              <w:t xml:space="preserve"> Pandemia del COVID-19. </w:t>
            </w:r>
          </w:p>
        </w:tc>
      </w:tr>
      <w:tr w:rsidR="009503EB" w:rsidTr="00C12D57">
        <w:trPr>
          <w:trHeight w:val="1068"/>
        </w:trPr>
        <w:tc>
          <w:tcPr>
            <w:tcW w:w="166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line="276" w:lineRule="auto"/>
              <w:ind w:left="4"/>
            </w:pPr>
            <w:r>
              <w:rPr>
                <w:sz w:val="20"/>
              </w:rPr>
              <w:t xml:space="preserve">$ 1,267.00 </w:t>
            </w:r>
          </w:p>
        </w:tc>
        <w:tc>
          <w:tcPr>
            <w:tcW w:w="3545"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line="276" w:lineRule="auto"/>
              <w:ind w:left="4"/>
            </w:pPr>
            <w:r>
              <w:rPr>
                <w:sz w:val="20"/>
              </w:rPr>
              <w:t xml:space="preserve">100-170-701078-9 </w:t>
            </w:r>
          </w:p>
        </w:tc>
        <w:tc>
          <w:tcPr>
            <w:tcW w:w="453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line="276" w:lineRule="auto"/>
              <w:ind w:right="5"/>
            </w:pPr>
            <w:r>
              <w:rPr>
                <w:sz w:val="20"/>
              </w:rPr>
              <w:t xml:space="preserve">Compra de Víveres para elaboración de bolsas solidarias para asistencia a los hogares afectados por COVID-19 </w:t>
            </w:r>
          </w:p>
        </w:tc>
      </w:tr>
      <w:tr w:rsidR="009503EB" w:rsidTr="00C12D57">
        <w:trPr>
          <w:trHeight w:val="1069"/>
        </w:trPr>
        <w:tc>
          <w:tcPr>
            <w:tcW w:w="166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line="276" w:lineRule="auto"/>
              <w:ind w:left="4"/>
            </w:pPr>
            <w:r>
              <w:rPr>
                <w:sz w:val="20"/>
              </w:rPr>
              <w:t xml:space="preserve">$   100.00 </w:t>
            </w:r>
          </w:p>
        </w:tc>
        <w:tc>
          <w:tcPr>
            <w:tcW w:w="3545"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ind w:left="4"/>
            </w:pPr>
            <w:r>
              <w:rPr>
                <w:sz w:val="20"/>
              </w:rPr>
              <w:t xml:space="preserve"> </w:t>
            </w:r>
          </w:p>
          <w:p w:rsidR="009503EB" w:rsidRDefault="009503EB" w:rsidP="00C12D57">
            <w:pPr>
              <w:spacing w:after="144"/>
              <w:ind w:left="4"/>
            </w:pPr>
            <w:r>
              <w:rPr>
                <w:sz w:val="20"/>
              </w:rPr>
              <w:t xml:space="preserve">100-170-701078-9 </w:t>
            </w:r>
          </w:p>
          <w:p w:rsidR="009503EB" w:rsidRDefault="009503EB" w:rsidP="00C12D57">
            <w:pPr>
              <w:spacing w:line="276" w:lineRule="auto"/>
              <w:ind w:left="4"/>
            </w:pPr>
            <w:r>
              <w:rPr>
                <w:sz w:val="20"/>
              </w:rPr>
              <w:t xml:space="preserve"> </w:t>
            </w:r>
          </w:p>
        </w:tc>
        <w:tc>
          <w:tcPr>
            <w:tcW w:w="4539" w:type="dxa"/>
            <w:tcBorders>
              <w:top w:val="single" w:sz="3" w:space="0" w:color="000000"/>
              <w:left w:val="single" w:sz="3" w:space="0" w:color="000000"/>
              <w:bottom w:val="single" w:sz="3" w:space="0" w:color="000000"/>
              <w:right w:val="single" w:sz="3" w:space="0" w:color="000000"/>
            </w:tcBorders>
          </w:tcPr>
          <w:p w:rsidR="009503EB" w:rsidRDefault="009503EB" w:rsidP="00C12D57">
            <w:pPr>
              <w:spacing w:after="144"/>
            </w:pPr>
            <w:r>
              <w:rPr>
                <w:sz w:val="20"/>
              </w:rPr>
              <w:t xml:space="preserve"> </w:t>
            </w:r>
          </w:p>
          <w:p w:rsidR="009503EB" w:rsidRDefault="009503EB" w:rsidP="00C12D57">
            <w:pPr>
              <w:spacing w:line="276" w:lineRule="auto"/>
            </w:pPr>
            <w:r>
              <w:rPr>
                <w:sz w:val="20"/>
              </w:rPr>
              <w:t xml:space="preserve">Adquisición de Insumos de Protección, limpieza y sanitación </w:t>
            </w:r>
          </w:p>
        </w:tc>
      </w:tr>
    </w:tbl>
    <w:p w:rsidR="009503EB" w:rsidRDefault="009503EB" w:rsidP="009503EB">
      <w:pPr>
        <w:jc w:val="both"/>
      </w:pPr>
    </w:p>
    <w:p w:rsidR="009503EB" w:rsidRDefault="009503EB" w:rsidP="009503EB">
      <w:pPr>
        <w:jc w:val="both"/>
        <w:rPr>
          <w:sz w:val="23"/>
          <w:szCs w:val="23"/>
        </w:rPr>
      </w:pPr>
      <w:r>
        <w:rPr>
          <w:sz w:val="23"/>
          <w:szCs w:val="23"/>
        </w:rPr>
        <w:t xml:space="preserve">Dicho desembolso se realiza de la cuenta corriente </w:t>
      </w:r>
      <w:proofErr w:type="spellStart"/>
      <w:r>
        <w:rPr>
          <w:sz w:val="23"/>
          <w:szCs w:val="23"/>
        </w:rPr>
        <w:t>numero</w:t>
      </w:r>
      <w:proofErr w:type="spellEnd"/>
      <w:r>
        <w:rPr>
          <w:sz w:val="23"/>
          <w:szCs w:val="23"/>
        </w:rPr>
        <w:t xml:space="preserve"> 100-170-701073-8 de nombre Fondos Decreto Legislativo 650/GOES/ EMERGENCIA. Y para efectos de ley comuníquese. </w:t>
      </w:r>
      <w:r>
        <w:rPr>
          <w:b/>
          <w:bCs/>
          <w:sz w:val="23"/>
          <w:szCs w:val="23"/>
        </w:rPr>
        <w:t xml:space="preserve">ACUERDO NUMERO DOS: </w:t>
      </w:r>
      <w:r>
        <w:rPr>
          <w:sz w:val="23"/>
          <w:szCs w:val="23"/>
        </w:rPr>
        <w:t xml:space="preserve">El Concejo Municipal </w:t>
      </w:r>
      <w:r>
        <w:rPr>
          <w:b/>
          <w:bCs/>
          <w:sz w:val="23"/>
          <w:szCs w:val="23"/>
        </w:rPr>
        <w:t>CONSIDERANDO</w:t>
      </w:r>
      <w:r>
        <w:rPr>
          <w:sz w:val="23"/>
          <w:szCs w:val="23"/>
        </w:rPr>
        <w:t xml:space="preserve">: </w:t>
      </w:r>
      <w:r>
        <w:rPr>
          <w:b/>
          <w:bCs/>
          <w:sz w:val="23"/>
          <w:szCs w:val="23"/>
        </w:rPr>
        <w:t xml:space="preserve">I) </w:t>
      </w:r>
      <w:r>
        <w:rPr>
          <w:sz w:val="23"/>
          <w:szCs w:val="23"/>
        </w:rPr>
        <w:t xml:space="preserve">Que el Artículo 1 de la Constitución reconoce a la persona humana como el origen y el fin de la actividad del Estado, y por lo tanto es su obligación asegurar a sus habitantes el goce de la libertad, la salud, el bienestar económico y la justicia social; </w:t>
      </w:r>
      <w:r>
        <w:rPr>
          <w:b/>
          <w:bCs/>
          <w:sz w:val="23"/>
          <w:szCs w:val="23"/>
        </w:rPr>
        <w:t xml:space="preserve">II) </w:t>
      </w:r>
      <w:r>
        <w:rPr>
          <w:sz w:val="23"/>
          <w:szCs w:val="23"/>
        </w:rPr>
        <w:t xml:space="preserve">Que para tales fines existe la descentralización de la función del Estado mediante los Gobiernos Local, quienes según establece el Art. 203 de la Constitución gozan de autonomía en lo económico, técnico y administrativo, regidos por el Código Municipal; </w:t>
      </w:r>
      <w:r>
        <w:rPr>
          <w:b/>
          <w:bCs/>
          <w:sz w:val="23"/>
          <w:szCs w:val="23"/>
        </w:rPr>
        <w:t xml:space="preserve">III) </w:t>
      </w:r>
      <w:r>
        <w:rPr>
          <w:sz w:val="23"/>
          <w:szCs w:val="23"/>
        </w:rPr>
        <w:t xml:space="preserve">Que el Concejo Municipal debe realizar la administración de los fondos </w:t>
      </w:r>
      <w:r>
        <w:rPr>
          <w:sz w:val="23"/>
          <w:szCs w:val="23"/>
        </w:rPr>
        <w:lastRenderedPageBreak/>
        <w:t xml:space="preserve">públicos con transparencia, eficiencia, eficacia y austeridad, procurando el buen uso de los recursos de Municipio; </w:t>
      </w:r>
      <w:r>
        <w:rPr>
          <w:b/>
          <w:bCs/>
          <w:sz w:val="23"/>
          <w:szCs w:val="23"/>
        </w:rPr>
        <w:t xml:space="preserve">IV) </w:t>
      </w:r>
      <w:r>
        <w:rPr>
          <w:sz w:val="23"/>
          <w:szCs w:val="23"/>
        </w:rPr>
        <w:t xml:space="preserve">Que para el Concejo Municipal es de primordial importancia, procurar el bienestar social y la salud de la población del municipio de El Carmen; </w:t>
      </w:r>
      <w:r>
        <w:rPr>
          <w:b/>
          <w:bCs/>
          <w:sz w:val="23"/>
          <w:szCs w:val="23"/>
        </w:rPr>
        <w:t xml:space="preserve">V) </w:t>
      </w:r>
      <w:r>
        <w:rPr>
          <w:sz w:val="23"/>
          <w:szCs w:val="23"/>
        </w:rPr>
        <w:t xml:space="preserve">Que dentro de la facultad de este Concejo Municipal establece el Art. 30 numerales 14 y 18 del Código Municipal, está el acordar la de velar por la prestación de los servicios municipales y compra de inmuebles con miras a beneficios del Municipio; </w:t>
      </w:r>
      <w:r>
        <w:rPr>
          <w:b/>
          <w:bCs/>
          <w:sz w:val="23"/>
          <w:szCs w:val="23"/>
        </w:rPr>
        <w:t xml:space="preserve">VI) </w:t>
      </w:r>
      <w:r>
        <w:rPr>
          <w:sz w:val="23"/>
          <w:szCs w:val="23"/>
        </w:rPr>
        <w:t xml:space="preserve">Que el municipio de El Carmen únicamente cuenta en la actualidad con dos Cementerios municipales, y según controles e informes de la Unidad de Cementerios, se han agotado los espacios disponibles para realizar enterramientos en los mismos, encontrándose prácticamente colapsados ambos cementerios; </w:t>
      </w:r>
      <w:r>
        <w:rPr>
          <w:b/>
          <w:bCs/>
          <w:sz w:val="23"/>
          <w:szCs w:val="23"/>
        </w:rPr>
        <w:t xml:space="preserve">VII) </w:t>
      </w:r>
      <w:r>
        <w:rPr>
          <w:sz w:val="23"/>
          <w:szCs w:val="23"/>
        </w:rPr>
        <w:t xml:space="preserve">Que con la llegada de la Pandemia por COVID-19, la demanda de entierros dentro del municipio se ha visto aumentada significativamente, especialmente la demanda de puestos adecuados para ese tipo de enterramientos, no contándose con los espacios necesarios en el cementerio existente; </w:t>
      </w:r>
      <w:r>
        <w:rPr>
          <w:b/>
          <w:bCs/>
          <w:sz w:val="23"/>
          <w:szCs w:val="23"/>
        </w:rPr>
        <w:t xml:space="preserve">VIII) </w:t>
      </w:r>
      <w:r>
        <w:rPr>
          <w:sz w:val="23"/>
          <w:szCs w:val="23"/>
        </w:rPr>
        <w:t>El Concejo Municipal, luego de haber analizado las situaciones antes mencionadas considera procedente buscar alternativas tendientes a proveer a los habitantes del municipio de El Carmen de los servicios de cementerio adecuados para que puedan realizarse la disposición</w:t>
      </w:r>
      <w:r>
        <w:rPr>
          <w:sz w:val="23"/>
          <w:szCs w:val="23"/>
        </w:rPr>
        <w:t xml:space="preserve"> </w:t>
      </w:r>
      <w:r>
        <w:rPr>
          <w:sz w:val="23"/>
          <w:szCs w:val="23"/>
        </w:rPr>
        <w:t xml:space="preserve">final de los restos mortales de sus parientes. Por tanto, en uso de las facultades legales que le confiere el Código Municipal, </w:t>
      </w:r>
      <w:r>
        <w:rPr>
          <w:b/>
          <w:bCs/>
          <w:sz w:val="23"/>
          <w:szCs w:val="23"/>
        </w:rPr>
        <w:t>ACUERDA</w:t>
      </w:r>
      <w:r>
        <w:rPr>
          <w:sz w:val="23"/>
          <w:szCs w:val="23"/>
        </w:rPr>
        <w:t xml:space="preserve">: Autorizar el inicio de los trámites para la compra de un inmueble que será destinado para la Construcción de un Cementerio Municipal, a desarrollarse en cuatro porciones de terreno, ubicados en Comunidad El </w:t>
      </w:r>
      <w:proofErr w:type="spellStart"/>
      <w:r>
        <w:rPr>
          <w:sz w:val="23"/>
          <w:szCs w:val="23"/>
        </w:rPr>
        <w:t>Barillo</w:t>
      </w:r>
      <w:proofErr w:type="spellEnd"/>
      <w:r>
        <w:rPr>
          <w:sz w:val="23"/>
          <w:szCs w:val="23"/>
        </w:rPr>
        <w:t xml:space="preserve">, de Cantón La Paz de este Municipio, siguientes: PRIMERO: Inscrito a la matrícula 50077884- 0000, del Registro de la Propiedad Raíz e Hipotecas de la Sexta Sección del Centro, identificado como HIJUELA NUMERO CUATRO, PORCION 2 DEL INMUEBLE NUMERO TRES, ubicado en cantón LA PAZ, municipio de EL CARMEN, departamento de CUSCATLÁN, de un área de 5,828.50 metros cuadrados, a nombre de SARA ANGELICA DIAZ DE BARAHONA conocida por SARA ANGELICA DIAZ ALFARO. SEGUNDO: Inscrito a la matrícula 50077876- 0000, del Registro de la Propiedad Raíz e Hipotecas de la Sexta Sección del Centro, identificado como HIJUELA NUMERO CINCO, PORCION UNO DEL INMUEBLE NUMERO TRES, ubicado en cantón LA PAZ, municipio de EL CARMEN, departamento de CUSCATLÁN, de un área de 5,828.51 metros cuadrados, a nombre de EFRAIN EDMUNDO DIAZ ALFARO. TERCERO: Inscrito a la matrícula 50077880- 0000, del Registro de la Propiedad Raíz e Hipotecas de la Sexta Sección del Centro, identificado como HIJUELA NUMERO SEIS, PORCION 3 DEL INMUEBLE NUMERO TRES, ubicado en cantón LA PAZ, municipio de EL CARMEN, departamento de CUSCATLÁN, de un área de 5,828.51 metros cuadrados, a nombre de EVELYN GUADALUPE DÍAZ LÓPEZ conocida por EVELYN GUADALUPE LOPEZ. CUARTO: Inscrito a la matrícula 50077970- 0000, del Registro de la Propiedad Raíz e Hipotecas de la Sexta Sección del Centro, identificado como HIJUELA SIETE, ubicado en cantón LA PAZ, municipio de EL CARMEN, departamento de CUSCATLÁN, de un área de 688.31 metros cuadrados, a nombre de SARA ANGELICA DIAZ DE BARAHONA conocida por SARA. ANGELICA DIAZ ALFARO, EFRAIN EDMUNDO DJAZ ALFARO y EVELYN GUADALUPE DÍAZ LÓPEZ conocida por EVELYN GUADALUPE LOPEZ. Se aclara que los cuatro inmuebles forman un solo cuerpo. Y para efectos de ley </w:t>
      </w:r>
      <w:proofErr w:type="spellStart"/>
      <w:r>
        <w:rPr>
          <w:sz w:val="23"/>
          <w:szCs w:val="23"/>
        </w:rPr>
        <w:t>comuniquese</w:t>
      </w:r>
      <w:proofErr w:type="spellEnd"/>
      <w:r>
        <w:rPr>
          <w:sz w:val="23"/>
          <w:szCs w:val="23"/>
        </w:rPr>
        <w:t xml:space="preserve">. Y no habiendo </w:t>
      </w:r>
      <w:proofErr w:type="spellStart"/>
      <w:r>
        <w:rPr>
          <w:sz w:val="23"/>
          <w:szCs w:val="23"/>
        </w:rPr>
        <w:t>mas</w:t>
      </w:r>
      <w:proofErr w:type="spellEnd"/>
      <w:r>
        <w:rPr>
          <w:sz w:val="23"/>
          <w:szCs w:val="23"/>
        </w:rPr>
        <w:t xml:space="preserve"> que hacer constar damos por terminada la presente acta la cual firmamos.</w:t>
      </w:r>
    </w:p>
    <w:p w:rsidR="009503EB" w:rsidRDefault="009503EB" w:rsidP="009503EB">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9503EB" w:rsidRDefault="009503EB" w:rsidP="009503EB">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503EB" w:rsidRDefault="009503EB" w:rsidP="009503EB">
      <w:pPr>
        <w:spacing w:after="65" w:line="240" w:lineRule="auto"/>
      </w:pPr>
      <w:r>
        <w:rPr>
          <w:rFonts w:ascii="Lucida Sans" w:eastAsia="Lucida Sans" w:hAnsi="Lucida Sans" w:cs="Lucida Sans"/>
          <w:b/>
          <w:sz w:val="20"/>
        </w:rPr>
        <w:lastRenderedPageBreak/>
        <w:t xml:space="preserve"> </w:t>
      </w:r>
    </w:p>
    <w:p w:rsidR="009503EB" w:rsidRDefault="009503EB" w:rsidP="009503EB">
      <w:pPr>
        <w:spacing w:after="61"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9503EB" w:rsidRDefault="009503EB" w:rsidP="009503EB">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9503EB" w:rsidRDefault="009503EB" w:rsidP="009503EB">
      <w:pPr>
        <w:spacing w:after="29" w:line="240" w:lineRule="auto"/>
      </w:pPr>
      <w:r>
        <w:rPr>
          <w:rFonts w:ascii="Lucida Sans" w:eastAsia="Lucida Sans" w:hAnsi="Lucida Sans" w:cs="Lucida Sans"/>
          <w:b/>
          <w:sz w:val="20"/>
        </w:rPr>
        <w:t xml:space="preserve"> </w:t>
      </w:r>
    </w:p>
    <w:p w:rsidR="009503EB" w:rsidRDefault="009503EB" w:rsidP="009503EB">
      <w:pPr>
        <w:spacing w:after="61"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9503EB" w:rsidRDefault="009503EB" w:rsidP="009503EB">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1" w:line="240" w:lineRule="auto"/>
      </w:pPr>
      <w:r>
        <w:rPr>
          <w:rFonts w:ascii="Lucida Sans" w:eastAsia="Lucida Sans" w:hAnsi="Lucida Sans" w:cs="Lucida Sans"/>
          <w:b/>
          <w:sz w:val="20"/>
        </w:rPr>
        <w:t xml:space="preserve"> </w:t>
      </w:r>
    </w:p>
    <w:p w:rsidR="009503EB" w:rsidRDefault="009503EB" w:rsidP="009503EB">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9503EB" w:rsidRDefault="009503EB" w:rsidP="009503EB">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1" w:line="240" w:lineRule="auto"/>
      </w:pPr>
      <w:r>
        <w:rPr>
          <w:rFonts w:ascii="Lucida Sans" w:eastAsia="Lucida Sans" w:hAnsi="Lucida Sans" w:cs="Lucida Sans"/>
          <w:b/>
          <w:sz w:val="20"/>
        </w:rPr>
        <w:t xml:space="preserve"> </w:t>
      </w:r>
    </w:p>
    <w:p w:rsidR="009503EB" w:rsidRDefault="009503EB" w:rsidP="009503EB">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503EB" w:rsidRDefault="009503EB" w:rsidP="009503EB">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9503EB" w:rsidRDefault="009503EB" w:rsidP="009503EB">
      <w:pPr>
        <w:spacing w:after="61"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5" w:line="240" w:lineRule="auto"/>
      </w:pPr>
      <w:r>
        <w:rPr>
          <w:rFonts w:ascii="Lucida Sans" w:eastAsia="Lucida Sans" w:hAnsi="Lucida Sans" w:cs="Lucida Sans"/>
          <w:b/>
          <w:sz w:val="20"/>
        </w:rPr>
        <w:t xml:space="preserve">                                                                                                                                                                     </w:t>
      </w:r>
    </w:p>
    <w:p w:rsidR="009503EB" w:rsidRDefault="009503EB" w:rsidP="009503EB">
      <w:pPr>
        <w:spacing w:after="67" w:line="240" w:lineRule="auto"/>
        <w:ind w:right="-15"/>
      </w:pPr>
      <w:r>
        <w:rPr>
          <w:rFonts w:ascii="Lucida Sans" w:eastAsia="Lucida Sans" w:hAnsi="Lucida Sans" w:cs="Lucida Sans"/>
          <w:b/>
          <w:sz w:val="20"/>
        </w:rPr>
        <w:t xml:space="preserve">Sra. Luz de María Herrera López                          Juan Hernández Cruz </w:t>
      </w:r>
    </w:p>
    <w:p w:rsidR="009503EB" w:rsidRDefault="009503EB" w:rsidP="009503EB">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9503EB" w:rsidRDefault="009503EB" w:rsidP="009503EB">
      <w:pPr>
        <w:spacing w:after="377" w:line="240" w:lineRule="auto"/>
      </w:pPr>
      <w:r>
        <w:t xml:space="preserve"> </w:t>
      </w:r>
    </w:p>
    <w:p w:rsidR="009503EB" w:rsidRDefault="009503EB" w:rsidP="009503EB">
      <w:pPr>
        <w:spacing w:after="367" w:line="240" w:lineRule="auto"/>
      </w:pPr>
      <w:r>
        <w:t xml:space="preserve"> </w:t>
      </w:r>
    </w:p>
    <w:p w:rsidR="009503EB" w:rsidRDefault="009503EB" w:rsidP="009503EB">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9503EB" w:rsidRDefault="009503EB" w:rsidP="009503EB">
      <w:pPr>
        <w:spacing w:after="67" w:line="240" w:lineRule="auto"/>
        <w:ind w:right="-15"/>
      </w:pPr>
      <w:r>
        <w:rPr>
          <w:rFonts w:ascii="Lucida Sans" w:eastAsia="Lucida Sans" w:hAnsi="Lucida Sans" w:cs="Lucida Sans"/>
          <w:b/>
          <w:sz w:val="20"/>
        </w:rPr>
        <w:t xml:space="preserve">Secretaria Municipal </w:t>
      </w:r>
    </w:p>
    <w:p w:rsidR="009503EB" w:rsidRDefault="009503EB" w:rsidP="009503EB">
      <w:pPr>
        <w:jc w:val="both"/>
      </w:pPr>
      <w:bookmarkStart w:id="0" w:name="_GoBack"/>
      <w:bookmarkEnd w:id="0"/>
    </w:p>
    <w:sectPr w:rsidR="009503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EB"/>
    <w:rsid w:val="006B0287"/>
    <w:rsid w:val="009503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D5350-2003-4A40-ACB1-AD09E61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9503EB"/>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6161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2021-08-20T17:13:00Z</dcterms:created>
  <dcterms:modified xsi:type="dcterms:W3CDTF">2021-08-20T17:15:00Z</dcterms:modified>
</cp:coreProperties>
</file>