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1D" w:rsidRDefault="00E15CD1" w:rsidP="00E15CD1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OCHO: </w:t>
      </w:r>
      <w:r>
        <w:rPr>
          <w:sz w:val="23"/>
          <w:szCs w:val="23"/>
        </w:rPr>
        <w:t xml:space="preserve">Sesión Ordinaria Celebrada en la Municipalidad de Villa El Carmen, Departamento de Cuscatlán a las Ocho horas del día Veintiuno de Febrero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</w:t>
      </w:r>
      <w:proofErr w:type="gramStart"/>
      <w:r>
        <w:rPr>
          <w:sz w:val="23"/>
          <w:szCs w:val="23"/>
        </w:rPr>
        <w:t>Guatemala .</w:t>
      </w:r>
      <w:proofErr w:type="gramEnd"/>
      <w:r>
        <w:rPr>
          <w:sz w:val="23"/>
          <w:szCs w:val="23"/>
        </w:rPr>
        <w:t xml:space="preserve">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que realice la erogación de Sesenta y Dos dólares con cincuenta centavos, ($ 62.50), por compra de Veinticinco libras de café molino, el cual será distribuido a familiares de fallecidos en los diferentes sectores del Municipio.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Style w:val="TableGrid"/>
        <w:tblW w:w="9608" w:type="dxa"/>
        <w:tblInd w:w="-196" w:type="dxa"/>
        <w:tblCellMar>
          <w:top w:w="0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001"/>
        <w:gridCol w:w="4249"/>
        <w:gridCol w:w="1358"/>
      </w:tblGrid>
      <w:tr w:rsidR="00E15CD1" w:rsidTr="00DB1277">
        <w:trPr>
          <w:trHeight w:val="662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DESCRIPCION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  <w:ind w:left="88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E15CD1" w:rsidTr="00DB1277">
        <w:trPr>
          <w:trHeight w:val="856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JOSE FIDENCIO LOPEZ QUIJANO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Pago de arbitraje en el primero torneo de futbol </w:t>
            </w:r>
          </w:p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Libre realizado en Sector Los Munguía de Cantón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Candelaria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$ 36.00 </w:t>
            </w:r>
          </w:p>
        </w:tc>
      </w:tr>
      <w:tr w:rsidR="00E15CD1" w:rsidTr="00DB1277">
        <w:trPr>
          <w:trHeight w:val="861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after="111"/>
            </w:pPr>
            <w:r>
              <w:rPr>
                <w:sz w:val="16"/>
              </w:rPr>
              <w:t xml:space="preserve">SANTOS MARIO GUILLEN PORTILLO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Pago por suministro de materiales de limpieza utilizado, en edificio municipal.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$ 400.91 </w:t>
            </w:r>
          </w:p>
        </w:tc>
      </w:tr>
      <w:tr w:rsidR="00E15CD1" w:rsidTr="00DB1277">
        <w:trPr>
          <w:trHeight w:val="537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ANA GLADIS MARROQUIN DE MENDEZ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Compra de 40 paquetes de Bolsas Jardineras, 10 trapeadores de trapo, 20 bolsas higiénicas negras,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</w:tr>
      <w:tr w:rsidR="00E15CD1" w:rsidTr="00DB1277">
        <w:trPr>
          <w:trHeight w:val="1167"/>
        </w:trPr>
        <w:tc>
          <w:tcPr>
            <w:tcW w:w="40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</w:pPr>
          </w:p>
        </w:tc>
        <w:tc>
          <w:tcPr>
            <w:tcW w:w="424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1 bolsa de plástico de huevo y 2 docenas de escobas, todos serán utilizados por personas de limpieza de la Municipalidad y personal de aseo externo. </w:t>
            </w:r>
          </w:p>
        </w:tc>
        <w:tc>
          <w:tcPr>
            <w:tcW w:w="135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$ 86.00 </w:t>
            </w:r>
          </w:p>
        </w:tc>
      </w:tr>
      <w:tr w:rsidR="00E15CD1" w:rsidTr="00DB1277">
        <w:trPr>
          <w:trHeight w:val="1140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CRECENCIO DE JESUS DE PAZ VASQUEZ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line="276" w:lineRule="auto"/>
              <w:ind w:right="3"/>
            </w:pPr>
            <w:r>
              <w:rPr>
                <w:sz w:val="16"/>
              </w:rPr>
              <w:t xml:space="preserve">Compra de materiales de fontanería utilizado por la unidad de agua en reparación de fuga en red de distribución en sector el Conacaste de Cantón La Paz.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CD1" w:rsidRDefault="00E15CD1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E15CD1" w:rsidRDefault="00E15CD1" w:rsidP="00DB1277">
            <w:pPr>
              <w:spacing w:line="276" w:lineRule="auto"/>
            </w:pPr>
            <w:r>
              <w:rPr>
                <w:sz w:val="16"/>
              </w:rPr>
              <w:t xml:space="preserve">$ 25.75 </w:t>
            </w:r>
          </w:p>
        </w:tc>
      </w:tr>
    </w:tbl>
    <w:p w:rsidR="00E15CD1" w:rsidRDefault="00E15CD1" w:rsidP="00E15CD1">
      <w:pPr>
        <w:jc w:val="both"/>
      </w:pPr>
    </w:p>
    <w:p w:rsidR="00E15CD1" w:rsidRDefault="00E15CD1" w:rsidP="00E15C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</w:t>
      </w:r>
      <w:r>
        <w:rPr>
          <w:sz w:val="23"/>
          <w:szCs w:val="23"/>
        </w:rPr>
        <w:lastRenderedPageBreak/>
        <w:t xml:space="preserve">la tesorería para que realice las siguientes desembolsos: Tres Mil Novecientos cuarenta y tres dólares con noventa y seis centavos, ($ 3,943.96), a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100-170-700899-7 del proyecto: Concreteado de Calle al Puente, Barrio El Centro, El Carmen Cuscatlán. Y Cuatro Mil Trescientos Treinta y Dos Dólares con Setenta y Cinco centavos, ($ 4,332.75), a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100-170-700900-4 del Proyecto: Concreteado de Pasaje Washington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Barrio El Centro, El Carmen Cuscatlán. Dichos desembolsos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el pago final por un monto de $ 2,000.00 al Ing. Marco Antonio Naves Guerrero, por la formulación de la carpeta técnica del proyecto: Concreteado de Calle a Rio Mucuyo y Sector los González de Cantón El Carmen y al Ing. Alex Francisco Mártir García, la cantidad de $ 2,600.00 por la formulación de la carpeta técnica para el proyecto: Perforación de Pozo Profundo y equipamiento, Cantón El Carmen, Departamento de Cuscatlán.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100-170-700871-1 del 5% de Pre inversión. Y para efectos de ley </w:t>
      </w:r>
      <w:proofErr w:type="spellStart"/>
      <w:r>
        <w:rPr>
          <w:sz w:val="23"/>
          <w:szCs w:val="23"/>
        </w:rPr>
        <w:t>comuniquese</w:t>
      </w:r>
      <w:proofErr w:type="spellEnd"/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>El Concejo Municipal consideran, el acta de recepción de servicios de consultoría, firmada por la Ing. Sandra Elizabeth Hernández y el Arquitecto Javier Marroquín Cantón, para la Formulación para los proyectos: CONCRETEADO DE CALLE A RIO MUCUYO Y SECTOR LOS GONZALEZ DE CANTÓN EL CARMEN</w:t>
      </w:r>
      <w:r>
        <w:rPr>
          <w:rFonts w:ascii="Arial" w:hAnsi="Arial" w:cs="Arial"/>
          <w:sz w:val="23"/>
          <w:szCs w:val="23"/>
        </w:rPr>
        <w:t xml:space="preserve">, MUNICIPIO EL CARMEN DEPARTAMENTO DE CUSCATLÁN Y </w:t>
      </w:r>
      <w:r>
        <w:rPr>
          <w:sz w:val="23"/>
          <w:szCs w:val="23"/>
        </w:rPr>
        <w:t>PERFORACIÓN DE POZO PROFUNDO Y EQUIPAMIENTO, CANTÓN EL CARMEN, DEPARTAMENTO DE CUSCATLÁN. P</w:t>
      </w:r>
      <w:r>
        <w:rPr>
          <w:rFonts w:ascii="Arial" w:hAnsi="Arial" w:cs="Arial"/>
          <w:sz w:val="23"/>
          <w:szCs w:val="23"/>
        </w:rPr>
        <w:t xml:space="preserve">or lo anterior este Concejo Municipal en uso de las facultades legales que le confiere el Código municipal vigente. ACUERDA: Dar por recibidas y Aprobar las Carpetas técnicas para la ejecución de los proyectos: </w:t>
      </w:r>
      <w:r>
        <w:rPr>
          <w:sz w:val="23"/>
          <w:szCs w:val="23"/>
        </w:rPr>
        <w:t>CONCRETEADO DE CALLE A RIO MUCUYO Y SECTOR LOS CRUCES DE CANTÓN EL CARMEN</w:t>
      </w:r>
      <w:r>
        <w:rPr>
          <w:rFonts w:ascii="Arial" w:hAnsi="Arial" w:cs="Arial"/>
          <w:sz w:val="23"/>
          <w:szCs w:val="23"/>
        </w:rPr>
        <w:t xml:space="preserve">, MUNICIPIO EL CARMEN DEPARTAMENTO DE CUSCATLÁN Y </w:t>
      </w:r>
      <w:r>
        <w:rPr>
          <w:sz w:val="23"/>
          <w:szCs w:val="23"/>
        </w:rPr>
        <w:t>PERFORACIÓN DE POZO PROFUNDO Y EQUIPAMIENTO, CANTÓN EL CARMEN, DEPARTAMENTO DE CUSCATLÁN</w:t>
      </w:r>
      <w:r>
        <w:rPr>
          <w:b/>
          <w:bCs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Y para efectos de ley comuníquese. </w:t>
      </w:r>
      <w:r>
        <w:rPr>
          <w:rFonts w:ascii="Arial" w:hAnsi="Arial" w:cs="Arial"/>
          <w:b/>
          <w:bCs/>
          <w:sz w:val="23"/>
          <w:szCs w:val="23"/>
        </w:rPr>
        <w:t xml:space="preserve">ACUERDO NUMERO SEIS: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Dieciséis Ochocientos cuarenta dólares con Cuarenta y seis centavos, ($ 16,840.46), por pago del 30% de anticipo por la ejecución del proyecto: CONCRETEADO DE CALLE LAS PILAS A POSTE RIEL KM 39, CANTÓN SANTA LUCIA II ETAPA, VILLA EL CARMEN.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100-170-01009-6 de este mismo proyecto. Y para efectos de ley comuníquese. </w:t>
      </w:r>
      <w:r>
        <w:rPr>
          <w:rFonts w:ascii="Arial" w:hAnsi="Arial" w:cs="Arial"/>
          <w:b/>
          <w:bCs/>
          <w:sz w:val="23"/>
          <w:szCs w:val="23"/>
        </w:rPr>
        <w:t xml:space="preserve">ACUERDO NUMERO SIETE: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Veinte Mil Novecientos sesenta y ocho dólares con sesenta y cuatro centavos, ($ 20,968.64), por pago del 30% de anticipo por la ejecución del proyecto: CONCRETEADO DE CALLE A LA ESCUELA, CANTÓN SAN SEBASTIAN, VILLA EL CARMEN, DEPARTAMENTO 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100-170-700891-1 de este mismo proyecto. Y para efectos de ley comuníquese. </w:t>
      </w:r>
      <w:r>
        <w:rPr>
          <w:b/>
          <w:bCs/>
          <w:sz w:val="23"/>
          <w:szCs w:val="23"/>
        </w:rPr>
        <w:t xml:space="preserve">ACUERDO NUMERO OCHO: </w:t>
      </w:r>
      <w:r>
        <w:rPr>
          <w:sz w:val="23"/>
          <w:szCs w:val="23"/>
        </w:rPr>
        <w:t xml:space="preserve">El Concejo Municipal considerando: Nota de fecha 14 de febrero del presente año, emitida por la Ingeniera Sandra Elizabeth Hernández de Palacios supervisora y Administrador de Contrato señor José Tomas Sánchez del proyecto: OBRAS DE PROTECCION Y DE MEJORAMIENTO EN CANCHA DE CANTON EL CARMEN, VILLA EL CARMEN </w:t>
      </w:r>
      <w:r>
        <w:rPr>
          <w:sz w:val="23"/>
          <w:szCs w:val="23"/>
        </w:rPr>
        <w:lastRenderedPageBreak/>
        <w:t xml:space="preserve">CUSCATLAN, donde manifiestan que existe una obra adicional pendiente de ejecutar, que no está prevista en la carpeta técnica, así mismo explican que no se puede contratar personal de otra zona y que no ha sido posible incrementar mano de obra calificada debido a los altos niveles delincuenciales en la zona. II) Que a raíz de los diferentes inconvenientes solicitan se les autorice ampliar el plazo de ejecución del proyecto en 45 días adicionales a los establecidos para dicha ejecución. Por lo anterior este Concejo Municipal en uso de las facultades legales que le confiere el Código Municipal vigente y la Ley de Adquisiciones y Contrataciones de la Administración Publica. ACUERDA: Aprobar 45 días adicionales para la ejecución del proyecto: OBRAS DE PROTECCION Y DE MEJORAMIENTO EN CANCHA DE CANTON EL CARMEN, VILLA EL CARMEN CUSCATLAN, haciendo un total de 135 días calendario para dicha ejecución. Y se ratifican los nombramientos de la Ingeniera Sandra Elizabeth Hernández de Palacios como supervisora y al señor José Tomas Sánchez como Administrador de Contrato, para esta </w:t>
      </w:r>
      <w:proofErr w:type="spellStart"/>
      <w:r>
        <w:rPr>
          <w:sz w:val="23"/>
          <w:szCs w:val="23"/>
        </w:rPr>
        <w:t>prorroga</w:t>
      </w:r>
      <w:proofErr w:type="spellEnd"/>
      <w:r>
        <w:rPr>
          <w:sz w:val="23"/>
          <w:szCs w:val="23"/>
        </w:rPr>
        <w:t xml:space="preserve">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E15CD1" w:rsidRDefault="00E15CD1" w:rsidP="00E15CD1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>Sr. José Tomas Sánchez G</w:t>
      </w:r>
      <w:r>
        <w:rPr>
          <w:rFonts w:ascii="Lucida Sans" w:eastAsia="Lucida Sans" w:hAnsi="Lucida Sans" w:cs="Lucida Sans"/>
          <w:b/>
          <w:sz w:val="20"/>
        </w:rPr>
        <w:t xml:space="preserve">arcía                         </w:t>
      </w:r>
      <w:r>
        <w:rPr>
          <w:rFonts w:ascii="Lucida Sans" w:eastAsia="Lucida Sans" w:hAnsi="Lucida Sans" w:cs="Lucida Sans"/>
          <w:b/>
          <w:sz w:val="20"/>
        </w:rPr>
        <w:t xml:space="preserve">Licda. Rosalía </w:t>
      </w:r>
      <w:r>
        <w:rPr>
          <w:rFonts w:ascii="Lucida Sans" w:eastAsia="Lucida Sans" w:hAnsi="Lucida Sans" w:cs="Lucida Sans"/>
          <w:b/>
          <w:sz w:val="20"/>
        </w:rPr>
        <w:t>Maritza López</w:t>
      </w:r>
      <w:r>
        <w:rPr>
          <w:rFonts w:ascii="Lucida Sans" w:eastAsia="Lucida Sans" w:hAnsi="Lucida Sans" w:cs="Lucida Sans"/>
          <w:b/>
          <w:sz w:val="20"/>
        </w:rPr>
        <w:t xml:space="preserve"> de Cornejo </w:t>
      </w:r>
    </w:p>
    <w:p w:rsidR="00E15CD1" w:rsidRDefault="00E15CD1" w:rsidP="00E15CD1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E15CD1" w:rsidRDefault="00E15CD1" w:rsidP="00E15CD1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15CD1" w:rsidRDefault="00E15CD1" w:rsidP="00E15CD1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Sra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 Luz de María Herrera López            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Juan Hernández Cruz 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E15CD1" w:rsidRDefault="00E15CD1" w:rsidP="00E15CD1">
      <w:pPr>
        <w:spacing w:after="63" w:line="277" w:lineRule="auto"/>
        <w:ind w:right="10864"/>
      </w:pPr>
      <w:r>
        <w:rPr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E15CD1" w:rsidRDefault="00E15CD1" w:rsidP="00E15CD1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E15CD1" w:rsidRDefault="00E15CD1" w:rsidP="00E15CD1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Secretaria Municipal </w:t>
      </w:r>
    </w:p>
    <w:p w:rsidR="00E15CD1" w:rsidRDefault="00E15CD1" w:rsidP="00E15CD1">
      <w:pPr>
        <w:jc w:val="both"/>
      </w:pPr>
      <w:bookmarkStart w:id="0" w:name="_GoBack"/>
      <w:bookmarkEnd w:id="0"/>
    </w:p>
    <w:sectPr w:rsidR="00E15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1"/>
    <w:rsid w:val="00AE341D"/>
    <w:rsid w:val="00E1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AE11F-28A6-4E37-AA70-54349A3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15CD1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2021-08-19T22:12:00Z</dcterms:created>
  <dcterms:modified xsi:type="dcterms:W3CDTF">2021-08-19T22:15:00Z</dcterms:modified>
</cp:coreProperties>
</file>