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2DBA80C5" w:rsidR="00B176E2" w:rsidRDefault="004048DF" w:rsidP="001A6C7E">
      <w:pPr>
        <w:jc w:val="both"/>
      </w:pPr>
      <w:r>
        <w:t xml:space="preserve">ACTA NUMERO VEINTIUNO: En el Palacio Municipal de Usulután, a las </w:t>
      </w:r>
      <w:r w:rsidR="008C2DE0">
        <w:t>dieciséis</w:t>
      </w:r>
      <w:r>
        <w:t xml:space="preserve"> horas del día veinticinco de mayo del dos mil veinte. Reunidos los miembros del Concejo Municipal para Celebrar Sesión Ordinaria, atendiendo convocatoria del Señor Alcalde Municipal Contador José Mauricio </w:t>
      </w:r>
      <w:r w:rsidR="008C2DE0">
        <w:t>Zelaya,</w:t>
      </w:r>
      <w:r>
        <w:t xml:space="preserve"> quien </w:t>
      </w:r>
      <w:r w:rsidR="008C2DE0">
        <w:t>presidió</w:t>
      </w:r>
      <w:r>
        <w:t xml:space="preserve"> la reunión. Haciendo acto de presencia: </w:t>
      </w:r>
      <w:r w:rsidR="008C2DE0">
        <w:t>Síndico</w:t>
      </w:r>
      <w:r>
        <w:t xml:space="preserve"> Municipal Comerciante Juan Ramón García Sánchez, Primer Regidor Propietario Licenciado en Ciencias Jurídicas Francisco Emerson Rodríguez Torres, 100 Segundo Regidor Propietario Empleado Carlos Adalberto Del Cid Arévalo, Tercera Regidora Propietaria Técnico en Computación Patricia Arely Beltrán de Zelaya, Cuarto Regidor Propietario Doctor en Cirugía Dental </w:t>
      </w:r>
      <w:r w:rsidR="008C2DE0">
        <w:t>Zenón</w:t>
      </w:r>
      <w:r>
        <w:t xml:space="preserve"> Edgardo Ayala Arévalo, Quinto Regidor Propietario Técnico Automotriz </w:t>
      </w:r>
      <w:r w:rsidR="008C2DE0">
        <w:t>William</w:t>
      </w:r>
      <w:r>
        <w:t xml:space="preserve"> Alberto Andrade Cruz, Sexto Regidor Propietario Ingeniero Eléctrico Salvador Antonio Portillo Lara, </w:t>
      </w:r>
      <w:r w:rsidR="008C2DE0">
        <w:t>Séptimo</w:t>
      </w:r>
      <w:r>
        <w:t xml:space="preserve"> Regidor Propietario Comerciante Jaime Edgardo </w:t>
      </w:r>
      <w:r w:rsidR="008C2DE0">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8C2DE0">
        <w:t>Gálvez</w:t>
      </w:r>
      <w:r>
        <w:t xml:space="preserve"> Torres de </w:t>
      </w:r>
      <w:r w:rsidR="008C2DE0">
        <w:t>Márquez</w:t>
      </w:r>
      <w:r>
        <w:t xml:space="preserve">, Secretario Municipal Licenciado en Administración de Empresas Héctor Antonio Quintanilla Roldán. El Señor </w:t>
      </w:r>
      <w:r w:rsidR="008C2DE0">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8C2DE0">
        <w:t xml:space="preserve"> </w:t>
      </w:r>
      <w:r>
        <w:t>Lectura y Aprobación de Agenda: Aprobada por unanimidad. Acuerdo Número III</w:t>
      </w:r>
      <w:r w:rsidR="008C2DE0">
        <w:t xml:space="preserve"> </w:t>
      </w:r>
      <w:r>
        <w:t>Lectura y Aprobación de Acta Anterior: Aprobada unánimemente. Acuerdo Número IV</w:t>
      </w:r>
      <w:r w:rsidR="008C2DE0">
        <w:t xml:space="preserve"> </w:t>
      </w:r>
      <w:r>
        <w:t xml:space="preserve">El Concejo Municipal ACUERDA: Nombrar a partir del 01 de junio de 2020 en adelante a los siguientes empleados en sus nuevos cargos nominales conforme al siguiente detalle: 1- Francisco Antonio Cruz Sosa, Auxiliar Recuperación de Mora. 2- Sergio Isaac Bermúdez Araujo, Auxiliar de Participación Ciudadana. 3- Gilberto Omar Flores Contreras, Agente </w:t>
      </w:r>
      <w:r w:rsidR="008C2DE0">
        <w:t>Policía</w:t>
      </w:r>
      <w:r>
        <w:t xml:space="preserve"> Municipal. 4. Norma Michelle Larin Chacón, Auxiliar CMPV. 5- Karla Noemí </w:t>
      </w:r>
      <w:r w:rsidR="008C2DE0">
        <w:t>Urías</w:t>
      </w:r>
      <w:r>
        <w:t xml:space="preserve"> Mejía, Auxiliar de Recuperación de Mora. 6- Carlos </w:t>
      </w:r>
      <w:r w:rsidR="008C2DE0">
        <w:t>Amílcar</w:t>
      </w:r>
      <w:r>
        <w:t xml:space="preserve"> Martínez, </w:t>
      </w:r>
      <w:r w:rsidR="008C2DE0">
        <w:t>Auxiliar</w:t>
      </w:r>
      <w:r>
        <w:t xml:space="preserve"> Recuperación de Mora. 7- Lissette Guadalupe Esquivel, Secretaria Proveeduría. 8- Juan José Amaya Aguilar, Inspector de Planificación y Desarrollo Urbano. 9- Gloria Elizabeth Villalta Umaña, Ordenanza aseo Municipal. 10- Wendy Gabriela Campos Gómez, Auxiliar Tesorería. 11- Margarita Isabel Vásquez Lozano, Secretaria Mercados. 12- Brenda Eunice Cerna Clavel, Auxiliar Plan Desarrollo Urbano. 13- Fátima Xiomara Cerna Hernández, Auxiliar Tesorería. 14- Santiago Reyes Alfaro, Auxiliar Tesorería. 15- José Alberto Portillo Navarrete, Cobrador de Mercado. 16- María Berfalia Ayala Cárcamo, Auxiliar Recursos Humanos. 17- María Magdalena Lozano Segovia, Auxiliar Registro de Estado Familiar. 18- Carlos Mario Orrego Palacios, Auxiliar Medio Ambiente. 19- Marlene del Carmen Zelaya de Umaña, Ordenanza Proveeduría. 20- José Roberto Jiménez Rivas, Ordenanza Filarmónica. 21- Virginia Margarita Rivas, Ordenanza CMPV. 22- Gloria Margarita Gutiérrez de Herrera, Ordenanza de </w:t>
      </w:r>
      <w:r w:rsidR="008C2DE0">
        <w:t>Policía</w:t>
      </w:r>
      <w:r>
        <w:t xml:space="preserve"> Municipal. 23- Luis Alberto Molina Muñoz, Supervisor de Limpieza. 24- José Antonio Orrego, Peón de Limpieza. 25- Ramón Ivon Joya Beltrán, Peón de Limpieza. 26- Oscar Ovidio Castro, Ordenanza Río El Molino. 27- Pedro Antonio Orellana Cortez, Auxiliar de Mecánica. 28- Miguel Ángel Castro Campos, Recolector. 29- Andrés de Jesús Muñoz Hernández, Ordenanza Centro Recreativo El Molino. 30- Andrés Rivera, Peón de Limpieza. 31- Alfredo Benítes, Ordenanza Aseo Municipal. 32- Mario Norbelt Portillo Ramírez, Auxiliar de Mecánica. 33- Walter Misael Cruz Flores, Motorista Cisterna. 34- Mercedes del Carmen Esperanza, Ordenanza Aseo 101 </w:t>
      </w:r>
      <w:r>
        <w:lastRenderedPageBreak/>
        <w:t xml:space="preserve">Municipal. 35- José Heriberto Rivera Durán, Peón de Limpieza. 36- David Alexander Morales Ramírez, Notificador Cuentas Corrientes. 37- Ricardo José Ortiz Jurado, Auxiliar Participación Ciudadana. Se autoriza al </w:t>
      </w:r>
      <w:r w:rsidR="008C2DE0">
        <w:t>jefe</w:t>
      </w:r>
      <w:r>
        <w:t xml:space="preserve"> del Presupuesto realizar las reprogramaciones presupuestarias correspondientes, de junio a diciembre 2020 si fueran necesario, al Jefe de Recursos Humanos realizar los cambios correspondientes en la planilla de salarios de junio en adelante y al Tesorero Municipal para que erogue el gasto del Fondo Común y pague los salarios respectivos. </w:t>
      </w:r>
      <w:r w:rsidR="008C2DE0">
        <w:t>Comuníquese</w:t>
      </w:r>
      <w:r>
        <w:t xml:space="preserve">. Acuerdo Número V- 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30 de abril de 2020, según detalle: 1) Ismael Alberto Campos Cañas, Operador Equipo Pesado, 2) Walter Misael Cruz Flores, Auxiliar Operador Equipo Pesado, 3) Oscar Amílcar Hernández, Encargado Mecánica de Banco, 4) Manuel de Jesús Campos Cardona, Motorista, 5) Ramón Aquilino Henríquez, Motorista, 6) Santos Reyes Cerna Roque, Supervisor de Limpieza, 7) Evin Antonio Flores, Motorista, 8) José Isabel González Miguel, Peón de Limpieza ( contrato), 9) Ramiro Antonio Orellana Muñoz, Peón de Limpieza ( contrato), 10) Douglas Alexander Benavides Contreras, Motorista Equipo pesado, 11) Miguel Ángel Reyes Alemán, Peón de Limpieza, 12) Santos Antonio Ramos Romero, Motorista, 13) José Luis Villalta Jándres, Recolector. Se faculta al Jefe de Presupuesto para que efectúe las reprogramaciones correspondientes, y al Tesorero Municipal para que erogue el gasto del Fondo Común y haga el pago respectivo. </w:t>
      </w:r>
      <w:r w:rsidR="008C2DE0">
        <w:t>Comuníquese</w:t>
      </w:r>
      <w:r>
        <w:t xml:space="preserve">.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abstienen de votar en los Acuerdos No. IV porque desconocemos los perfiles y el proceso previo desarrollado para realizar los nombramientos, no se conocen previamente la situación afondo de cada empleado hacia su nuevo nombramiento; no se presentaron los perfiles de cada empleado para seleccionar y algunos no estarán de acuerdo con la decisión tomada, además no se respetan los procesos administrativos que la misma Ley de la Carrera Administrativa Municipal manifiesta sobre nuevos nombramientos de empleados municipales. Los </w:t>
      </w:r>
      <w:r w:rsidR="008C2DE0">
        <w:t>concejales</w:t>
      </w:r>
      <w:r>
        <w:t xml:space="preserve">: Ing. Salvador Antonio Portillo Lara, Sexto Regidor Propietario, y el Lic. Jaime Edgardo Salmerón Chávez, Séptimo Regidor Propietario VOTAN EN CONTRA en el Acuerdo V, porque ya existe un presupuesto donde se establece los gastos, además es posible crear un problema interno laboral con los empleados que no saldrán beneficiados por pago de horas extras. Los </w:t>
      </w:r>
      <w:r w:rsidR="008C2DE0">
        <w:t>concejales</w:t>
      </w:r>
      <w:r>
        <w:t xml:space="preserve"> Wilson Eduardo Reyes, Octavo Regidor Propietario, Lic. Julio Orlando Escobar Funes, Noveno Regidor propietario; Prof. Belarmino Torres Lozano, Decimo Regidor Propietario SE ABSTIENEN DE VOTAR en el Acuerdo V, porque las finanzas no presentan estándares, se pueden evitar agudizar cada día más la parte laborar, se vendría el derecho de igualdad y se estaría violentado. Se cierra la presente y para constancia firmamo</w:t>
      </w:r>
      <w:r w:rsidR="0051366D">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lastRenderedPageBreak/>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E27EB" w14:textId="77777777" w:rsidR="005D6DC5" w:rsidRDefault="005D6DC5" w:rsidP="00AD2AC7">
      <w:pPr>
        <w:spacing w:after="0" w:line="240" w:lineRule="auto"/>
      </w:pPr>
      <w:r>
        <w:separator/>
      </w:r>
    </w:p>
  </w:endnote>
  <w:endnote w:type="continuationSeparator" w:id="0">
    <w:p w14:paraId="4E84E710" w14:textId="77777777" w:rsidR="005D6DC5" w:rsidRDefault="005D6DC5"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39A13" w14:textId="77777777" w:rsidR="005D6DC5" w:rsidRDefault="005D6DC5" w:rsidP="00AD2AC7">
      <w:pPr>
        <w:spacing w:after="0" w:line="240" w:lineRule="auto"/>
      </w:pPr>
      <w:r>
        <w:separator/>
      </w:r>
    </w:p>
  </w:footnote>
  <w:footnote w:type="continuationSeparator" w:id="0">
    <w:p w14:paraId="12A3DB98" w14:textId="77777777" w:rsidR="005D6DC5" w:rsidRDefault="005D6DC5"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3C5809"/>
    <w:rsid w:val="004048DF"/>
    <w:rsid w:val="00427076"/>
    <w:rsid w:val="00445804"/>
    <w:rsid w:val="00485EB7"/>
    <w:rsid w:val="00491720"/>
    <w:rsid w:val="004B7652"/>
    <w:rsid w:val="004D1322"/>
    <w:rsid w:val="004E7847"/>
    <w:rsid w:val="0051366D"/>
    <w:rsid w:val="00527364"/>
    <w:rsid w:val="005415F6"/>
    <w:rsid w:val="0054380E"/>
    <w:rsid w:val="005475E2"/>
    <w:rsid w:val="00564205"/>
    <w:rsid w:val="00592654"/>
    <w:rsid w:val="005A368F"/>
    <w:rsid w:val="005C5EA0"/>
    <w:rsid w:val="005D5FDA"/>
    <w:rsid w:val="005D6DC5"/>
    <w:rsid w:val="00642CDA"/>
    <w:rsid w:val="00657991"/>
    <w:rsid w:val="006B1855"/>
    <w:rsid w:val="006C3B0B"/>
    <w:rsid w:val="00706EC3"/>
    <w:rsid w:val="007147D3"/>
    <w:rsid w:val="00716DCE"/>
    <w:rsid w:val="00723745"/>
    <w:rsid w:val="007272EB"/>
    <w:rsid w:val="007340E6"/>
    <w:rsid w:val="00750B57"/>
    <w:rsid w:val="0075230C"/>
    <w:rsid w:val="00771153"/>
    <w:rsid w:val="007762C2"/>
    <w:rsid w:val="007974EF"/>
    <w:rsid w:val="007B75DE"/>
    <w:rsid w:val="007D4F4F"/>
    <w:rsid w:val="0080442E"/>
    <w:rsid w:val="00814142"/>
    <w:rsid w:val="00816418"/>
    <w:rsid w:val="00823474"/>
    <w:rsid w:val="0084795D"/>
    <w:rsid w:val="00857641"/>
    <w:rsid w:val="008665D2"/>
    <w:rsid w:val="00892B99"/>
    <w:rsid w:val="008B5894"/>
    <w:rsid w:val="008C0CA4"/>
    <w:rsid w:val="008C2DE0"/>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C193E"/>
    <w:rsid w:val="00ED66AF"/>
    <w:rsid w:val="00F150DB"/>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1274</Words>
  <Characters>7263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118</cp:revision>
  <dcterms:created xsi:type="dcterms:W3CDTF">2019-10-25T20:31:00Z</dcterms:created>
  <dcterms:modified xsi:type="dcterms:W3CDTF">2020-08-01T02:39:00Z</dcterms:modified>
</cp:coreProperties>
</file>