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49" w:rsidRPr="00C20381" w:rsidRDefault="00372A49" w:rsidP="00372A49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20381">
        <w:rPr>
          <w:rFonts w:ascii="Arial" w:hAnsi="Arial" w:cs="Arial"/>
          <w:sz w:val="20"/>
          <w:szCs w:val="20"/>
        </w:rPr>
        <w:t>DEPARTAMENTO/UNIDAD: UNIDAD DE DESARROLLO ECONÓMICO/UDEL</w:t>
      </w:r>
      <w:r w:rsidR="000F491F">
        <w:rPr>
          <w:rFonts w:ascii="Arial" w:hAnsi="Arial" w:cs="Arial"/>
          <w:sz w:val="20"/>
          <w:szCs w:val="20"/>
        </w:rPr>
        <w:t xml:space="preserve">     </w:t>
      </w:r>
    </w:p>
    <w:p w:rsidR="00372A49" w:rsidRPr="00C20381" w:rsidRDefault="00372A49" w:rsidP="00372A49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C20381">
        <w:rPr>
          <w:rFonts w:ascii="Arial" w:eastAsia="Calibri" w:hAnsi="Arial" w:cs="Arial"/>
          <w:sz w:val="20"/>
          <w:szCs w:val="20"/>
        </w:rPr>
        <w:t>RESPONSABLE: TERESA PÉREZ</w:t>
      </w:r>
      <w:r w:rsidR="00D772FB">
        <w:rPr>
          <w:rFonts w:ascii="Arial" w:eastAsia="Calibri" w:hAnsi="Arial" w:cs="Arial"/>
          <w:sz w:val="20"/>
          <w:szCs w:val="20"/>
        </w:rPr>
        <w:t xml:space="preserve">  </w:t>
      </w:r>
    </w:p>
    <w:p w:rsidR="00372A49" w:rsidRDefault="00366CE1" w:rsidP="00372A49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PLAN OPERATIVO 2019</w:t>
      </w:r>
    </w:p>
    <w:p w:rsidR="00E1430D" w:rsidRPr="00E161B8" w:rsidRDefault="00366CE1" w:rsidP="00372A49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0"/>
          <w:szCs w:val="20"/>
        </w:rPr>
        <w:t xml:space="preserve">OBJETIVO </w:t>
      </w:r>
      <w:r w:rsidR="00E1430D">
        <w:rPr>
          <w:rFonts w:ascii="Arial" w:eastAsia="Calibri" w:hAnsi="Arial" w:cs="Arial"/>
          <w:sz w:val="20"/>
          <w:szCs w:val="20"/>
        </w:rPr>
        <w:t xml:space="preserve"> POA 201</w:t>
      </w:r>
      <w:r>
        <w:rPr>
          <w:rFonts w:ascii="Arial" w:eastAsia="Calibri" w:hAnsi="Arial" w:cs="Arial"/>
          <w:sz w:val="20"/>
          <w:szCs w:val="20"/>
        </w:rPr>
        <w:t>9</w:t>
      </w:r>
      <w:r w:rsidR="00F030D7">
        <w:rPr>
          <w:rFonts w:ascii="Arial" w:eastAsia="Calibri" w:hAnsi="Arial" w:cs="Arial"/>
          <w:sz w:val="20"/>
          <w:szCs w:val="20"/>
        </w:rPr>
        <w:t>:</w:t>
      </w:r>
      <w:r>
        <w:rPr>
          <w:rFonts w:ascii="Arial" w:eastAsia="Calibri" w:hAnsi="Arial" w:cs="Arial"/>
          <w:sz w:val="20"/>
          <w:szCs w:val="20"/>
        </w:rPr>
        <w:t xml:space="preserve"> ARTICULAR PROCESOS DESARROLLO ECONÓMICO </w:t>
      </w:r>
      <w:r w:rsidR="00D06AC6">
        <w:rPr>
          <w:rFonts w:ascii="Arial" w:eastAsia="Calibri" w:hAnsi="Arial" w:cs="Arial"/>
          <w:sz w:val="20"/>
          <w:szCs w:val="20"/>
        </w:rPr>
        <w:t xml:space="preserve">A TRAVÉS DE LA UNIFICACIÓN DE </w:t>
      </w:r>
      <w:r>
        <w:rPr>
          <w:rFonts w:ascii="Arial" w:eastAsia="Calibri" w:hAnsi="Arial" w:cs="Arial"/>
          <w:sz w:val="20"/>
          <w:szCs w:val="20"/>
        </w:rPr>
        <w:t xml:space="preserve"> ESFUERZOS </w:t>
      </w:r>
      <w:r w:rsidR="00D06AC6">
        <w:rPr>
          <w:rFonts w:ascii="Arial" w:eastAsia="Calibri" w:hAnsi="Arial" w:cs="Arial"/>
          <w:sz w:val="20"/>
          <w:szCs w:val="20"/>
        </w:rPr>
        <w:t xml:space="preserve">ENTRE ALCALDIA, </w:t>
      </w:r>
      <w:r>
        <w:rPr>
          <w:rFonts w:ascii="Arial" w:eastAsia="Calibri" w:hAnsi="Arial" w:cs="Arial"/>
          <w:sz w:val="20"/>
          <w:szCs w:val="20"/>
        </w:rPr>
        <w:t xml:space="preserve"> INSTITUCIONES ESTATALES Y PRIVADAS.</w:t>
      </w:r>
      <w:r>
        <w:rPr>
          <w:rFonts w:ascii="Arial" w:eastAsia="Calibri" w:hAnsi="Arial" w:cs="Arial"/>
        </w:rPr>
        <w:t xml:space="preserve"> </w:t>
      </w:r>
    </w:p>
    <w:p w:rsidR="00FE2CC6" w:rsidRPr="00C20381" w:rsidRDefault="00FE2CC6" w:rsidP="00372A49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:rsidR="003B50BB" w:rsidRPr="001845B2" w:rsidRDefault="003B50BB" w:rsidP="003B50BB">
      <w:pPr>
        <w:pStyle w:val="Sinespaciado"/>
        <w:rPr>
          <w:rFonts w:cstheme="minorHAnsi"/>
          <w:sz w:val="20"/>
          <w:szCs w:val="20"/>
        </w:rPr>
      </w:pP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3402"/>
        <w:gridCol w:w="3402"/>
        <w:gridCol w:w="3402"/>
        <w:gridCol w:w="1984"/>
      </w:tblGrid>
      <w:tr w:rsidR="00107606" w:rsidRPr="00E27B2B" w:rsidTr="00107606">
        <w:trPr>
          <w:trHeight w:val="423"/>
        </w:trPr>
        <w:tc>
          <w:tcPr>
            <w:tcW w:w="709" w:type="dxa"/>
            <w:vMerge w:val="restart"/>
            <w:shd w:val="clear" w:color="auto" w:fill="DDD9C3" w:themeFill="background2" w:themeFillShade="E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N°</w:t>
            </w:r>
          </w:p>
        </w:tc>
        <w:tc>
          <w:tcPr>
            <w:tcW w:w="1702" w:type="dxa"/>
            <w:vMerge w:val="restart"/>
            <w:shd w:val="clear" w:color="auto" w:fill="DDD9C3" w:themeFill="background2" w:themeFillShade="E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RESULTADO</w:t>
            </w:r>
          </w:p>
        </w:tc>
        <w:tc>
          <w:tcPr>
            <w:tcW w:w="3402" w:type="dxa"/>
            <w:vMerge w:val="restart"/>
            <w:shd w:val="clear" w:color="auto" w:fill="DDD9C3" w:themeFill="background2" w:themeFillShade="E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ACTIVIDADES</w:t>
            </w:r>
            <w: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PROGRAMADAS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107606" w:rsidRDefault="00107606" w:rsidP="00366CE1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RESULTADOS </w:t>
            </w:r>
            <w:r w:rsidR="00366CE1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ESPERADOS</w:t>
            </w:r>
            <w: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 w:val="restart"/>
            <w:shd w:val="clear" w:color="auto" w:fill="DDD9C3" w:themeFill="background2" w:themeFillShade="E6"/>
          </w:tcPr>
          <w:p w:rsidR="00107606" w:rsidRPr="00107606" w:rsidRDefault="00107606" w:rsidP="00CE6442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107606">
              <w:rPr>
                <w:rFonts w:ascii="Calibri" w:eastAsia="Calibri" w:hAnsi="Calibri" w:cs="Times New Roman"/>
                <w:i/>
                <w:sz w:val="20"/>
                <w:szCs w:val="20"/>
              </w:rPr>
              <w:t>INDICADORES DE RESULTADO</w:t>
            </w:r>
          </w:p>
        </w:tc>
        <w:tc>
          <w:tcPr>
            <w:tcW w:w="1984" w:type="dxa"/>
            <w:vMerge w:val="restart"/>
            <w:shd w:val="clear" w:color="auto" w:fill="DDD9C3" w:themeFill="background2" w:themeFillShade="E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MEDIO DE VERIFICACION</w:t>
            </w:r>
          </w:p>
        </w:tc>
      </w:tr>
      <w:tr w:rsidR="00107606" w:rsidRPr="00E27B2B" w:rsidTr="00107606">
        <w:trPr>
          <w:trHeight w:val="52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07606" w:rsidRPr="00107606" w:rsidRDefault="00107606" w:rsidP="00CE644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07606" w:rsidRPr="00E27B2B" w:rsidRDefault="00107606" w:rsidP="00CE644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07606" w:rsidRPr="00E27B2B" w:rsidTr="00107606">
        <w:trPr>
          <w:trHeight w:val="2816"/>
        </w:trPr>
        <w:tc>
          <w:tcPr>
            <w:tcW w:w="709" w:type="dxa"/>
            <w:vMerge w:val="restart"/>
            <w:shd w:val="clear" w:color="auto" w:fill="FFFFFF" w:themeFill="background1"/>
          </w:tcPr>
          <w:p w:rsidR="00107606" w:rsidRDefault="00FA57E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868A5" w:rsidRDefault="00D868A5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868A5" w:rsidRDefault="00D868A5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868A5" w:rsidRDefault="00D868A5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868A5" w:rsidRDefault="00D868A5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868A5" w:rsidRDefault="00D868A5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D946DF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3</w:t>
            </w: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D946DF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D946DF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4</w:t>
            </w: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75BB" w:rsidRDefault="00C275BB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C6444" w:rsidRDefault="00DC6444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6E4194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Pr="001845B2" w:rsidRDefault="00107606" w:rsidP="0040361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107606" w:rsidRDefault="00FA57E0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>Tecoluca ha promovido y potenciado la oferta turística del municipio a nivel local y micro regional</w:t>
            </w:r>
            <w:r w:rsidR="00107606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847AD0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47AD0" w:rsidRDefault="00D868A5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Se han fortalecido las capacidades empresariales y turísticas de los emprendedores de Tecoluca</w:t>
            </w:r>
          </w:p>
          <w:p w:rsidR="00847AD0" w:rsidRDefault="00847AD0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447622" w:rsidRDefault="00447622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Se </w:t>
            </w:r>
            <w:r w:rsidR="00447622">
              <w:rPr>
                <w:rFonts w:eastAsia="Calibri" w:cstheme="minorHAnsi"/>
                <w:b/>
                <w:sz w:val="20"/>
                <w:szCs w:val="20"/>
              </w:rPr>
              <w:t xml:space="preserve">ha innovado Feria Cultural Tehuacán con el propósito de mejorar la 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comercialización de los productos locales.  </w:t>
            </w: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D946DF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Articulación y vinculación institucional de productos y servicios y gestiones para el </w:t>
            </w: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>mejoramiento del desarrollo económico de Tecoluca</w:t>
            </w: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87151A" w:rsidRDefault="0087151A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DC6444" w:rsidRDefault="00DC6444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6E4194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Se realiza el trabajo administrativo para garantizar la ejecución de la carpeta té</w:t>
            </w:r>
            <w:r w:rsidR="00FB4543">
              <w:rPr>
                <w:rFonts w:eastAsia="Calibri" w:cstheme="minorHAnsi"/>
                <w:b/>
                <w:sz w:val="20"/>
                <w:szCs w:val="20"/>
              </w:rPr>
              <w:t>cnica, plan de trabajo de la UD</w:t>
            </w:r>
            <w:r>
              <w:rPr>
                <w:rFonts w:eastAsia="Calibri" w:cstheme="minorHAnsi"/>
                <w:b/>
                <w:sz w:val="20"/>
                <w:szCs w:val="20"/>
              </w:rPr>
              <w:t>EL</w:t>
            </w: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55D24" w:rsidRDefault="00C55D24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55D24" w:rsidRDefault="00C55D24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C55D24" w:rsidRPr="001845B2" w:rsidRDefault="00C55D24" w:rsidP="00FE2CC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107606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52717C">
              <w:rPr>
                <w:rFonts w:eastAsia="Calibri" w:cstheme="minorHAnsi"/>
                <w:b/>
                <w:i/>
                <w:sz w:val="20"/>
                <w:szCs w:val="20"/>
              </w:rPr>
              <w:lastRenderedPageBreak/>
              <w:t>1-</w:t>
            </w:r>
            <w:r w:rsidR="00FA57E0">
              <w:rPr>
                <w:rFonts w:eastAsia="Calibri" w:cstheme="minorHAnsi"/>
                <w:b/>
                <w:i/>
                <w:sz w:val="20"/>
                <w:szCs w:val="20"/>
              </w:rPr>
              <w:t xml:space="preserve">Organización y realización del Festival del </w:t>
            </w:r>
            <w:r w:rsidR="00C275BB">
              <w:rPr>
                <w:rFonts w:eastAsia="Calibri" w:cstheme="minorHAnsi"/>
                <w:b/>
                <w:i/>
                <w:sz w:val="20"/>
                <w:szCs w:val="20"/>
              </w:rPr>
              <w:t>Marañón</w:t>
            </w:r>
            <w:r w:rsidR="00FA57E0">
              <w:rPr>
                <w:rFonts w:eastAsia="Calibri" w:cstheme="minorHAnsi"/>
                <w:b/>
                <w:i/>
                <w:sz w:val="20"/>
                <w:szCs w:val="20"/>
              </w:rPr>
              <w:t>.</w:t>
            </w: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Pr="0052717C" w:rsidRDefault="00192459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2- Contribución en la organización y ejecución del Festival del Cangrejo.</w:t>
            </w: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52717C">
              <w:rPr>
                <w:rFonts w:eastAsia="Calibri" w:cstheme="minorHAnsi"/>
                <w:b/>
                <w:i/>
                <w:sz w:val="20"/>
                <w:szCs w:val="20"/>
              </w:rPr>
              <w:lastRenderedPageBreak/>
              <w:t xml:space="preserve"> </w:t>
            </w:r>
          </w:p>
          <w:p w:rsidR="00107606" w:rsidRPr="0052717C" w:rsidRDefault="00107606" w:rsidP="00D91412">
            <w:pPr>
              <w:pStyle w:val="Prrafodelista"/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73264A" w:rsidRPr="0052717C" w:rsidRDefault="0073264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73264A" w:rsidRDefault="0073264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9E30D4" w:rsidRDefault="009E30D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9E30D4" w:rsidRPr="0052717C" w:rsidRDefault="009E30D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3- Contribución en la organización y ejecución del Festival del </w:t>
            </w:r>
            <w:r w:rsidR="00C275BB">
              <w:rPr>
                <w:rFonts w:eastAsia="Calibri" w:cstheme="minorHAnsi"/>
                <w:b/>
                <w:i/>
                <w:sz w:val="20"/>
                <w:szCs w:val="20"/>
              </w:rPr>
              <w:t>Maíz</w:t>
            </w:r>
          </w:p>
          <w:p w:rsidR="0073264A" w:rsidRPr="0052717C" w:rsidRDefault="0073264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73264A" w:rsidRPr="0052717C" w:rsidRDefault="0073264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73264A" w:rsidRPr="0052717C" w:rsidRDefault="0073264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D868A5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4</w:t>
            </w:r>
            <w:r w:rsidR="005E7937">
              <w:rPr>
                <w:rFonts w:eastAsia="Calibri" w:cstheme="minorHAnsi"/>
                <w:b/>
                <w:i/>
                <w:sz w:val="20"/>
                <w:szCs w:val="20"/>
              </w:rPr>
              <w:t>- Participación en la organización y ejecución del FESTIVAL DE TURISMO VERDE DE LA MICRO REGION LOS NONUALCOS.</w:t>
            </w: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Default="00D868A5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5-Ejecución de taller de capacitación sobre inocuidad de alimentos.</w:t>
            </w:r>
          </w:p>
          <w:p w:rsidR="00D868A5" w:rsidRDefault="00D868A5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868A5" w:rsidRDefault="00D868A5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6- Organización y ejecución de taller de capacitación sobre cultura turística</w:t>
            </w:r>
          </w:p>
          <w:p w:rsidR="00D868A5" w:rsidRDefault="00D868A5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868A5" w:rsidRPr="0052717C" w:rsidRDefault="00D868A5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lastRenderedPageBreak/>
              <w:t>7-Organización y ejecución de taller de capacitación sobre organización de eventos y ferias</w:t>
            </w:r>
          </w:p>
          <w:p w:rsidR="00107606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51BC3" w:rsidRDefault="00351B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51BC3" w:rsidRDefault="00351B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51BC3" w:rsidRDefault="00351B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51BC3" w:rsidRDefault="00351B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51BC3" w:rsidRDefault="00351B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351BC3" w:rsidRPr="0052717C" w:rsidRDefault="00351B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8-Intercambio de experiencia de desarrollo local con el comité OVOP del municipio de Panchimalco.</w:t>
            </w:r>
          </w:p>
          <w:p w:rsidR="00107606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Pr="0052717C" w:rsidRDefault="0044762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6B6A3F" w:rsidRDefault="006B6A3F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Pr="0052717C" w:rsidRDefault="0044762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6B6A3F" w:rsidRPr="0052717C" w:rsidRDefault="0044762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9-Realización de 6 Ferias Cultural Tehuacán. </w:t>
            </w:r>
          </w:p>
          <w:p w:rsidR="006B6A3F" w:rsidRPr="0052717C" w:rsidRDefault="006B6A3F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6B6A3F" w:rsidRPr="0052717C" w:rsidRDefault="006B6A3F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6B6A3F" w:rsidRDefault="006B6A3F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Default="0044762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Default="0044762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Default="0044762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Default="0044762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Default="0044762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Default="0044762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Pr="0052717C" w:rsidRDefault="00447622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6B6A3F" w:rsidRPr="0052717C" w:rsidRDefault="006B6A3F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D946DF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10- Seguimiento a la gestión del Proyecto “Plaza San Nicolás”</w:t>
            </w: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52717C"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52717C"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</w:p>
          <w:p w:rsidR="00107606" w:rsidRPr="0052717C" w:rsidRDefault="0081021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11-Gestión ante CONAMYPE  para la </w:t>
            </w:r>
            <w:r w:rsidR="00BD6EA0">
              <w:rPr>
                <w:rFonts w:eastAsia="Calibri" w:cstheme="minorHAnsi"/>
                <w:b/>
                <w:i/>
                <w:sz w:val="20"/>
                <w:szCs w:val="20"/>
              </w:rPr>
              <w:t>integra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ción de Tecoluca en el Programa Corredores Productivos de la Costa Pacífica</w:t>
            </w:r>
          </w:p>
          <w:p w:rsidR="00107606" w:rsidRPr="0052717C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7151A" w:rsidRDefault="0087151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7151A" w:rsidRPr="0052717C" w:rsidRDefault="0087151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87151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12-Participación en reuniones de coordinación de Técnicos DEL de la Micro Región Los Nonualcos</w:t>
            </w:r>
          </w:p>
          <w:p w:rsidR="00107606" w:rsidRDefault="00107606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7151A" w:rsidRDefault="00DC644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13-  Participación en programa de capacitación de USAID/PALLADIUM</w:t>
            </w:r>
          </w:p>
          <w:p w:rsidR="0087151A" w:rsidRDefault="0087151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7151A" w:rsidRPr="0052717C" w:rsidRDefault="0087151A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A55243" w:rsidRDefault="00A5524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C6444" w:rsidRDefault="00DC644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C6444" w:rsidRDefault="00DC644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C6444" w:rsidRDefault="00DC644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C6444" w:rsidRDefault="00DC644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EC13C9" w:rsidRDefault="00DC644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14</w:t>
            </w:r>
            <w:r w:rsidR="00657A56">
              <w:rPr>
                <w:rFonts w:eastAsia="Calibri" w:cstheme="minorHAnsi"/>
                <w:b/>
                <w:i/>
                <w:sz w:val="20"/>
                <w:szCs w:val="20"/>
              </w:rPr>
              <w:t>-Elaboración y seguimiento a la ejecución de la carpeta técnica 2019</w:t>
            </w:r>
          </w:p>
          <w:p w:rsidR="006C21C3" w:rsidRDefault="006C21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A68C0" w:rsidRDefault="008A68C0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6C21C3" w:rsidRDefault="00DC644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15</w:t>
            </w:r>
            <w:r w:rsidR="006C21C3">
              <w:rPr>
                <w:rFonts w:eastAsia="Calibri" w:cstheme="minorHAnsi"/>
                <w:b/>
                <w:i/>
                <w:sz w:val="20"/>
                <w:szCs w:val="20"/>
              </w:rPr>
              <w:t>- Elaboración de TDR para la contratación de servicios de capacitación</w:t>
            </w:r>
          </w:p>
          <w:p w:rsidR="006C21C3" w:rsidRDefault="006C21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75BB" w:rsidRDefault="00C275BB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6C21C3" w:rsidRDefault="00DC6444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16</w:t>
            </w:r>
            <w:r w:rsidR="006C21C3">
              <w:rPr>
                <w:rFonts w:eastAsia="Calibri" w:cstheme="minorHAnsi"/>
                <w:b/>
                <w:i/>
                <w:sz w:val="20"/>
                <w:szCs w:val="20"/>
              </w:rPr>
              <w:t xml:space="preserve">-Elaboración de plan de ejecución del Festival del </w:t>
            </w:r>
            <w:r w:rsidR="00FB4543">
              <w:rPr>
                <w:rFonts w:eastAsia="Calibri" w:cstheme="minorHAnsi"/>
                <w:b/>
                <w:i/>
                <w:sz w:val="20"/>
                <w:szCs w:val="20"/>
              </w:rPr>
              <w:t>marañón</w:t>
            </w:r>
          </w:p>
          <w:p w:rsidR="006C21C3" w:rsidRDefault="006C21C3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75BB" w:rsidRDefault="00C275BB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75BB" w:rsidRDefault="00C275BB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75BB" w:rsidRDefault="00C275BB" w:rsidP="00D91412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07606" w:rsidRPr="0052717C" w:rsidRDefault="006C21C3" w:rsidP="00DC6444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</w:t>
            </w:r>
            <w:r w:rsidR="00DC6444">
              <w:rPr>
                <w:rFonts w:eastAsia="Calibri" w:cstheme="minorHAnsi"/>
                <w:b/>
                <w:i/>
                <w:sz w:val="20"/>
                <w:szCs w:val="20"/>
              </w:rPr>
              <w:t>7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-Participación en espacios de coordinación para</w:t>
            </w:r>
            <w:r w:rsidR="00181E2C">
              <w:rPr>
                <w:rFonts w:eastAsia="Calibri" w:cstheme="minorHAnsi"/>
                <w:b/>
                <w:i/>
                <w:sz w:val="20"/>
                <w:szCs w:val="20"/>
              </w:rPr>
              <w:t xml:space="preserve"> la organización de festivales </w:t>
            </w:r>
          </w:p>
        </w:tc>
        <w:tc>
          <w:tcPr>
            <w:tcW w:w="3402" w:type="dxa"/>
            <w:shd w:val="clear" w:color="auto" w:fill="FFFFFF" w:themeFill="background1"/>
          </w:tcPr>
          <w:p w:rsidR="00107606" w:rsidRDefault="005C2760" w:rsidP="00F260B2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lastRenderedPageBreak/>
              <w:t xml:space="preserve">Se ha organizado </w:t>
            </w:r>
            <w:r w:rsidR="00FA57E0">
              <w:rPr>
                <w:rFonts w:eastAsia="Calibri" w:cstheme="minorHAnsi"/>
                <w:b/>
                <w:i/>
                <w:sz w:val="20"/>
                <w:szCs w:val="20"/>
              </w:rPr>
              <w:t xml:space="preserve"> y ejecu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tado </w:t>
            </w:r>
            <w:r w:rsidR="00FA57E0">
              <w:rPr>
                <w:rFonts w:eastAsia="Calibri" w:cstheme="minorHAnsi"/>
                <w:b/>
                <w:i/>
                <w:sz w:val="20"/>
                <w:szCs w:val="20"/>
              </w:rPr>
              <w:t xml:space="preserve"> el Festival del </w:t>
            </w:r>
            <w:r w:rsidR="00C275BB">
              <w:rPr>
                <w:rFonts w:eastAsia="Calibri" w:cstheme="minorHAnsi"/>
                <w:b/>
                <w:i/>
                <w:sz w:val="20"/>
                <w:szCs w:val="20"/>
              </w:rPr>
              <w:t>marañón</w:t>
            </w:r>
            <w:r w:rsidR="00FA57E0"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  <w:r w:rsidR="00475A96" w:rsidRPr="0052717C"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por</w:t>
            </w:r>
            <w:r w:rsidR="00FA57E0">
              <w:rPr>
                <w:rFonts w:eastAsia="Calibri" w:cstheme="minorHAnsi"/>
                <w:b/>
                <w:i/>
                <w:sz w:val="20"/>
                <w:szCs w:val="20"/>
              </w:rPr>
              <w:t xml:space="preserve"> medio de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la integración de una comisión organizadora con amplia representación </w:t>
            </w:r>
            <w:r w:rsidR="00FA57E0">
              <w:rPr>
                <w:rFonts w:eastAsia="Calibri" w:cstheme="minorHAnsi"/>
                <w:b/>
                <w:i/>
                <w:sz w:val="20"/>
                <w:szCs w:val="20"/>
              </w:rPr>
              <w:t xml:space="preserve"> de actores de la cadena del marañón, turísticos, culturales,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  <w:r w:rsidR="00C275BB">
              <w:rPr>
                <w:rFonts w:eastAsia="Calibri" w:cstheme="minorHAnsi"/>
                <w:b/>
                <w:i/>
                <w:sz w:val="20"/>
                <w:szCs w:val="20"/>
              </w:rPr>
              <w:t>micro empresariales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entre otros, </w:t>
            </w:r>
            <w:r w:rsidR="00C275BB">
              <w:rPr>
                <w:rFonts w:eastAsia="Calibri" w:cstheme="minorHAnsi"/>
                <w:b/>
                <w:i/>
                <w:sz w:val="20"/>
                <w:szCs w:val="20"/>
              </w:rPr>
              <w:t>entre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los meses de enero  Abril 2019</w:t>
            </w:r>
          </w:p>
          <w:p w:rsidR="00192459" w:rsidRDefault="00192459" w:rsidP="00F260B2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Pr="0052717C" w:rsidRDefault="00192459" w:rsidP="00F260B2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73264A" w:rsidRDefault="00326175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  <w:r w:rsidR="00192459">
              <w:rPr>
                <w:rFonts w:eastAsia="Calibri" w:cstheme="minorHAnsi"/>
                <w:b/>
                <w:i/>
                <w:sz w:val="20"/>
                <w:szCs w:val="20"/>
              </w:rPr>
              <w:t>La municipalidad de Tecoluca ha contribuido a organizar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y apoyar </w:t>
            </w:r>
            <w:r w:rsidR="009E30D4">
              <w:rPr>
                <w:rFonts w:eastAsia="Calibri" w:cstheme="minorHAnsi"/>
                <w:b/>
                <w:i/>
                <w:sz w:val="20"/>
                <w:szCs w:val="20"/>
              </w:rPr>
              <w:t>con algunos  recursos y servicios  para</w:t>
            </w:r>
            <w:r w:rsidR="00CF4C51">
              <w:rPr>
                <w:rFonts w:eastAsia="Calibri" w:cstheme="minorHAnsi"/>
                <w:b/>
                <w:i/>
                <w:sz w:val="20"/>
                <w:szCs w:val="20"/>
              </w:rPr>
              <w:t xml:space="preserve"> la realización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del </w:t>
            </w:r>
            <w:r w:rsidR="00192459">
              <w:rPr>
                <w:rFonts w:eastAsia="Calibri" w:cstheme="minorHAnsi"/>
                <w:b/>
                <w:i/>
                <w:sz w:val="20"/>
                <w:szCs w:val="20"/>
              </w:rPr>
              <w:t xml:space="preserve"> FESTIVAL DEL </w:t>
            </w:r>
            <w:r w:rsidR="00192459">
              <w:rPr>
                <w:rFonts w:eastAsia="Calibri" w:cstheme="minorHAnsi"/>
                <w:b/>
                <w:i/>
                <w:sz w:val="20"/>
                <w:szCs w:val="20"/>
              </w:rPr>
              <w:lastRenderedPageBreak/>
              <w:t xml:space="preserve">CANGREJO </w:t>
            </w:r>
          </w:p>
          <w:p w:rsidR="009E30D4" w:rsidRDefault="009E30D4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9E30D4" w:rsidRDefault="009E30D4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9E30D4" w:rsidRDefault="009E30D4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La Alcaldía de Tecoluca ha contribuido a organizar y apoyar la real</w:t>
            </w:r>
            <w:r w:rsidR="005E7937">
              <w:rPr>
                <w:rFonts w:eastAsia="Calibri" w:cstheme="minorHAnsi"/>
                <w:b/>
                <w:i/>
                <w:sz w:val="20"/>
                <w:szCs w:val="20"/>
              </w:rPr>
              <w:t>ización del Festival del Maíz.</w:t>
            </w:r>
          </w:p>
          <w:p w:rsidR="009E30D4" w:rsidRDefault="009E30D4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75BB" w:rsidRDefault="00C275BB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5E7937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eastAsia="Calibri" w:cstheme="minorHAnsi"/>
                <w:b/>
                <w:i/>
                <w:sz w:val="20"/>
                <w:szCs w:val="20"/>
              </w:rPr>
              <w:t>Alcaldia</w:t>
            </w:r>
            <w:proofErr w:type="spellEnd"/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de Tecoluca por medio de la UDEL participa en las comisiones de trabajo del </w:t>
            </w:r>
            <w:r w:rsidR="00550FCB">
              <w:rPr>
                <w:rFonts w:eastAsia="Calibri" w:cstheme="minorHAnsi"/>
                <w:b/>
                <w:i/>
                <w:sz w:val="20"/>
                <w:szCs w:val="20"/>
              </w:rPr>
              <w:t>Festival regional</w:t>
            </w:r>
          </w:p>
          <w:p w:rsidR="00192459" w:rsidRDefault="00192459" w:rsidP="00550FCB">
            <w:pPr>
              <w:ind w:firstLine="708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550FCB" w:rsidRDefault="00D868A5" w:rsidP="00D868A5">
            <w:pPr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Los emprendedores  del área gastronómica participantes del Festival del </w:t>
            </w:r>
            <w:r w:rsidR="00C25892">
              <w:rPr>
                <w:rFonts w:eastAsia="Calibri" w:cstheme="minorHAnsi"/>
                <w:b/>
                <w:i/>
                <w:sz w:val="20"/>
                <w:szCs w:val="20"/>
              </w:rPr>
              <w:t>marañón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participan en un taller de capacitación sobre inocuidad de alimentos </w:t>
            </w:r>
          </w:p>
          <w:p w:rsidR="00D868A5" w:rsidRDefault="00D868A5" w:rsidP="00550FCB">
            <w:pPr>
              <w:ind w:firstLine="708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868A5" w:rsidRDefault="00C25892" w:rsidP="00C25892">
            <w:pPr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Miembros del Comité municipal de Turismo y ADESTUR participan en un taller de capacitación impartida por experto en el ramo</w:t>
            </w:r>
          </w:p>
          <w:p w:rsidR="00550FCB" w:rsidRDefault="00550FCB" w:rsidP="00550FCB">
            <w:pPr>
              <w:ind w:firstLine="708"/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550FCB" w:rsidRDefault="00550FCB" w:rsidP="00C25892">
            <w:pPr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C25892" w:rsidP="00C25892">
            <w:pPr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Emprended</w:t>
            </w:r>
            <w:r w:rsidR="00351BC3">
              <w:rPr>
                <w:rFonts w:eastAsia="Calibri" w:cstheme="minorHAnsi"/>
                <w:b/>
                <w:i/>
                <w:sz w:val="20"/>
                <w:szCs w:val="20"/>
              </w:rPr>
              <w:t xml:space="preserve">ores de Feria Cultural </w:t>
            </w:r>
            <w:r w:rsidR="00351BC3">
              <w:rPr>
                <w:rFonts w:eastAsia="Calibri" w:cstheme="minorHAnsi"/>
                <w:b/>
                <w:i/>
                <w:sz w:val="20"/>
                <w:szCs w:val="20"/>
              </w:rPr>
              <w:lastRenderedPageBreak/>
              <w:t xml:space="preserve">Tehuacán  elevan capacidades para organizar de una mejor manera Feria Cultural Tehuacán. </w:t>
            </w:r>
          </w:p>
          <w:p w:rsidR="00C25892" w:rsidRDefault="00C25892" w:rsidP="00C25892">
            <w:pPr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192459" w:rsidRDefault="00192459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447622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Líderes y actores locales miembros del grupo OVOP de Tecoluca conocen la experiencia de desarrollo micro empresarial, </w:t>
            </w:r>
            <w:proofErr w:type="gramStart"/>
            <w:r>
              <w:rPr>
                <w:rFonts w:eastAsia="Calibri" w:cstheme="minorHAnsi"/>
                <w:b/>
                <w:i/>
                <w:sz w:val="20"/>
                <w:szCs w:val="20"/>
              </w:rPr>
              <w:t>turística</w:t>
            </w:r>
            <w:proofErr w:type="gramEnd"/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y cultural de Panchimalco.</w:t>
            </w:r>
          </w:p>
          <w:p w:rsidR="00C25892" w:rsidRDefault="00C25892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5892" w:rsidRDefault="00447622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Los emprendedores participantes de Feria Cultural han reorientado el evento de Feria Cultural Tehuacán para convertirlo en una Feria Gastronómica. </w:t>
            </w:r>
          </w:p>
          <w:p w:rsidR="00447622" w:rsidRDefault="00447622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Default="00447622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Default="00447622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447622" w:rsidRDefault="00447622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946DF" w:rsidRDefault="00D946DF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Se ha articulado el trabajo del equipo gestor del Proyecto El Proyecto Plaza San Nicolás para ser presentado a USAID</w:t>
            </w:r>
          </w:p>
          <w:p w:rsidR="00447622" w:rsidRDefault="00447622" w:rsidP="0073264A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10214" w:rsidRDefault="00810214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lastRenderedPageBreak/>
              <w:t>Se  integrará</w:t>
            </w:r>
            <w:r w:rsidR="00BD6EA0">
              <w:rPr>
                <w:rFonts w:eastAsia="Calibri" w:cstheme="minorHAnsi"/>
                <w:b/>
                <w:i/>
                <w:sz w:val="20"/>
                <w:szCs w:val="20"/>
              </w:rPr>
              <w:t xml:space="preserve">n a las reuniones de los 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actores </w:t>
            </w:r>
            <w:r w:rsidR="00BD6EA0">
              <w:rPr>
                <w:rFonts w:eastAsia="Calibri" w:cstheme="minorHAnsi"/>
                <w:b/>
                <w:i/>
                <w:sz w:val="20"/>
                <w:szCs w:val="20"/>
              </w:rPr>
              <w:t xml:space="preserve"> de </w:t>
            </w:r>
            <w:proofErr w:type="spellStart"/>
            <w:r w:rsidR="00BD6EA0">
              <w:rPr>
                <w:rFonts w:eastAsia="Calibri" w:cstheme="minorHAnsi"/>
                <w:b/>
                <w:i/>
                <w:sz w:val="20"/>
                <w:szCs w:val="20"/>
              </w:rPr>
              <w:t>Jiquilisco</w:t>
            </w:r>
            <w:proofErr w:type="spellEnd"/>
            <w:r w:rsidR="00BD6EA0">
              <w:rPr>
                <w:rFonts w:eastAsia="Calibri" w:cstheme="minorHAnsi"/>
                <w:b/>
                <w:i/>
                <w:sz w:val="20"/>
                <w:szCs w:val="20"/>
              </w:rPr>
              <w:t xml:space="preserve"> a empresarios de las cadenas productivas 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eastAsia="Calibri" w:cstheme="minorHAnsi"/>
                <w:b/>
                <w:i/>
                <w:sz w:val="20"/>
                <w:szCs w:val="20"/>
              </w:rPr>
              <w:t>marañon</w:t>
            </w:r>
            <w:proofErr w:type="spellEnd"/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, cadena la leche y cadena </w:t>
            </w:r>
            <w:r w:rsidR="008A68C0">
              <w:rPr>
                <w:rFonts w:eastAsia="Calibri" w:cstheme="minorHAnsi"/>
                <w:b/>
                <w:i/>
                <w:sz w:val="20"/>
                <w:szCs w:val="20"/>
              </w:rPr>
              <w:t>turística, con</w:t>
            </w:r>
            <w:r w:rsidR="00BD6EA0">
              <w:rPr>
                <w:rFonts w:eastAsia="Calibri" w:cstheme="minorHAnsi"/>
                <w:b/>
                <w:i/>
                <w:sz w:val="20"/>
                <w:szCs w:val="20"/>
              </w:rPr>
              <w:t xml:space="preserve"> el propósito que puedan acceder a recursos económicos que se lanzarán a través del programa. </w:t>
            </w:r>
          </w:p>
          <w:p w:rsidR="00810214" w:rsidRDefault="00810214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DC6444" w:rsidRDefault="0087151A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Tecoluca articula el trabajo DEL  a nivel de la Micro Región Los Nonualcos </w:t>
            </w:r>
          </w:p>
          <w:p w:rsidR="0087151A" w:rsidRDefault="00DC6444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La UDEL ha fortalecido los conocimientos sobre temáticas de desarrollo económico territorial</w:t>
            </w:r>
          </w:p>
          <w:p w:rsidR="0087151A" w:rsidRDefault="0087151A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7151A" w:rsidRDefault="0087151A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AA5B1D" w:rsidRDefault="00AA5B1D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8A68C0" w:rsidRDefault="0084297B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  <w:r w:rsidR="006B6A3F" w:rsidRPr="0052717C">
              <w:rPr>
                <w:rFonts w:eastAsia="Calibri" w:cstheme="minorHAnsi"/>
                <w:b/>
                <w:i/>
                <w:sz w:val="20"/>
                <w:szCs w:val="20"/>
              </w:rPr>
              <w:t xml:space="preserve">  </w:t>
            </w:r>
            <w:r w:rsidR="00657A56">
              <w:rPr>
                <w:rFonts w:eastAsia="Calibri" w:cstheme="minorHAnsi"/>
                <w:b/>
                <w:i/>
                <w:sz w:val="20"/>
                <w:szCs w:val="20"/>
              </w:rPr>
              <w:t>La Unidad de Desarrollo Económico cuenta con una carpeta Técnica, elab</w:t>
            </w:r>
            <w:r w:rsidR="008A68C0">
              <w:rPr>
                <w:rFonts w:eastAsia="Calibri" w:cstheme="minorHAnsi"/>
                <w:b/>
                <w:i/>
                <w:sz w:val="20"/>
                <w:szCs w:val="20"/>
              </w:rPr>
              <w:t>orada y aprobada por el Concejo</w:t>
            </w:r>
          </w:p>
          <w:p w:rsidR="008A68C0" w:rsidRPr="0052717C" w:rsidRDefault="008A68C0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Se tienen lineamientos claros para la contratación y ejecución de las capacitaciones </w:t>
            </w:r>
          </w:p>
          <w:p w:rsidR="000D2D11" w:rsidRDefault="000D2D11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Se ha presentado a la gerencia y </w:t>
            </w:r>
            <w:proofErr w:type="spellStart"/>
            <w:r>
              <w:rPr>
                <w:rFonts w:eastAsia="Calibri" w:cstheme="minorHAnsi"/>
                <w:b/>
                <w:i/>
                <w:sz w:val="20"/>
                <w:szCs w:val="20"/>
              </w:rPr>
              <w:t>uaci</w:t>
            </w:r>
            <w:proofErr w:type="spellEnd"/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  el plan de ejecución del X FESTIVAL DEL MARAÑON</w:t>
            </w:r>
          </w:p>
          <w:p w:rsidR="00C275BB" w:rsidRDefault="00C275BB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  <w:p w:rsidR="00C275BB" w:rsidRPr="0052717C" w:rsidRDefault="00C275BB" w:rsidP="006B6A3F">
            <w:pPr>
              <w:jc w:val="both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Se ha asistido a las reuniones de coordinación de los Festivales del marañón, El Cangrejo y El </w:t>
            </w:r>
            <w:proofErr w:type="spellStart"/>
            <w:r>
              <w:rPr>
                <w:rFonts w:eastAsia="Calibri" w:cstheme="minorHAnsi"/>
                <w:b/>
                <w:i/>
                <w:sz w:val="20"/>
                <w:szCs w:val="20"/>
              </w:rPr>
              <w:t>Maiz</w:t>
            </w:r>
            <w:proofErr w:type="spellEnd"/>
            <w:r>
              <w:rPr>
                <w:rFonts w:eastAsia="Calibri" w:cstheme="minorHAnsi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</w:tcPr>
          <w:p w:rsidR="00107606" w:rsidRDefault="005C2760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Se cuenta con plan de ejecu</w:t>
            </w:r>
            <w:r w:rsidR="00326175">
              <w:rPr>
                <w:rFonts w:eastAsia="Calibri" w:cstheme="minorHAnsi"/>
                <w:sz w:val="20"/>
                <w:szCs w:val="20"/>
              </w:rPr>
              <w:t>ción del festival del marañón con la participación de al menos 10 comisiones de trabajo representantes de diversos actores, voluntariado y personal de la municipalidad.</w:t>
            </w:r>
          </w:p>
          <w:p w:rsidR="00326175" w:rsidRDefault="00326175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192459" w:rsidRDefault="00326175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8 </w:t>
            </w:r>
            <w:r w:rsidR="00192459">
              <w:rPr>
                <w:rFonts w:eastAsia="Calibri" w:cstheme="minorHAnsi"/>
                <w:sz w:val="20"/>
                <w:szCs w:val="20"/>
              </w:rPr>
              <w:t>reuniones de coordinación y seguimiento</w:t>
            </w:r>
            <w:r>
              <w:rPr>
                <w:rFonts w:eastAsia="Calibri" w:cstheme="minorHAnsi"/>
                <w:sz w:val="20"/>
                <w:szCs w:val="20"/>
              </w:rPr>
              <w:t xml:space="preserve"> con la Comisión Organizadora del Festival del </w:t>
            </w:r>
            <w:r w:rsidR="00C275BB">
              <w:rPr>
                <w:rFonts w:eastAsia="Calibri" w:cstheme="minorHAnsi"/>
                <w:sz w:val="20"/>
                <w:szCs w:val="20"/>
              </w:rPr>
              <w:t>Marañón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107606" w:rsidRDefault="00326175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U</w:t>
            </w:r>
            <w:r w:rsidR="00192459">
              <w:rPr>
                <w:rFonts w:eastAsia="Calibri" w:cstheme="minorHAnsi"/>
                <w:sz w:val="20"/>
                <w:szCs w:val="20"/>
              </w:rPr>
              <w:t>n proceso participativo de evaluación</w:t>
            </w:r>
            <w:r>
              <w:rPr>
                <w:rFonts w:eastAsia="Calibri" w:cstheme="minorHAnsi"/>
                <w:sz w:val="20"/>
                <w:szCs w:val="20"/>
              </w:rPr>
              <w:t xml:space="preserve"> realizado</w:t>
            </w:r>
            <w:r w:rsidR="00192459">
              <w:rPr>
                <w:rFonts w:eastAsia="Calibri" w:cstheme="minorHAnsi"/>
                <w:sz w:val="20"/>
                <w:szCs w:val="20"/>
              </w:rPr>
              <w:t xml:space="preserve"> con la</w:t>
            </w:r>
            <w:r w:rsidR="00CF4C51">
              <w:rPr>
                <w:rFonts w:eastAsia="Calibri" w:cstheme="minorHAnsi"/>
                <w:sz w:val="20"/>
                <w:szCs w:val="20"/>
              </w:rPr>
              <w:t xml:space="preserve"> comisión organizadora.</w:t>
            </w:r>
          </w:p>
          <w:p w:rsidR="0073264A" w:rsidRDefault="0073264A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271E1" w:rsidRDefault="00D271E1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271E1" w:rsidRDefault="00CF4C51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El Festival del Cangrejo ha integrado una comisión organizadora con la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 xml:space="preserve">participación de los diversos actores locales de área </w:t>
            </w:r>
            <w:r w:rsidR="00C275BB">
              <w:rPr>
                <w:rFonts w:eastAsia="Calibri" w:cstheme="minorHAnsi"/>
                <w:sz w:val="20"/>
                <w:szCs w:val="20"/>
              </w:rPr>
              <w:t>ecoturística</w:t>
            </w:r>
            <w:r>
              <w:rPr>
                <w:rFonts w:eastAsia="Calibri" w:cstheme="minorHAnsi"/>
                <w:sz w:val="20"/>
                <w:szCs w:val="20"/>
              </w:rPr>
              <w:t xml:space="preserve"> incluyendo a la municipalidad de Tecoluca</w:t>
            </w:r>
            <w:r w:rsidR="009E30D4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C275BB" w:rsidRDefault="00C275BB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9E30D4" w:rsidRDefault="009E30D4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La UDEL ha contribuido a inscribir en la </w:t>
            </w:r>
            <w:r w:rsidR="00C275BB">
              <w:rPr>
                <w:rFonts w:eastAsia="Calibri" w:cstheme="minorHAnsi"/>
                <w:sz w:val="20"/>
                <w:szCs w:val="20"/>
              </w:rPr>
              <w:t>Alcaldía</w:t>
            </w:r>
            <w:r>
              <w:rPr>
                <w:rFonts w:eastAsia="Calibri" w:cstheme="minorHAnsi"/>
                <w:sz w:val="20"/>
                <w:szCs w:val="20"/>
              </w:rPr>
              <w:t xml:space="preserve"> a emprendedores que participarán en el Festival. </w:t>
            </w:r>
          </w:p>
          <w:p w:rsidR="005E7937" w:rsidRDefault="005E7937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Existe un convenio y un plan de trabajo para la implementación del Festival del </w:t>
            </w:r>
            <w:r w:rsidR="00C275BB">
              <w:rPr>
                <w:rFonts w:eastAsia="Calibri" w:cstheme="minorHAnsi"/>
                <w:sz w:val="20"/>
                <w:szCs w:val="20"/>
              </w:rPr>
              <w:t>Maíz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9E30D4" w:rsidRDefault="009E30D4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9E30D4" w:rsidRDefault="00550FCB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Tecoluca ha participado con un stand de turismo verde en el festival regional</w:t>
            </w:r>
          </w:p>
          <w:p w:rsidR="00550FCB" w:rsidRDefault="00550FCB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550FCB" w:rsidRDefault="00550FCB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550FCB" w:rsidRDefault="00C25892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El Ministerio de trabajo y Ministerio de Salud han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carnetizado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a todos los emprendedores asistentes  a la capaci</w:t>
            </w:r>
            <w:r w:rsidR="00351BC3">
              <w:rPr>
                <w:rFonts w:eastAsia="Calibri" w:cstheme="minorHAnsi"/>
                <w:sz w:val="20"/>
                <w:szCs w:val="20"/>
              </w:rPr>
              <w:t>tació</w:t>
            </w:r>
            <w:r>
              <w:rPr>
                <w:rFonts w:eastAsia="Calibri" w:cstheme="minorHAnsi"/>
                <w:sz w:val="20"/>
                <w:szCs w:val="20"/>
              </w:rPr>
              <w:t>n.</w:t>
            </w:r>
          </w:p>
          <w:p w:rsidR="00C25892" w:rsidRDefault="00C25892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868A5" w:rsidRDefault="00D868A5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550FCB" w:rsidRDefault="00C25892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Se ha estimulado la creación de un nuevo producto turístico en el municipio.</w:t>
            </w:r>
          </w:p>
          <w:p w:rsidR="00351BC3" w:rsidRDefault="00351BC3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351BC3" w:rsidRDefault="00351BC3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Al menos 15 emprendedores han participado del taller de capacitación y han innovado la oferta de la Feria</w:t>
            </w:r>
          </w:p>
          <w:p w:rsidR="00351BC3" w:rsidRDefault="00351BC3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550FCB" w:rsidRDefault="00550FCB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550FCB" w:rsidRDefault="00550FCB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447622" w:rsidRDefault="00447622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Un grupo de 15 miembros OVOP de Tecoluca han conocido la experiencia de desarrollo local del municipio de Panchimalco.</w:t>
            </w:r>
          </w:p>
          <w:p w:rsidR="00550FCB" w:rsidRDefault="00550FCB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946DF" w:rsidRDefault="00D946DF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Al menos un grupo de 5 emprendedores de los participan en Feria C. Tehuacán han diversificado sus productos hacia la oferta gastronómica.</w:t>
            </w:r>
          </w:p>
          <w:p w:rsidR="00C25892" w:rsidRDefault="00C25892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C25892" w:rsidRDefault="00C25892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C25892" w:rsidRDefault="00C25892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C25892" w:rsidRDefault="00C25892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107606" w:rsidRPr="00107606" w:rsidRDefault="00107606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107606">
              <w:rPr>
                <w:rFonts w:eastAsia="Calibri" w:cstheme="minorHAnsi"/>
                <w:sz w:val="20"/>
                <w:szCs w:val="20"/>
              </w:rPr>
              <w:t xml:space="preserve">   </w:t>
            </w:r>
            <w:r w:rsidR="00D946DF">
              <w:rPr>
                <w:rFonts w:eastAsia="Calibri" w:cstheme="minorHAnsi"/>
                <w:sz w:val="20"/>
                <w:szCs w:val="20"/>
              </w:rPr>
              <w:t>Se cuenta con un documento de proyecto</w:t>
            </w:r>
            <w:r w:rsidR="00C36260">
              <w:rPr>
                <w:rFonts w:eastAsia="Calibri" w:cstheme="minorHAnsi"/>
                <w:sz w:val="20"/>
                <w:szCs w:val="20"/>
              </w:rPr>
              <w:t xml:space="preserve"> completo de proyecto</w:t>
            </w:r>
            <w:r w:rsidR="00D946DF">
              <w:rPr>
                <w:rFonts w:eastAsia="Calibri" w:cstheme="minorHAnsi"/>
                <w:sz w:val="20"/>
                <w:szCs w:val="20"/>
              </w:rPr>
              <w:t xml:space="preserve"> que </w:t>
            </w:r>
            <w:r w:rsidR="00C36260">
              <w:rPr>
                <w:rFonts w:eastAsia="Calibri" w:cstheme="minorHAnsi"/>
                <w:sz w:val="20"/>
                <w:szCs w:val="20"/>
              </w:rPr>
              <w:t>incorpora la contrapartida municipal</w:t>
            </w:r>
            <w:r w:rsidR="005217A6">
              <w:rPr>
                <w:rFonts w:eastAsia="Calibri" w:cstheme="minorHAnsi"/>
                <w:sz w:val="20"/>
                <w:szCs w:val="20"/>
              </w:rPr>
              <w:t xml:space="preserve"> y aporte USAID</w:t>
            </w:r>
            <w:r w:rsidR="00C36260">
              <w:rPr>
                <w:rFonts w:eastAsia="Calibri" w:cstheme="minorHAnsi"/>
                <w:sz w:val="20"/>
                <w:szCs w:val="20"/>
              </w:rPr>
              <w:t xml:space="preserve"> que asciende a un total de </w:t>
            </w:r>
            <w:r w:rsidR="005217A6">
              <w:rPr>
                <w:rFonts w:eastAsia="Calibri" w:cstheme="minorHAnsi"/>
                <w:sz w:val="20"/>
                <w:szCs w:val="20"/>
              </w:rPr>
              <w:t>5</w:t>
            </w:r>
            <w:r w:rsidR="00C36260">
              <w:rPr>
                <w:rFonts w:eastAsia="Calibri" w:cstheme="minorHAnsi"/>
                <w:sz w:val="20"/>
                <w:szCs w:val="20"/>
              </w:rPr>
              <w:t xml:space="preserve">00 mil dólares. </w:t>
            </w:r>
          </w:p>
          <w:p w:rsidR="00D271E1" w:rsidRDefault="00D271E1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271E1" w:rsidRDefault="00BD6EA0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 cadenas productivas asisten junto a la municipalidad a las reuniones de seguimiento a la gestión.</w:t>
            </w:r>
          </w:p>
          <w:p w:rsidR="00D271E1" w:rsidRDefault="00D271E1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10214" w:rsidRDefault="00810214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10214" w:rsidRDefault="0087151A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Se ha participado al menos en 4 reuniones de coordinación de </w:t>
            </w:r>
            <w:r w:rsidR="00DC6444">
              <w:rPr>
                <w:rFonts w:eastAsia="Calibri" w:cstheme="minorHAnsi"/>
                <w:sz w:val="20"/>
                <w:szCs w:val="20"/>
              </w:rPr>
              <w:t>Técnicos</w:t>
            </w:r>
            <w:r>
              <w:rPr>
                <w:rFonts w:eastAsia="Calibri" w:cstheme="minorHAnsi"/>
                <w:sz w:val="20"/>
                <w:szCs w:val="20"/>
              </w:rPr>
              <w:t xml:space="preserve"> DEL</w:t>
            </w:r>
          </w:p>
          <w:p w:rsidR="0087151A" w:rsidRDefault="00AA5B1D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Se cuenta con un programa de capacitaciones.</w:t>
            </w:r>
          </w:p>
          <w:p w:rsidR="0087151A" w:rsidRDefault="0087151A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C6444" w:rsidRDefault="00DC6444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C6444" w:rsidRDefault="00DC6444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C6444" w:rsidRDefault="00DC6444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10214" w:rsidRDefault="00657A56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Se lleva </w:t>
            </w:r>
            <w:r w:rsidR="00FB4543">
              <w:rPr>
                <w:rFonts w:eastAsia="Calibri" w:cstheme="minorHAnsi"/>
                <w:sz w:val="20"/>
                <w:szCs w:val="20"/>
              </w:rPr>
              <w:t xml:space="preserve">un registro y control </w:t>
            </w:r>
            <w:r>
              <w:rPr>
                <w:rFonts w:eastAsia="Calibri" w:cstheme="minorHAnsi"/>
                <w:sz w:val="20"/>
                <w:szCs w:val="20"/>
              </w:rPr>
              <w:t xml:space="preserve">a través de Excel  de </w:t>
            </w:r>
            <w:r w:rsidR="00FB4543">
              <w:rPr>
                <w:rFonts w:eastAsia="Calibri" w:cstheme="minorHAnsi"/>
                <w:sz w:val="20"/>
                <w:szCs w:val="20"/>
              </w:rPr>
              <w:t xml:space="preserve">la </w:t>
            </w:r>
            <w:r>
              <w:rPr>
                <w:rFonts w:eastAsia="Calibri" w:cstheme="minorHAnsi"/>
                <w:sz w:val="20"/>
                <w:szCs w:val="20"/>
              </w:rPr>
              <w:t>ejecución de la carpeta</w:t>
            </w:r>
            <w:r w:rsidR="00FB4543">
              <w:rPr>
                <w:rFonts w:eastAsia="Calibri" w:cstheme="minorHAnsi"/>
                <w:sz w:val="20"/>
                <w:szCs w:val="20"/>
              </w:rPr>
              <w:t xml:space="preserve"> técnica año 2019</w:t>
            </w:r>
          </w:p>
          <w:p w:rsidR="00D271E1" w:rsidRDefault="00D271E1" w:rsidP="00F260B2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107606" w:rsidRDefault="00107606" w:rsidP="008A68C0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107606">
              <w:rPr>
                <w:rFonts w:eastAsia="Calibri" w:cstheme="minorHAnsi"/>
                <w:sz w:val="20"/>
                <w:szCs w:val="20"/>
              </w:rPr>
              <w:t xml:space="preserve">. </w:t>
            </w:r>
          </w:p>
          <w:p w:rsidR="000D2D11" w:rsidRDefault="000D2D11" w:rsidP="008A68C0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Se garantizan todos los trámites de administrativos ante UACI para garantizar las contrataciones de servicios y productos de los festivales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del marañón y del cangrejo</w:t>
            </w:r>
          </w:p>
          <w:p w:rsidR="00C275BB" w:rsidRDefault="00C275BB" w:rsidP="008A68C0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Se ha contribuido a organizar e integrar a las Comisiones Organizadoras de 3 Festivales </w:t>
            </w:r>
          </w:p>
          <w:p w:rsidR="00C275BB" w:rsidRPr="00107606" w:rsidRDefault="00C275BB" w:rsidP="008A68C0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26175" w:rsidRDefault="00326175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>Documento de plan</w:t>
            </w:r>
          </w:p>
          <w:p w:rsidR="00107606" w:rsidRDefault="00C275B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Fotografías</w:t>
            </w:r>
            <w:r w:rsidR="00FA57E0">
              <w:rPr>
                <w:rFonts w:eastAsia="Calibri" w:cstheme="minorHAnsi"/>
                <w:b/>
                <w:sz w:val="20"/>
                <w:szCs w:val="20"/>
              </w:rPr>
              <w:t>, memorias.</w:t>
            </w:r>
          </w:p>
          <w:p w:rsidR="00550FCB" w:rsidRDefault="00550FC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Fichas de inscripción</w:t>
            </w:r>
          </w:p>
          <w:p w:rsidR="00107606" w:rsidRDefault="00107606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75BB" w:rsidRDefault="00C275B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Memorias, listas de  asistencia, fotografías y otros.  </w:t>
            </w:r>
          </w:p>
          <w:p w:rsidR="00107606" w:rsidRDefault="00192459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Resumen de evaluación</w:t>
            </w:r>
          </w:p>
          <w:p w:rsidR="00107606" w:rsidRDefault="00107606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F4C51" w:rsidRDefault="00CF4C51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50FCB" w:rsidRDefault="00550FC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Ampo con informes y documentos del </w:t>
            </w: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>proyecto</w:t>
            </w:r>
          </w:p>
          <w:p w:rsidR="009E30D4" w:rsidRDefault="009E30D4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E30D4" w:rsidRDefault="009E30D4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E30D4" w:rsidRDefault="009E30D4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Fichas de inscripción</w:t>
            </w:r>
          </w:p>
          <w:p w:rsidR="005E7937" w:rsidRDefault="005E7937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E7937" w:rsidRDefault="005E7937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Documento de plan y convenio</w:t>
            </w:r>
          </w:p>
          <w:p w:rsidR="005E7937" w:rsidRDefault="005E7937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E7937" w:rsidRDefault="00550FC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Fotografías, lista de asistencia</w:t>
            </w:r>
          </w:p>
          <w:p w:rsidR="009E30D4" w:rsidRDefault="009E30D4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50FCB" w:rsidRDefault="00550FC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50FCB" w:rsidRDefault="00C2589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Lista de asistencia</w:t>
            </w:r>
          </w:p>
          <w:p w:rsidR="00C25892" w:rsidRDefault="00C275B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fotografías</w:t>
            </w:r>
          </w:p>
          <w:p w:rsidR="00550FCB" w:rsidRDefault="00550FC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50FCB" w:rsidRDefault="00550FC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E30D4" w:rsidRDefault="009E30D4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Documento de informe, fotografías.</w:t>
            </w:r>
          </w:p>
          <w:p w:rsidR="00C25892" w:rsidRDefault="00C2589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351BC3" w:rsidRDefault="00351BC3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351BC3" w:rsidRDefault="00351BC3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Documento de </w:t>
            </w: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informe </w:t>
            </w:r>
          </w:p>
          <w:p w:rsidR="00351BC3" w:rsidRDefault="00351BC3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75BB" w:rsidRDefault="00C275B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44762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Fotografías,</w:t>
            </w:r>
          </w:p>
          <w:p w:rsidR="00447622" w:rsidRDefault="0044762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Memorias</w:t>
            </w:r>
          </w:p>
          <w:p w:rsidR="00447622" w:rsidRDefault="0044762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C2589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D946D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Fotografías </w:t>
            </w:r>
          </w:p>
          <w:p w:rsidR="00C25892" w:rsidRDefault="00C25892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D946D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D946D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D946D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D946D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D946D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C36260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Documento de proyecto</w:t>
            </w:r>
          </w:p>
          <w:p w:rsidR="00C36260" w:rsidRDefault="00C36260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Listas </w:t>
            </w:r>
          </w:p>
          <w:p w:rsidR="00D946DF" w:rsidRDefault="00D946D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946DF" w:rsidRDefault="00D946DF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5892" w:rsidRDefault="00BD6EA0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Fotografías, asistencia</w:t>
            </w:r>
          </w:p>
          <w:p w:rsidR="00107606" w:rsidRDefault="00107606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87151A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Lista de asistencia</w:t>
            </w:r>
          </w:p>
          <w:p w:rsidR="0087151A" w:rsidRDefault="0087151A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C6444" w:rsidRDefault="00AA5B1D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Copia de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programcación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de capacitaciones</w:t>
            </w:r>
          </w:p>
          <w:p w:rsidR="00DC6444" w:rsidRDefault="00DC6444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C6444" w:rsidRDefault="00DC6444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C6444" w:rsidRDefault="00DC6444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07606" w:rsidRDefault="00107606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657A56">
              <w:rPr>
                <w:rFonts w:eastAsia="Calibri" w:cstheme="minorHAnsi"/>
                <w:b/>
                <w:sz w:val="20"/>
                <w:szCs w:val="20"/>
              </w:rPr>
              <w:t>Registro</w:t>
            </w:r>
            <w:r w:rsidR="00FB4543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59521E">
              <w:rPr>
                <w:rFonts w:eastAsia="Calibri" w:cstheme="minorHAnsi"/>
                <w:b/>
                <w:sz w:val="20"/>
                <w:szCs w:val="20"/>
              </w:rPr>
              <w:t>Excel</w:t>
            </w:r>
          </w:p>
          <w:p w:rsidR="0059521E" w:rsidRDefault="0059521E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Documento de plan</w:t>
            </w:r>
          </w:p>
          <w:p w:rsidR="0059521E" w:rsidRDefault="0059521E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Informes escritos </w:t>
            </w:r>
          </w:p>
          <w:p w:rsidR="00107606" w:rsidRDefault="000D2D11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Solicitudes de compras y pagos </w:t>
            </w:r>
          </w:p>
          <w:p w:rsidR="00C275BB" w:rsidRDefault="00C275B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75BB" w:rsidRDefault="00C275B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75BB" w:rsidRDefault="00C275B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75BB" w:rsidRDefault="00C275B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Listado de asistencia</w:t>
            </w:r>
          </w:p>
          <w:p w:rsidR="00C275BB" w:rsidRDefault="00C275B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75BB" w:rsidRDefault="00C275B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75BB" w:rsidRDefault="00C275B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75BB" w:rsidRDefault="00C275B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75BB" w:rsidRDefault="00C275B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C275BB" w:rsidRDefault="00C275BB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0D2D11" w:rsidRPr="001845B2" w:rsidRDefault="000D2D11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07606" w:rsidRPr="00E27B2B" w:rsidTr="00107606">
        <w:trPr>
          <w:trHeight w:val="1088"/>
        </w:trPr>
        <w:tc>
          <w:tcPr>
            <w:tcW w:w="709" w:type="dxa"/>
            <w:vMerge/>
            <w:shd w:val="clear" w:color="auto" w:fill="FFFFFF" w:themeFill="background1"/>
          </w:tcPr>
          <w:p w:rsidR="00107606" w:rsidRPr="001845B2" w:rsidRDefault="00107606" w:rsidP="00CE644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</w:tcPr>
          <w:p w:rsidR="00107606" w:rsidRPr="001845B2" w:rsidRDefault="00107606" w:rsidP="00E327AE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107606" w:rsidRDefault="00107606" w:rsidP="00F96BF6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107606" w:rsidRDefault="00107606" w:rsidP="00F96BF6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107606" w:rsidRPr="00107606" w:rsidRDefault="00107606" w:rsidP="00F96BF6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7606" w:rsidRDefault="00107606" w:rsidP="00C031DB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:rsidR="0020506A" w:rsidRDefault="0020506A" w:rsidP="00FF1F32">
      <w:pPr>
        <w:rPr>
          <w:rFonts w:cstheme="minorHAnsi"/>
          <w:sz w:val="20"/>
          <w:szCs w:val="20"/>
        </w:rPr>
      </w:pPr>
    </w:p>
    <w:sectPr w:rsidR="0020506A" w:rsidSect="00A313E1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4A9" w:rsidRDefault="009054A9" w:rsidP="000F491F">
      <w:pPr>
        <w:spacing w:after="0" w:line="240" w:lineRule="auto"/>
      </w:pPr>
      <w:r>
        <w:separator/>
      </w:r>
    </w:p>
  </w:endnote>
  <w:endnote w:type="continuationSeparator" w:id="0">
    <w:p w:rsidR="009054A9" w:rsidRDefault="009054A9" w:rsidP="000F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4A9" w:rsidRDefault="009054A9" w:rsidP="000F491F">
      <w:pPr>
        <w:spacing w:after="0" w:line="240" w:lineRule="auto"/>
      </w:pPr>
      <w:r>
        <w:separator/>
      </w:r>
    </w:p>
  </w:footnote>
  <w:footnote w:type="continuationSeparator" w:id="0">
    <w:p w:rsidR="009054A9" w:rsidRDefault="009054A9" w:rsidP="000F4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1F" w:rsidRDefault="000F491F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SV"/>
      </w:rPr>
      <w:drawing>
        <wp:inline distT="0" distB="0" distL="0" distR="0" wp14:anchorId="73CC69EB" wp14:editId="04085862">
          <wp:extent cx="646430" cy="71310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75DC"/>
    <w:multiLevelType w:val="hybridMultilevel"/>
    <w:tmpl w:val="5B9A8852"/>
    <w:lvl w:ilvl="0" w:tplc="D4288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264BA"/>
    <w:multiLevelType w:val="hybridMultilevel"/>
    <w:tmpl w:val="B58E7D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A00C5"/>
    <w:multiLevelType w:val="hybridMultilevel"/>
    <w:tmpl w:val="A02EB6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33331"/>
    <w:multiLevelType w:val="multilevel"/>
    <w:tmpl w:val="38707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EE43647"/>
    <w:multiLevelType w:val="hybridMultilevel"/>
    <w:tmpl w:val="FF8C268A"/>
    <w:lvl w:ilvl="0" w:tplc="285CD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67975"/>
    <w:multiLevelType w:val="multilevel"/>
    <w:tmpl w:val="AAD64C42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E1"/>
    <w:rsid w:val="00027211"/>
    <w:rsid w:val="00032772"/>
    <w:rsid w:val="0003779A"/>
    <w:rsid w:val="00043E50"/>
    <w:rsid w:val="00044706"/>
    <w:rsid w:val="00044E3B"/>
    <w:rsid w:val="00057953"/>
    <w:rsid w:val="000677F6"/>
    <w:rsid w:val="00071D05"/>
    <w:rsid w:val="000A605E"/>
    <w:rsid w:val="000B4ED2"/>
    <w:rsid w:val="000D2D11"/>
    <w:rsid w:val="000D3B6C"/>
    <w:rsid w:val="000E01AC"/>
    <w:rsid w:val="000E580D"/>
    <w:rsid w:val="000E5ECA"/>
    <w:rsid w:val="000F14E4"/>
    <w:rsid w:val="000F491F"/>
    <w:rsid w:val="000F4FE2"/>
    <w:rsid w:val="000F7574"/>
    <w:rsid w:val="0010074E"/>
    <w:rsid w:val="00107606"/>
    <w:rsid w:val="001135BC"/>
    <w:rsid w:val="00120F2B"/>
    <w:rsid w:val="0012290E"/>
    <w:rsid w:val="00125FD0"/>
    <w:rsid w:val="00136659"/>
    <w:rsid w:val="001614CD"/>
    <w:rsid w:val="00166A04"/>
    <w:rsid w:val="00170507"/>
    <w:rsid w:val="00172EA4"/>
    <w:rsid w:val="00174842"/>
    <w:rsid w:val="001800D0"/>
    <w:rsid w:val="00181E2C"/>
    <w:rsid w:val="001845B2"/>
    <w:rsid w:val="00192459"/>
    <w:rsid w:val="001936B9"/>
    <w:rsid w:val="001A0230"/>
    <w:rsid w:val="001B7FBF"/>
    <w:rsid w:val="001D1AF7"/>
    <w:rsid w:val="001D7109"/>
    <w:rsid w:val="001E5D97"/>
    <w:rsid w:val="001F769D"/>
    <w:rsid w:val="00201830"/>
    <w:rsid w:val="0020506A"/>
    <w:rsid w:val="00211362"/>
    <w:rsid w:val="0021236B"/>
    <w:rsid w:val="002125D9"/>
    <w:rsid w:val="00221C10"/>
    <w:rsid w:val="00234D53"/>
    <w:rsid w:val="002368DE"/>
    <w:rsid w:val="00250EF7"/>
    <w:rsid w:val="00250FED"/>
    <w:rsid w:val="00253DB4"/>
    <w:rsid w:val="0026512F"/>
    <w:rsid w:val="00265D87"/>
    <w:rsid w:val="00271647"/>
    <w:rsid w:val="00272C39"/>
    <w:rsid w:val="0028016C"/>
    <w:rsid w:val="0028199B"/>
    <w:rsid w:val="00285369"/>
    <w:rsid w:val="002903A2"/>
    <w:rsid w:val="00297CC0"/>
    <w:rsid w:val="002C1A28"/>
    <w:rsid w:val="002C4377"/>
    <w:rsid w:val="002C75FC"/>
    <w:rsid w:val="002E26C9"/>
    <w:rsid w:val="002E3932"/>
    <w:rsid w:val="00300D05"/>
    <w:rsid w:val="0031075E"/>
    <w:rsid w:val="00311CDD"/>
    <w:rsid w:val="00326175"/>
    <w:rsid w:val="0034350B"/>
    <w:rsid w:val="00344C81"/>
    <w:rsid w:val="00344C9E"/>
    <w:rsid w:val="003464F7"/>
    <w:rsid w:val="00351BC3"/>
    <w:rsid w:val="003623C7"/>
    <w:rsid w:val="00362A0E"/>
    <w:rsid w:val="0036522A"/>
    <w:rsid w:val="00366CE1"/>
    <w:rsid w:val="00372A49"/>
    <w:rsid w:val="003837B4"/>
    <w:rsid w:val="00390E5D"/>
    <w:rsid w:val="003912F8"/>
    <w:rsid w:val="003A4267"/>
    <w:rsid w:val="003A4664"/>
    <w:rsid w:val="003A7DD3"/>
    <w:rsid w:val="003B50BB"/>
    <w:rsid w:val="003D4B26"/>
    <w:rsid w:val="003E115C"/>
    <w:rsid w:val="003F0C91"/>
    <w:rsid w:val="00402F71"/>
    <w:rsid w:val="0040361B"/>
    <w:rsid w:val="00405373"/>
    <w:rsid w:val="00410391"/>
    <w:rsid w:val="004119F7"/>
    <w:rsid w:val="0042271C"/>
    <w:rsid w:val="004257BF"/>
    <w:rsid w:val="0043692E"/>
    <w:rsid w:val="0044351D"/>
    <w:rsid w:val="0044436C"/>
    <w:rsid w:val="004470A8"/>
    <w:rsid w:val="00447622"/>
    <w:rsid w:val="00465EEC"/>
    <w:rsid w:val="00475A96"/>
    <w:rsid w:val="00476B18"/>
    <w:rsid w:val="0048222D"/>
    <w:rsid w:val="004838FF"/>
    <w:rsid w:val="004A5AB1"/>
    <w:rsid w:val="004A7EB0"/>
    <w:rsid w:val="004B46A3"/>
    <w:rsid w:val="004B6B1C"/>
    <w:rsid w:val="004B77E0"/>
    <w:rsid w:val="004D40FD"/>
    <w:rsid w:val="004D6E21"/>
    <w:rsid w:val="004E227C"/>
    <w:rsid w:val="004E4426"/>
    <w:rsid w:val="004F570E"/>
    <w:rsid w:val="004F5B24"/>
    <w:rsid w:val="0050188B"/>
    <w:rsid w:val="005217A6"/>
    <w:rsid w:val="0052664A"/>
    <w:rsid w:val="0052717C"/>
    <w:rsid w:val="00534254"/>
    <w:rsid w:val="005360A8"/>
    <w:rsid w:val="00541523"/>
    <w:rsid w:val="00543176"/>
    <w:rsid w:val="00550FCB"/>
    <w:rsid w:val="00575444"/>
    <w:rsid w:val="00586EF4"/>
    <w:rsid w:val="0059521E"/>
    <w:rsid w:val="00595D81"/>
    <w:rsid w:val="005A21F2"/>
    <w:rsid w:val="005A2741"/>
    <w:rsid w:val="005B270E"/>
    <w:rsid w:val="005B4132"/>
    <w:rsid w:val="005C2760"/>
    <w:rsid w:val="005C7AC1"/>
    <w:rsid w:val="005D17B6"/>
    <w:rsid w:val="005D656D"/>
    <w:rsid w:val="005E1961"/>
    <w:rsid w:val="005E7937"/>
    <w:rsid w:val="0060107F"/>
    <w:rsid w:val="00615713"/>
    <w:rsid w:val="00615E2E"/>
    <w:rsid w:val="006242E9"/>
    <w:rsid w:val="00635303"/>
    <w:rsid w:val="00636308"/>
    <w:rsid w:val="0064229A"/>
    <w:rsid w:val="00643B89"/>
    <w:rsid w:val="006526C5"/>
    <w:rsid w:val="006576F6"/>
    <w:rsid w:val="00657A56"/>
    <w:rsid w:val="006653FD"/>
    <w:rsid w:val="006665D2"/>
    <w:rsid w:val="0066703B"/>
    <w:rsid w:val="00686F52"/>
    <w:rsid w:val="0068789C"/>
    <w:rsid w:val="0069596B"/>
    <w:rsid w:val="006A6891"/>
    <w:rsid w:val="006B6A3F"/>
    <w:rsid w:val="006C21C3"/>
    <w:rsid w:val="006D3849"/>
    <w:rsid w:val="006E3343"/>
    <w:rsid w:val="006E4194"/>
    <w:rsid w:val="006F7662"/>
    <w:rsid w:val="00704D27"/>
    <w:rsid w:val="00715859"/>
    <w:rsid w:val="0071679F"/>
    <w:rsid w:val="007316DA"/>
    <w:rsid w:val="0073264A"/>
    <w:rsid w:val="007329B1"/>
    <w:rsid w:val="00736D3E"/>
    <w:rsid w:val="00742749"/>
    <w:rsid w:val="00746824"/>
    <w:rsid w:val="0079386D"/>
    <w:rsid w:val="00794023"/>
    <w:rsid w:val="00795CAA"/>
    <w:rsid w:val="007B0A0C"/>
    <w:rsid w:val="007B0C6B"/>
    <w:rsid w:val="007C0CC7"/>
    <w:rsid w:val="007C2DB1"/>
    <w:rsid w:val="007C5A4C"/>
    <w:rsid w:val="007D1B4E"/>
    <w:rsid w:val="007E059B"/>
    <w:rsid w:val="007E34E6"/>
    <w:rsid w:val="007E5A52"/>
    <w:rsid w:val="007E7976"/>
    <w:rsid w:val="007F4D43"/>
    <w:rsid w:val="007F78E6"/>
    <w:rsid w:val="00810214"/>
    <w:rsid w:val="00817FA1"/>
    <w:rsid w:val="008223C3"/>
    <w:rsid w:val="008403D6"/>
    <w:rsid w:val="00842871"/>
    <w:rsid w:val="0084297B"/>
    <w:rsid w:val="00846481"/>
    <w:rsid w:val="00847AD0"/>
    <w:rsid w:val="00861F08"/>
    <w:rsid w:val="00864919"/>
    <w:rsid w:val="0087151A"/>
    <w:rsid w:val="00877A66"/>
    <w:rsid w:val="0088266F"/>
    <w:rsid w:val="00892626"/>
    <w:rsid w:val="008A68C0"/>
    <w:rsid w:val="008B0721"/>
    <w:rsid w:val="008B674D"/>
    <w:rsid w:val="008D6930"/>
    <w:rsid w:val="008D7FE8"/>
    <w:rsid w:val="008E5755"/>
    <w:rsid w:val="009054A9"/>
    <w:rsid w:val="00923B89"/>
    <w:rsid w:val="0092462F"/>
    <w:rsid w:val="00925E97"/>
    <w:rsid w:val="00933731"/>
    <w:rsid w:val="00933CA9"/>
    <w:rsid w:val="009370A2"/>
    <w:rsid w:val="009402FB"/>
    <w:rsid w:val="009439CB"/>
    <w:rsid w:val="0098443F"/>
    <w:rsid w:val="00985946"/>
    <w:rsid w:val="00987474"/>
    <w:rsid w:val="00993EAE"/>
    <w:rsid w:val="00996CD2"/>
    <w:rsid w:val="009A5A59"/>
    <w:rsid w:val="009E30D4"/>
    <w:rsid w:val="009E6CD3"/>
    <w:rsid w:val="009E7588"/>
    <w:rsid w:val="009F000B"/>
    <w:rsid w:val="009F08CD"/>
    <w:rsid w:val="009F1492"/>
    <w:rsid w:val="009F219C"/>
    <w:rsid w:val="00A1045D"/>
    <w:rsid w:val="00A124C5"/>
    <w:rsid w:val="00A1469A"/>
    <w:rsid w:val="00A313E1"/>
    <w:rsid w:val="00A550B7"/>
    <w:rsid w:val="00A55243"/>
    <w:rsid w:val="00A77768"/>
    <w:rsid w:val="00A8033A"/>
    <w:rsid w:val="00A80F0A"/>
    <w:rsid w:val="00A8596A"/>
    <w:rsid w:val="00A86109"/>
    <w:rsid w:val="00A96BB3"/>
    <w:rsid w:val="00A96EBD"/>
    <w:rsid w:val="00AA5B1D"/>
    <w:rsid w:val="00AA5E1A"/>
    <w:rsid w:val="00AB2575"/>
    <w:rsid w:val="00AD06A7"/>
    <w:rsid w:val="00AD17CD"/>
    <w:rsid w:val="00AD3AFC"/>
    <w:rsid w:val="00AD4F2C"/>
    <w:rsid w:val="00AD5DF1"/>
    <w:rsid w:val="00AF42A3"/>
    <w:rsid w:val="00B07643"/>
    <w:rsid w:val="00B168B5"/>
    <w:rsid w:val="00B21D5F"/>
    <w:rsid w:val="00B353E8"/>
    <w:rsid w:val="00B52365"/>
    <w:rsid w:val="00B61CF2"/>
    <w:rsid w:val="00B7141E"/>
    <w:rsid w:val="00B71F18"/>
    <w:rsid w:val="00B7354C"/>
    <w:rsid w:val="00B7708D"/>
    <w:rsid w:val="00B8270E"/>
    <w:rsid w:val="00B84F03"/>
    <w:rsid w:val="00BA0A8B"/>
    <w:rsid w:val="00BA39E7"/>
    <w:rsid w:val="00BA407B"/>
    <w:rsid w:val="00BB6618"/>
    <w:rsid w:val="00BC2B96"/>
    <w:rsid w:val="00BC3CD9"/>
    <w:rsid w:val="00BC6EDE"/>
    <w:rsid w:val="00BC6EF3"/>
    <w:rsid w:val="00BD2328"/>
    <w:rsid w:val="00BD6EA0"/>
    <w:rsid w:val="00BE3C04"/>
    <w:rsid w:val="00BE60CA"/>
    <w:rsid w:val="00BF51FA"/>
    <w:rsid w:val="00C00EDD"/>
    <w:rsid w:val="00C031DB"/>
    <w:rsid w:val="00C20381"/>
    <w:rsid w:val="00C24248"/>
    <w:rsid w:val="00C25892"/>
    <w:rsid w:val="00C259CD"/>
    <w:rsid w:val="00C275BB"/>
    <w:rsid w:val="00C31F91"/>
    <w:rsid w:val="00C36260"/>
    <w:rsid w:val="00C37872"/>
    <w:rsid w:val="00C50ACB"/>
    <w:rsid w:val="00C51C92"/>
    <w:rsid w:val="00C51F00"/>
    <w:rsid w:val="00C54684"/>
    <w:rsid w:val="00C55D24"/>
    <w:rsid w:val="00C64D54"/>
    <w:rsid w:val="00C7281E"/>
    <w:rsid w:val="00C86C53"/>
    <w:rsid w:val="00C90CC9"/>
    <w:rsid w:val="00C963F3"/>
    <w:rsid w:val="00CE6442"/>
    <w:rsid w:val="00CE6781"/>
    <w:rsid w:val="00CF0698"/>
    <w:rsid w:val="00CF12B4"/>
    <w:rsid w:val="00CF4C51"/>
    <w:rsid w:val="00D06AC6"/>
    <w:rsid w:val="00D07AD2"/>
    <w:rsid w:val="00D13837"/>
    <w:rsid w:val="00D151FC"/>
    <w:rsid w:val="00D2114D"/>
    <w:rsid w:val="00D221D3"/>
    <w:rsid w:val="00D271E1"/>
    <w:rsid w:val="00D33E1F"/>
    <w:rsid w:val="00D43816"/>
    <w:rsid w:val="00D46ECE"/>
    <w:rsid w:val="00D60BF1"/>
    <w:rsid w:val="00D6254C"/>
    <w:rsid w:val="00D64C17"/>
    <w:rsid w:val="00D70B00"/>
    <w:rsid w:val="00D772FB"/>
    <w:rsid w:val="00D80E6E"/>
    <w:rsid w:val="00D868A5"/>
    <w:rsid w:val="00D91412"/>
    <w:rsid w:val="00D946DF"/>
    <w:rsid w:val="00D95682"/>
    <w:rsid w:val="00DA1CC6"/>
    <w:rsid w:val="00DA4151"/>
    <w:rsid w:val="00DA618F"/>
    <w:rsid w:val="00DA747A"/>
    <w:rsid w:val="00DB2A1A"/>
    <w:rsid w:val="00DC557E"/>
    <w:rsid w:val="00DC6444"/>
    <w:rsid w:val="00DD410B"/>
    <w:rsid w:val="00DE1437"/>
    <w:rsid w:val="00DF4F11"/>
    <w:rsid w:val="00DF56E7"/>
    <w:rsid w:val="00E1430D"/>
    <w:rsid w:val="00E161B8"/>
    <w:rsid w:val="00E327AE"/>
    <w:rsid w:val="00E32CD9"/>
    <w:rsid w:val="00E358B6"/>
    <w:rsid w:val="00E51D45"/>
    <w:rsid w:val="00E55A10"/>
    <w:rsid w:val="00E707A2"/>
    <w:rsid w:val="00E807E3"/>
    <w:rsid w:val="00E852BD"/>
    <w:rsid w:val="00E96039"/>
    <w:rsid w:val="00EA06B5"/>
    <w:rsid w:val="00EA6AFB"/>
    <w:rsid w:val="00EC13C9"/>
    <w:rsid w:val="00ED0BA2"/>
    <w:rsid w:val="00ED54CD"/>
    <w:rsid w:val="00EE691B"/>
    <w:rsid w:val="00EF5A56"/>
    <w:rsid w:val="00F030D7"/>
    <w:rsid w:val="00F25B66"/>
    <w:rsid w:val="00F260B2"/>
    <w:rsid w:val="00F36CB1"/>
    <w:rsid w:val="00F41046"/>
    <w:rsid w:val="00F45FC4"/>
    <w:rsid w:val="00F61B7A"/>
    <w:rsid w:val="00F711B1"/>
    <w:rsid w:val="00F763F5"/>
    <w:rsid w:val="00F76722"/>
    <w:rsid w:val="00F8350D"/>
    <w:rsid w:val="00F9268F"/>
    <w:rsid w:val="00F92F6E"/>
    <w:rsid w:val="00F94D8E"/>
    <w:rsid w:val="00F96BF6"/>
    <w:rsid w:val="00FA1D44"/>
    <w:rsid w:val="00FA22E2"/>
    <w:rsid w:val="00FA2C47"/>
    <w:rsid w:val="00FA57E0"/>
    <w:rsid w:val="00FB0487"/>
    <w:rsid w:val="00FB4543"/>
    <w:rsid w:val="00FB721E"/>
    <w:rsid w:val="00FC03E1"/>
    <w:rsid w:val="00FC1F57"/>
    <w:rsid w:val="00FD6BC7"/>
    <w:rsid w:val="00FE2CC6"/>
    <w:rsid w:val="00FE53F8"/>
    <w:rsid w:val="00FF1DF3"/>
    <w:rsid w:val="00FF1F32"/>
    <w:rsid w:val="00FF64A2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3E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13E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3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21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4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491F"/>
  </w:style>
  <w:style w:type="paragraph" w:styleId="Piedepgina">
    <w:name w:val="footer"/>
    <w:basedOn w:val="Normal"/>
    <w:link w:val="PiedepginaCar"/>
    <w:uiPriority w:val="99"/>
    <w:unhideWhenUsed/>
    <w:rsid w:val="000F4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91F"/>
  </w:style>
  <w:style w:type="paragraph" w:styleId="Textodeglobo">
    <w:name w:val="Balloon Text"/>
    <w:basedOn w:val="Normal"/>
    <w:link w:val="TextodegloboCar"/>
    <w:uiPriority w:val="99"/>
    <w:semiHidden/>
    <w:unhideWhenUsed/>
    <w:rsid w:val="000F4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3E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13E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3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21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4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491F"/>
  </w:style>
  <w:style w:type="paragraph" w:styleId="Piedepgina">
    <w:name w:val="footer"/>
    <w:basedOn w:val="Normal"/>
    <w:link w:val="PiedepginaCar"/>
    <w:uiPriority w:val="99"/>
    <w:unhideWhenUsed/>
    <w:rsid w:val="000F4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91F"/>
  </w:style>
  <w:style w:type="paragraph" w:styleId="Textodeglobo">
    <w:name w:val="Balloon Text"/>
    <w:basedOn w:val="Normal"/>
    <w:link w:val="TextodegloboCar"/>
    <w:uiPriority w:val="99"/>
    <w:semiHidden/>
    <w:unhideWhenUsed/>
    <w:rsid w:val="000F4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66D84-CAF4-4237-8195-6790422E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UDEL</dc:creator>
  <cp:lastModifiedBy>UDEL</cp:lastModifiedBy>
  <cp:revision>2</cp:revision>
  <cp:lastPrinted>2017-03-13T15:53:00Z</cp:lastPrinted>
  <dcterms:created xsi:type="dcterms:W3CDTF">2020-03-04T20:49:00Z</dcterms:created>
  <dcterms:modified xsi:type="dcterms:W3CDTF">2020-03-04T20:49:00Z</dcterms:modified>
</cp:coreProperties>
</file>