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B6" w:rsidRPr="00FE74C3" w:rsidRDefault="00E424B6" w:rsidP="00E424B6">
      <w:pPr>
        <w:tabs>
          <w:tab w:val="left" w:pos="993"/>
        </w:tabs>
        <w:spacing w:after="0" w:line="240" w:lineRule="auto"/>
        <w:jc w:val="both"/>
        <w:rPr>
          <w:rFonts w:cs="Arial"/>
          <w:bCs/>
          <w:i/>
          <w:sz w:val="24"/>
          <w:szCs w:val="24"/>
        </w:rPr>
      </w:pPr>
      <w:r w:rsidRPr="00FE74C3">
        <w:rPr>
          <w:rFonts w:cs="Arial"/>
          <w:i/>
          <w:sz w:val="24"/>
          <w:szCs w:val="24"/>
        </w:rPr>
        <w:t>ACTA NÚMERO SIETE</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DIEZ</w:t>
      </w:r>
      <w:r w:rsidRPr="00FE74C3">
        <w:rPr>
          <w:rFonts w:cs="Arial"/>
          <w:sz w:val="24"/>
          <w:szCs w:val="24"/>
        </w:rPr>
        <w:t xml:space="preserve"> horas y </w:t>
      </w:r>
      <w:r w:rsidRPr="00FE74C3">
        <w:rPr>
          <w:rFonts w:cs="Arial"/>
          <w:i/>
          <w:sz w:val="24"/>
          <w:szCs w:val="24"/>
        </w:rPr>
        <w:t>CERO</w:t>
      </w:r>
      <w:r w:rsidRPr="00FE74C3">
        <w:rPr>
          <w:rFonts w:cs="Arial"/>
          <w:sz w:val="24"/>
          <w:szCs w:val="24"/>
        </w:rPr>
        <w:t xml:space="preserve"> minutos, del día </w:t>
      </w:r>
      <w:r w:rsidRPr="00FE74C3">
        <w:rPr>
          <w:rFonts w:cs="Arial"/>
          <w:bCs/>
          <w:i/>
          <w:sz w:val="24"/>
          <w:szCs w:val="24"/>
        </w:rPr>
        <w:t>VEINTITRES</w:t>
      </w:r>
      <w:r w:rsidRPr="00FE74C3">
        <w:rPr>
          <w:rFonts w:cs="Arial"/>
          <w:bCs/>
          <w:sz w:val="24"/>
          <w:szCs w:val="24"/>
        </w:rPr>
        <w:t xml:space="preserve"> </w:t>
      </w:r>
      <w:r w:rsidRPr="00FE74C3">
        <w:rPr>
          <w:rFonts w:cs="Arial"/>
          <w:sz w:val="24"/>
          <w:szCs w:val="24"/>
        </w:rPr>
        <w:t xml:space="preserve">de </w:t>
      </w:r>
      <w:r w:rsidRPr="00FE74C3">
        <w:rPr>
          <w:rFonts w:cs="Arial"/>
          <w:bCs/>
          <w:i/>
          <w:sz w:val="24"/>
          <w:szCs w:val="24"/>
        </w:rPr>
        <w:t>MARZO</w:t>
      </w:r>
      <w:r w:rsidRPr="00FE74C3">
        <w:rPr>
          <w:rFonts w:cs="Arial"/>
          <w:bCs/>
          <w:sz w:val="24"/>
          <w:szCs w:val="24"/>
        </w:rPr>
        <w:t xml:space="preserve"> </w:t>
      </w:r>
      <w:r w:rsidRPr="00FE74C3">
        <w:rPr>
          <w:rFonts w:cs="Arial"/>
          <w:sz w:val="24"/>
          <w:szCs w:val="24"/>
        </w:rPr>
        <w:t xml:space="preserve">del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extraordinaria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w:t>
      </w:r>
      <w:r w:rsidRPr="00FE74C3">
        <w:rPr>
          <w:rFonts w:cs="Arial"/>
          <w:sz w:val="24"/>
          <w:szCs w:val="24"/>
        </w:rPr>
        <w:t xml:space="preserve">; asisten los Concejales: SÍNDICO: </w:t>
      </w:r>
      <w:r w:rsidRPr="00FE74C3">
        <w:rPr>
          <w:rFonts w:cs="Arial"/>
          <w:i/>
          <w:sz w:val="24"/>
          <w:szCs w:val="24"/>
        </w:rPr>
        <w:t xml:space="preserve">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 xml:space="preserve">Primer Regidor Propietario Saúl Edgardo Ramírez García, Segunda Regidora Propietaria María Teresa García </w:t>
      </w:r>
      <w:proofErr w:type="spellStart"/>
      <w:r w:rsidRPr="00FE74C3">
        <w:rPr>
          <w:rFonts w:cs="Arial"/>
          <w:i/>
          <w:sz w:val="24"/>
          <w:szCs w:val="24"/>
          <w:lang w:val="es-MX"/>
        </w:rPr>
        <w:t>García</w:t>
      </w:r>
      <w:proofErr w:type="spellEnd"/>
      <w:r w:rsidRPr="00FE74C3">
        <w:rPr>
          <w:rFonts w:cs="Arial"/>
          <w:i/>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 xml:space="preserve">Primera Regidora Suplente María Verónica Rodríguez de Sandoval Segunda Regidora Suplente Edith </w:t>
      </w:r>
      <w:proofErr w:type="spellStart"/>
      <w:r w:rsidRPr="00FE74C3">
        <w:rPr>
          <w:rFonts w:cs="Arial"/>
          <w:i/>
          <w:sz w:val="24"/>
          <w:szCs w:val="24"/>
          <w:lang w:val="es-MX"/>
        </w:rPr>
        <w:t>Verali</w:t>
      </w:r>
      <w:proofErr w:type="spellEnd"/>
      <w:r w:rsidRPr="00FE74C3">
        <w:rPr>
          <w:rFonts w:cs="Arial"/>
          <w:i/>
          <w:sz w:val="24"/>
          <w:szCs w:val="24"/>
          <w:lang w:val="es-MX"/>
        </w:rPr>
        <w:t xml:space="preserve"> Galicia Dávila, Tercera Regidora Suplente </w:t>
      </w:r>
      <w:proofErr w:type="spellStart"/>
      <w:r w:rsidRPr="00FE74C3">
        <w:rPr>
          <w:rFonts w:cs="Arial"/>
          <w:i/>
          <w:sz w:val="24"/>
          <w:szCs w:val="24"/>
          <w:lang w:val="es-MX"/>
        </w:rPr>
        <w:t>Arely</w:t>
      </w:r>
      <w:proofErr w:type="spellEnd"/>
      <w:r w:rsidRPr="00FE74C3">
        <w:rPr>
          <w:rFonts w:cs="Arial"/>
          <w:i/>
          <w:sz w:val="24"/>
          <w:szCs w:val="24"/>
          <w:lang w:val="es-MX"/>
        </w:rPr>
        <w:t xml:space="preserve"> Angélica Vega de </w:t>
      </w:r>
      <w:proofErr w:type="spellStart"/>
      <w:r w:rsidRPr="00FE74C3">
        <w:rPr>
          <w:rFonts w:cs="Arial"/>
          <w:i/>
          <w:sz w:val="24"/>
          <w:szCs w:val="24"/>
          <w:lang w:val="es-MX"/>
        </w:rPr>
        <w:t>Larios</w:t>
      </w:r>
      <w:proofErr w:type="spellEnd"/>
      <w:r w:rsidRPr="00FE74C3">
        <w:rPr>
          <w:rFonts w:cs="Arial"/>
          <w:i/>
          <w:sz w:val="24"/>
          <w:szCs w:val="24"/>
          <w:lang w:val="es-MX"/>
        </w:rPr>
        <w:t xml:space="preserve">, Cuarto Regidor Suplente Cornelio </w:t>
      </w:r>
      <w:proofErr w:type="spellStart"/>
      <w:r w:rsidRPr="00FE74C3">
        <w:rPr>
          <w:rFonts w:cs="Arial"/>
          <w:i/>
          <w:sz w:val="24"/>
          <w:szCs w:val="24"/>
          <w:lang w:val="es-MX"/>
        </w:rPr>
        <w:t>Colindres</w:t>
      </w:r>
      <w:proofErr w:type="spellEnd"/>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 xml:space="preserve">Enrique </w:t>
      </w:r>
      <w:proofErr w:type="spellStart"/>
      <w:r w:rsidRPr="00FE74C3">
        <w:rPr>
          <w:rFonts w:cs="Arial"/>
          <w:i/>
          <w:sz w:val="24"/>
          <w:szCs w:val="24"/>
          <w:lang w:val="es-MX"/>
        </w:rPr>
        <w:t>German</w:t>
      </w:r>
      <w:proofErr w:type="spellEnd"/>
      <w:r w:rsidRPr="00FE74C3">
        <w:rPr>
          <w:rFonts w:cs="Arial"/>
          <w:i/>
          <w:sz w:val="24"/>
          <w:szCs w:val="24"/>
          <w:lang w:val="es-MX"/>
        </w:rPr>
        <w:t xml:space="preserve">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E424B6" w:rsidRPr="00FE74C3" w:rsidRDefault="00E424B6" w:rsidP="00E424B6">
      <w:pPr>
        <w:spacing w:after="0" w:line="240" w:lineRule="auto"/>
        <w:jc w:val="both"/>
        <w:rPr>
          <w:rFonts w:cs="Arial"/>
          <w:i/>
          <w:sz w:val="24"/>
          <w:szCs w:val="24"/>
        </w:rPr>
      </w:pPr>
      <w:r w:rsidRPr="00FE74C3">
        <w:rPr>
          <w:rFonts w:cs="Arial"/>
          <w:bCs/>
          <w:i/>
          <w:sz w:val="24"/>
          <w:szCs w:val="24"/>
        </w:rPr>
        <w:t>ACUERDO No.1</w:t>
      </w:r>
      <w:r w:rsidRPr="00FE74C3">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E424B6" w:rsidRPr="00FE74C3" w:rsidRDefault="00E424B6" w:rsidP="00E424B6">
      <w:pPr>
        <w:spacing w:after="0" w:line="240" w:lineRule="auto"/>
        <w:jc w:val="both"/>
        <w:rPr>
          <w:rFonts w:cs="Arial"/>
          <w:sz w:val="24"/>
          <w:szCs w:val="24"/>
        </w:rPr>
      </w:pPr>
      <w:r w:rsidRPr="00FE74C3">
        <w:rPr>
          <w:rFonts w:cs="Arial"/>
          <w:sz w:val="24"/>
          <w:szCs w:val="24"/>
        </w:rPr>
        <w:t>1) Gasolinera, TACUBA GAS, facturas detalladas a continuación:</w:t>
      </w:r>
    </w:p>
    <w:tbl>
      <w:tblPr>
        <w:tblStyle w:val="Tablaconcuadrcula"/>
        <w:tblW w:w="0" w:type="auto"/>
        <w:tblInd w:w="108" w:type="dxa"/>
        <w:tblLook w:val="04A0"/>
      </w:tblPr>
      <w:tblGrid>
        <w:gridCol w:w="2835"/>
        <w:gridCol w:w="3576"/>
        <w:gridCol w:w="1073"/>
        <w:gridCol w:w="1462"/>
      </w:tblGrid>
      <w:tr w:rsidR="00E424B6" w:rsidRPr="00FE74C3" w:rsidTr="00517628">
        <w:tc>
          <w:tcPr>
            <w:tcW w:w="6411" w:type="dxa"/>
            <w:gridSpan w:val="2"/>
          </w:tcPr>
          <w:p w:rsidR="00E424B6" w:rsidRPr="00FE74C3" w:rsidRDefault="00E424B6" w:rsidP="00517628">
            <w:pPr>
              <w:jc w:val="center"/>
              <w:rPr>
                <w:rFonts w:cs="Arial"/>
                <w:i/>
                <w:sz w:val="24"/>
                <w:szCs w:val="24"/>
              </w:rPr>
            </w:pPr>
            <w:r w:rsidRPr="00FE74C3">
              <w:rPr>
                <w:rFonts w:cs="Arial"/>
                <w:i/>
                <w:sz w:val="24"/>
                <w:szCs w:val="24"/>
              </w:rPr>
              <w:t>DESCRIPCIÓN</w:t>
            </w:r>
          </w:p>
        </w:tc>
        <w:tc>
          <w:tcPr>
            <w:tcW w:w="1073" w:type="dxa"/>
          </w:tcPr>
          <w:p w:rsidR="00E424B6" w:rsidRPr="00FE74C3" w:rsidRDefault="00E424B6" w:rsidP="00517628">
            <w:pPr>
              <w:jc w:val="center"/>
              <w:rPr>
                <w:rFonts w:cs="Arial"/>
                <w:i/>
                <w:sz w:val="24"/>
                <w:szCs w:val="24"/>
              </w:rPr>
            </w:pPr>
            <w:r w:rsidRPr="00FE74C3">
              <w:rPr>
                <w:rFonts w:cs="Arial"/>
                <w:i/>
                <w:sz w:val="24"/>
                <w:szCs w:val="24"/>
              </w:rPr>
              <w:t>FACT.</w:t>
            </w:r>
          </w:p>
        </w:tc>
        <w:tc>
          <w:tcPr>
            <w:tcW w:w="1462" w:type="dxa"/>
          </w:tcPr>
          <w:p w:rsidR="00E424B6" w:rsidRPr="00FE74C3" w:rsidRDefault="00E424B6" w:rsidP="00517628">
            <w:pPr>
              <w:jc w:val="center"/>
              <w:rPr>
                <w:rFonts w:cs="Arial"/>
                <w:i/>
                <w:sz w:val="24"/>
                <w:szCs w:val="24"/>
              </w:rPr>
            </w:pPr>
            <w:r w:rsidRPr="00FE74C3">
              <w:rPr>
                <w:rFonts w:cs="Arial"/>
                <w:i/>
                <w:sz w:val="24"/>
                <w:szCs w:val="24"/>
              </w:rPr>
              <w:t>MONTO</w:t>
            </w:r>
          </w:p>
        </w:tc>
      </w:tr>
      <w:tr w:rsidR="00E424B6" w:rsidRPr="00FE74C3" w:rsidTr="00517628">
        <w:tc>
          <w:tcPr>
            <w:tcW w:w="2835" w:type="dxa"/>
            <w:vMerge w:val="restart"/>
            <w:tcBorders>
              <w:top w:val="single" w:sz="4" w:space="0" w:color="auto"/>
            </w:tcBorders>
          </w:tcPr>
          <w:p w:rsidR="00E424B6" w:rsidRPr="00FE74C3" w:rsidRDefault="00E424B6" w:rsidP="00517628">
            <w:pPr>
              <w:jc w:val="center"/>
              <w:rPr>
                <w:rFonts w:cs="Arial"/>
                <w:spacing w:val="-2"/>
                <w:sz w:val="24"/>
                <w:szCs w:val="24"/>
              </w:rPr>
            </w:pPr>
            <w:r w:rsidRPr="00FE74C3">
              <w:rPr>
                <w:rFonts w:cs="Arial"/>
                <w:sz w:val="24"/>
                <w:szCs w:val="24"/>
              </w:rPr>
              <w:t xml:space="preserve">Suministro de combustible para vehículos y maquinaria municipal, correspondiente al mes de </w:t>
            </w:r>
            <w:r w:rsidRPr="00FE74C3">
              <w:rPr>
                <w:rFonts w:cs="Arial"/>
                <w:i/>
                <w:sz w:val="24"/>
                <w:szCs w:val="24"/>
              </w:rPr>
              <w:t>febrero de 2020</w:t>
            </w:r>
          </w:p>
        </w:tc>
        <w:tc>
          <w:tcPr>
            <w:tcW w:w="3576" w:type="dxa"/>
            <w:tcBorders>
              <w:top w:val="single" w:sz="4" w:space="0" w:color="auto"/>
              <w:bottom w:val="single" w:sz="4" w:space="0" w:color="auto"/>
            </w:tcBorders>
          </w:tcPr>
          <w:p w:rsidR="00E424B6" w:rsidRPr="00FE74C3" w:rsidRDefault="00E424B6" w:rsidP="00517628">
            <w:pPr>
              <w:jc w:val="both"/>
              <w:rPr>
                <w:rFonts w:cs="Arial"/>
                <w:sz w:val="24"/>
                <w:szCs w:val="24"/>
                <w:lang w:val="en-US"/>
              </w:rPr>
            </w:pPr>
            <w:r w:rsidRPr="00FE74C3">
              <w:rPr>
                <w:rFonts w:cs="Arial"/>
                <w:spacing w:val="-2"/>
                <w:sz w:val="24"/>
                <w:szCs w:val="24"/>
                <w:lang w:val="en-US"/>
              </w:rPr>
              <w:t xml:space="preserve">Camion </w:t>
            </w:r>
            <w:r w:rsidRPr="00FE74C3">
              <w:rPr>
                <w:rFonts w:cs="Arial"/>
                <w:sz w:val="24"/>
                <w:szCs w:val="24"/>
                <w:lang w:val="en-US"/>
              </w:rPr>
              <w:t>freightliner</w:t>
            </w:r>
          </w:p>
        </w:tc>
        <w:tc>
          <w:tcPr>
            <w:tcW w:w="1073" w:type="dxa"/>
            <w:tcBorders>
              <w:top w:val="single" w:sz="4" w:space="0" w:color="auto"/>
              <w:bottom w:val="single" w:sz="4" w:space="0" w:color="auto"/>
            </w:tcBorders>
          </w:tcPr>
          <w:p w:rsidR="00E424B6" w:rsidRPr="00FE74C3" w:rsidRDefault="00E424B6" w:rsidP="00517628">
            <w:pPr>
              <w:jc w:val="right"/>
              <w:rPr>
                <w:rFonts w:cs="Arial"/>
                <w:sz w:val="24"/>
                <w:szCs w:val="24"/>
                <w:lang w:val="en-US"/>
              </w:rPr>
            </w:pPr>
            <w:r w:rsidRPr="00FE74C3">
              <w:rPr>
                <w:rFonts w:cs="Arial"/>
                <w:spacing w:val="-4"/>
                <w:sz w:val="24"/>
                <w:szCs w:val="24"/>
              </w:rPr>
              <w:t>2558</w:t>
            </w:r>
          </w:p>
        </w:tc>
        <w:tc>
          <w:tcPr>
            <w:tcW w:w="1462" w:type="dxa"/>
          </w:tcPr>
          <w:p w:rsidR="00E424B6" w:rsidRPr="00FE74C3" w:rsidRDefault="00E424B6" w:rsidP="00517628">
            <w:pPr>
              <w:jc w:val="right"/>
              <w:rPr>
                <w:rFonts w:cs="Arial"/>
                <w:sz w:val="24"/>
                <w:szCs w:val="24"/>
                <w:lang w:val="en-US"/>
              </w:rPr>
            </w:pPr>
            <w:r w:rsidRPr="00FE74C3">
              <w:rPr>
                <w:rFonts w:cs="Arial"/>
                <w:sz w:val="24"/>
                <w:szCs w:val="24"/>
              </w:rPr>
              <w:t>$   154.00</w:t>
            </w:r>
          </w:p>
        </w:tc>
      </w:tr>
      <w:tr w:rsidR="00E424B6" w:rsidRPr="00FE74C3" w:rsidTr="00517628">
        <w:tc>
          <w:tcPr>
            <w:tcW w:w="2835" w:type="dxa"/>
            <w:vMerge/>
          </w:tcPr>
          <w:p w:rsidR="00E424B6" w:rsidRPr="00FE74C3" w:rsidRDefault="00E424B6" w:rsidP="00517628">
            <w:pPr>
              <w:jc w:val="both"/>
              <w:rPr>
                <w:rFonts w:cs="Arial"/>
                <w:sz w:val="24"/>
                <w:szCs w:val="24"/>
              </w:rPr>
            </w:pPr>
          </w:p>
        </w:tc>
        <w:tc>
          <w:tcPr>
            <w:tcW w:w="3576" w:type="dxa"/>
            <w:tcBorders>
              <w:top w:val="single" w:sz="4" w:space="0" w:color="auto"/>
            </w:tcBorders>
          </w:tcPr>
          <w:p w:rsidR="00E424B6" w:rsidRPr="00FE74C3" w:rsidRDefault="00E424B6" w:rsidP="00517628">
            <w:pPr>
              <w:rPr>
                <w:rFonts w:cs="Arial"/>
                <w:sz w:val="24"/>
                <w:szCs w:val="24"/>
              </w:rPr>
            </w:pPr>
            <w:r w:rsidRPr="00FE74C3">
              <w:rPr>
                <w:rFonts w:cs="Arial"/>
                <w:sz w:val="24"/>
                <w:szCs w:val="24"/>
              </w:rPr>
              <w:t>Camión recolector P-2593</w:t>
            </w:r>
          </w:p>
        </w:tc>
        <w:tc>
          <w:tcPr>
            <w:tcW w:w="1073" w:type="dxa"/>
            <w:tcBorders>
              <w:top w:val="single" w:sz="4" w:space="0" w:color="auto"/>
            </w:tcBorders>
          </w:tcPr>
          <w:p w:rsidR="00E424B6" w:rsidRPr="00FE74C3" w:rsidRDefault="00E424B6" w:rsidP="00517628">
            <w:pPr>
              <w:jc w:val="right"/>
              <w:rPr>
                <w:rFonts w:cs="Arial"/>
                <w:sz w:val="24"/>
                <w:szCs w:val="24"/>
                <w:lang w:val="en-US"/>
              </w:rPr>
            </w:pPr>
            <w:r w:rsidRPr="00FE74C3">
              <w:rPr>
                <w:rFonts w:cs="Arial"/>
                <w:spacing w:val="-4"/>
                <w:sz w:val="24"/>
                <w:szCs w:val="24"/>
              </w:rPr>
              <w:t>2555</w:t>
            </w:r>
          </w:p>
        </w:tc>
        <w:tc>
          <w:tcPr>
            <w:tcW w:w="1462" w:type="dxa"/>
          </w:tcPr>
          <w:p w:rsidR="00E424B6" w:rsidRPr="00FE74C3" w:rsidRDefault="00E424B6" w:rsidP="00517628">
            <w:pPr>
              <w:jc w:val="right"/>
              <w:rPr>
                <w:rFonts w:cs="Arial"/>
                <w:sz w:val="24"/>
                <w:szCs w:val="24"/>
                <w:lang w:val="en-US"/>
              </w:rPr>
            </w:pPr>
            <w:r w:rsidRPr="00FE74C3">
              <w:rPr>
                <w:rFonts w:cs="Arial"/>
                <w:sz w:val="24"/>
                <w:szCs w:val="24"/>
              </w:rPr>
              <w:t>$   500.00</w:t>
            </w:r>
          </w:p>
        </w:tc>
      </w:tr>
      <w:tr w:rsidR="00E424B6" w:rsidRPr="00FE74C3" w:rsidTr="00517628">
        <w:tc>
          <w:tcPr>
            <w:tcW w:w="2835" w:type="dxa"/>
            <w:vMerge/>
          </w:tcPr>
          <w:p w:rsidR="00E424B6" w:rsidRPr="00FE74C3" w:rsidRDefault="00E424B6" w:rsidP="00517628">
            <w:pPr>
              <w:jc w:val="both"/>
              <w:rPr>
                <w:rFonts w:cs="Arial"/>
                <w:sz w:val="24"/>
                <w:szCs w:val="24"/>
              </w:rPr>
            </w:pPr>
          </w:p>
        </w:tc>
        <w:tc>
          <w:tcPr>
            <w:tcW w:w="3576" w:type="dxa"/>
          </w:tcPr>
          <w:p w:rsidR="00E424B6" w:rsidRPr="00FE74C3" w:rsidRDefault="00E424B6" w:rsidP="00517628">
            <w:pPr>
              <w:jc w:val="both"/>
              <w:rPr>
                <w:rFonts w:cs="Arial"/>
                <w:sz w:val="24"/>
                <w:szCs w:val="24"/>
                <w:lang w:val="en-US"/>
              </w:rPr>
            </w:pPr>
            <w:r w:rsidRPr="00FE74C3">
              <w:rPr>
                <w:rFonts w:cs="Arial"/>
                <w:sz w:val="24"/>
                <w:szCs w:val="24"/>
              </w:rPr>
              <w:t>Ambulancia P-2283</w:t>
            </w:r>
          </w:p>
        </w:tc>
        <w:tc>
          <w:tcPr>
            <w:tcW w:w="1073" w:type="dxa"/>
          </w:tcPr>
          <w:p w:rsidR="00E424B6" w:rsidRPr="00FE74C3" w:rsidRDefault="00E424B6" w:rsidP="00517628">
            <w:pPr>
              <w:jc w:val="right"/>
              <w:rPr>
                <w:rFonts w:cs="Arial"/>
                <w:sz w:val="24"/>
                <w:szCs w:val="24"/>
                <w:lang w:val="en-US"/>
              </w:rPr>
            </w:pPr>
            <w:r w:rsidRPr="00FE74C3">
              <w:rPr>
                <w:rFonts w:cs="Arial"/>
                <w:spacing w:val="-4"/>
                <w:sz w:val="24"/>
                <w:szCs w:val="24"/>
              </w:rPr>
              <w:t>2551</w:t>
            </w:r>
          </w:p>
        </w:tc>
        <w:tc>
          <w:tcPr>
            <w:tcW w:w="1462" w:type="dxa"/>
          </w:tcPr>
          <w:p w:rsidR="00E424B6" w:rsidRPr="00FE74C3" w:rsidRDefault="00E424B6" w:rsidP="00517628">
            <w:pPr>
              <w:jc w:val="right"/>
              <w:rPr>
                <w:rFonts w:cs="Arial"/>
                <w:sz w:val="24"/>
                <w:szCs w:val="24"/>
                <w:lang w:val="en-US"/>
              </w:rPr>
            </w:pPr>
            <w:r w:rsidRPr="00FE74C3">
              <w:rPr>
                <w:rFonts w:cs="Arial"/>
                <w:sz w:val="24"/>
                <w:szCs w:val="24"/>
              </w:rPr>
              <w:t>$   331.50</w:t>
            </w:r>
          </w:p>
        </w:tc>
      </w:tr>
      <w:tr w:rsidR="00E424B6" w:rsidRPr="00FE74C3" w:rsidTr="00517628">
        <w:tc>
          <w:tcPr>
            <w:tcW w:w="2835" w:type="dxa"/>
            <w:vMerge/>
          </w:tcPr>
          <w:p w:rsidR="00E424B6" w:rsidRPr="00FE74C3" w:rsidRDefault="00E424B6" w:rsidP="00517628">
            <w:pPr>
              <w:jc w:val="both"/>
              <w:rPr>
                <w:rFonts w:cs="Arial"/>
                <w:sz w:val="24"/>
                <w:szCs w:val="24"/>
              </w:rPr>
            </w:pPr>
          </w:p>
        </w:tc>
        <w:tc>
          <w:tcPr>
            <w:tcW w:w="3576" w:type="dxa"/>
          </w:tcPr>
          <w:p w:rsidR="00E424B6" w:rsidRPr="00FE74C3" w:rsidRDefault="00E424B6" w:rsidP="00517628">
            <w:pPr>
              <w:jc w:val="both"/>
              <w:rPr>
                <w:rFonts w:cs="Arial"/>
                <w:sz w:val="24"/>
                <w:szCs w:val="24"/>
              </w:rPr>
            </w:pPr>
            <w:r w:rsidRPr="00FE74C3">
              <w:rPr>
                <w:rFonts w:cs="Arial"/>
                <w:sz w:val="24"/>
                <w:szCs w:val="24"/>
              </w:rPr>
              <w:t>Retroexcavadora</w:t>
            </w:r>
          </w:p>
        </w:tc>
        <w:tc>
          <w:tcPr>
            <w:tcW w:w="1073" w:type="dxa"/>
          </w:tcPr>
          <w:p w:rsidR="00E424B6" w:rsidRPr="00FE74C3" w:rsidRDefault="00E424B6" w:rsidP="00517628">
            <w:pPr>
              <w:jc w:val="right"/>
              <w:rPr>
                <w:rFonts w:cs="Arial"/>
                <w:spacing w:val="-4"/>
                <w:sz w:val="24"/>
                <w:szCs w:val="24"/>
              </w:rPr>
            </w:pPr>
            <w:r w:rsidRPr="00FE74C3">
              <w:rPr>
                <w:rFonts w:cs="Arial"/>
                <w:spacing w:val="-4"/>
                <w:sz w:val="24"/>
                <w:szCs w:val="24"/>
              </w:rPr>
              <w:t>2561</w:t>
            </w:r>
          </w:p>
        </w:tc>
        <w:tc>
          <w:tcPr>
            <w:tcW w:w="1462" w:type="dxa"/>
          </w:tcPr>
          <w:p w:rsidR="00E424B6" w:rsidRPr="00FE74C3" w:rsidRDefault="00E424B6" w:rsidP="00517628">
            <w:pPr>
              <w:jc w:val="right"/>
              <w:rPr>
                <w:rFonts w:cs="Arial"/>
                <w:sz w:val="24"/>
                <w:szCs w:val="24"/>
              </w:rPr>
            </w:pPr>
            <w:r w:rsidRPr="00FE74C3">
              <w:rPr>
                <w:rFonts w:cs="Arial"/>
                <w:sz w:val="24"/>
                <w:szCs w:val="24"/>
              </w:rPr>
              <w:t>$   110.00</w:t>
            </w:r>
          </w:p>
        </w:tc>
      </w:tr>
      <w:tr w:rsidR="00E424B6" w:rsidRPr="00FE74C3" w:rsidTr="00517628">
        <w:tc>
          <w:tcPr>
            <w:tcW w:w="2835" w:type="dxa"/>
            <w:vMerge/>
          </w:tcPr>
          <w:p w:rsidR="00E424B6" w:rsidRPr="00FE74C3" w:rsidRDefault="00E424B6" w:rsidP="00517628">
            <w:pPr>
              <w:jc w:val="both"/>
              <w:rPr>
                <w:rFonts w:cs="Arial"/>
                <w:sz w:val="24"/>
                <w:szCs w:val="24"/>
              </w:rPr>
            </w:pPr>
          </w:p>
        </w:tc>
        <w:tc>
          <w:tcPr>
            <w:tcW w:w="3576" w:type="dxa"/>
          </w:tcPr>
          <w:p w:rsidR="00E424B6" w:rsidRPr="00FE74C3" w:rsidRDefault="00E424B6" w:rsidP="00517628">
            <w:pPr>
              <w:jc w:val="both"/>
              <w:rPr>
                <w:rFonts w:cs="Arial"/>
                <w:sz w:val="24"/>
                <w:szCs w:val="24"/>
              </w:rPr>
            </w:pPr>
            <w:proofErr w:type="spellStart"/>
            <w:r w:rsidRPr="00FE74C3">
              <w:rPr>
                <w:rFonts w:cs="Arial"/>
                <w:sz w:val="24"/>
                <w:szCs w:val="24"/>
              </w:rPr>
              <w:t>Motoniveladora</w:t>
            </w:r>
            <w:proofErr w:type="spellEnd"/>
          </w:p>
        </w:tc>
        <w:tc>
          <w:tcPr>
            <w:tcW w:w="1073" w:type="dxa"/>
          </w:tcPr>
          <w:p w:rsidR="00E424B6" w:rsidRPr="00FE74C3" w:rsidRDefault="00E424B6" w:rsidP="00517628">
            <w:pPr>
              <w:jc w:val="right"/>
              <w:rPr>
                <w:rFonts w:cs="Arial"/>
                <w:spacing w:val="-4"/>
                <w:sz w:val="24"/>
                <w:szCs w:val="24"/>
              </w:rPr>
            </w:pPr>
            <w:r w:rsidRPr="00FE74C3">
              <w:rPr>
                <w:rFonts w:cs="Arial"/>
                <w:spacing w:val="-4"/>
                <w:sz w:val="24"/>
                <w:szCs w:val="24"/>
              </w:rPr>
              <w:t>2798</w:t>
            </w:r>
          </w:p>
        </w:tc>
        <w:tc>
          <w:tcPr>
            <w:tcW w:w="1462" w:type="dxa"/>
          </w:tcPr>
          <w:p w:rsidR="00E424B6" w:rsidRPr="00FE74C3" w:rsidRDefault="00E424B6" w:rsidP="00517628">
            <w:pPr>
              <w:jc w:val="right"/>
              <w:rPr>
                <w:rFonts w:cs="Arial"/>
                <w:sz w:val="24"/>
                <w:szCs w:val="24"/>
              </w:rPr>
            </w:pPr>
            <w:r w:rsidRPr="00FE74C3">
              <w:rPr>
                <w:rFonts w:cs="Arial"/>
                <w:sz w:val="24"/>
                <w:szCs w:val="24"/>
              </w:rPr>
              <w:t>$   197.50</w:t>
            </w:r>
          </w:p>
        </w:tc>
      </w:tr>
      <w:tr w:rsidR="00E424B6" w:rsidRPr="00FE74C3" w:rsidTr="00517628">
        <w:tc>
          <w:tcPr>
            <w:tcW w:w="2835" w:type="dxa"/>
            <w:vMerge/>
          </w:tcPr>
          <w:p w:rsidR="00E424B6" w:rsidRPr="00FE74C3" w:rsidRDefault="00E424B6" w:rsidP="00517628">
            <w:pPr>
              <w:jc w:val="both"/>
              <w:rPr>
                <w:rFonts w:cs="Arial"/>
                <w:sz w:val="24"/>
                <w:szCs w:val="24"/>
              </w:rPr>
            </w:pPr>
          </w:p>
        </w:tc>
        <w:tc>
          <w:tcPr>
            <w:tcW w:w="3576" w:type="dxa"/>
          </w:tcPr>
          <w:p w:rsidR="00E424B6" w:rsidRPr="00FE74C3" w:rsidRDefault="00E424B6" w:rsidP="00517628">
            <w:pPr>
              <w:jc w:val="both"/>
              <w:rPr>
                <w:rFonts w:cs="Arial"/>
                <w:sz w:val="24"/>
                <w:szCs w:val="24"/>
              </w:rPr>
            </w:pPr>
            <w:proofErr w:type="spellStart"/>
            <w:r w:rsidRPr="00FE74C3">
              <w:rPr>
                <w:rFonts w:cs="Arial"/>
                <w:sz w:val="24"/>
                <w:szCs w:val="24"/>
              </w:rPr>
              <w:t>Minicargador</w:t>
            </w:r>
            <w:proofErr w:type="spellEnd"/>
            <w:r w:rsidRPr="00FE74C3">
              <w:rPr>
                <w:rFonts w:cs="Arial"/>
                <w:sz w:val="24"/>
                <w:szCs w:val="24"/>
              </w:rPr>
              <w:t xml:space="preserve"> </w:t>
            </w:r>
            <w:proofErr w:type="spellStart"/>
            <w:r w:rsidRPr="00FE74C3">
              <w:rPr>
                <w:rFonts w:cs="Arial"/>
                <w:sz w:val="24"/>
                <w:szCs w:val="24"/>
              </w:rPr>
              <w:t>bobcat</w:t>
            </w:r>
            <w:proofErr w:type="spellEnd"/>
          </w:p>
        </w:tc>
        <w:tc>
          <w:tcPr>
            <w:tcW w:w="1073" w:type="dxa"/>
          </w:tcPr>
          <w:p w:rsidR="00E424B6" w:rsidRPr="00FE74C3" w:rsidRDefault="00E424B6" w:rsidP="00517628">
            <w:pPr>
              <w:jc w:val="right"/>
              <w:rPr>
                <w:rFonts w:cs="Arial"/>
                <w:spacing w:val="-4"/>
                <w:sz w:val="24"/>
                <w:szCs w:val="24"/>
              </w:rPr>
            </w:pPr>
            <w:r w:rsidRPr="00FE74C3">
              <w:rPr>
                <w:rFonts w:cs="Arial"/>
                <w:spacing w:val="-4"/>
                <w:sz w:val="24"/>
                <w:szCs w:val="24"/>
              </w:rPr>
              <w:t>2556</w:t>
            </w:r>
          </w:p>
        </w:tc>
        <w:tc>
          <w:tcPr>
            <w:tcW w:w="1462" w:type="dxa"/>
          </w:tcPr>
          <w:p w:rsidR="00E424B6" w:rsidRPr="00FE74C3" w:rsidRDefault="00E424B6" w:rsidP="00517628">
            <w:pPr>
              <w:jc w:val="right"/>
              <w:rPr>
                <w:rFonts w:cs="Arial"/>
                <w:sz w:val="24"/>
                <w:szCs w:val="24"/>
              </w:rPr>
            </w:pPr>
            <w:r w:rsidRPr="00FE74C3">
              <w:rPr>
                <w:rFonts w:cs="Arial"/>
                <w:sz w:val="24"/>
                <w:szCs w:val="24"/>
              </w:rPr>
              <w:t>$   268.35</w:t>
            </w:r>
          </w:p>
        </w:tc>
      </w:tr>
      <w:tr w:rsidR="00E424B6" w:rsidRPr="00FE74C3" w:rsidTr="00517628">
        <w:tc>
          <w:tcPr>
            <w:tcW w:w="2835" w:type="dxa"/>
            <w:vMerge/>
          </w:tcPr>
          <w:p w:rsidR="00E424B6" w:rsidRPr="00FE74C3" w:rsidRDefault="00E424B6" w:rsidP="00517628">
            <w:pPr>
              <w:jc w:val="both"/>
              <w:rPr>
                <w:rFonts w:cs="Arial"/>
                <w:spacing w:val="-2"/>
                <w:sz w:val="24"/>
                <w:szCs w:val="24"/>
                <w:lang w:val="en-US"/>
              </w:rPr>
            </w:pPr>
          </w:p>
        </w:tc>
        <w:tc>
          <w:tcPr>
            <w:tcW w:w="3576" w:type="dxa"/>
          </w:tcPr>
          <w:p w:rsidR="00E424B6" w:rsidRPr="00FE74C3" w:rsidRDefault="00E424B6" w:rsidP="00517628">
            <w:pPr>
              <w:jc w:val="both"/>
              <w:rPr>
                <w:rFonts w:cs="Arial"/>
                <w:sz w:val="24"/>
                <w:szCs w:val="24"/>
                <w:lang w:val="en-US"/>
              </w:rPr>
            </w:pPr>
            <w:r w:rsidRPr="00FE74C3">
              <w:rPr>
                <w:rFonts w:cs="Arial"/>
                <w:spacing w:val="-2"/>
                <w:sz w:val="24"/>
                <w:szCs w:val="24"/>
                <w:lang w:val="en-US"/>
              </w:rPr>
              <w:t xml:space="preserve">Pick up </w:t>
            </w:r>
            <w:proofErr w:type="spellStart"/>
            <w:r w:rsidRPr="00FE74C3">
              <w:rPr>
                <w:rFonts w:cs="Arial"/>
                <w:spacing w:val="-2"/>
                <w:sz w:val="24"/>
                <w:szCs w:val="24"/>
                <w:lang w:val="en-US"/>
              </w:rPr>
              <w:t>gris</w:t>
            </w:r>
            <w:proofErr w:type="spellEnd"/>
            <w:r w:rsidRPr="00FE74C3">
              <w:rPr>
                <w:rFonts w:cs="Arial"/>
                <w:spacing w:val="-2"/>
                <w:sz w:val="24"/>
                <w:szCs w:val="24"/>
                <w:lang w:val="en-US"/>
              </w:rPr>
              <w:t xml:space="preserve"> P-7230</w:t>
            </w:r>
          </w:p>
        </w:tc>
        <w:tc>
          <w:tcPr>
            <w:tcW w:w="1073" w:type="dxa"/>
          </w:tcPr>
          <w:p w:rsidR="00E424B6" w:rsidRPr="00FE74C3" w:rsidRDefault="00E424B6" w:rsidP="00517628">
            <w:pPr>
              <w:jc w:val="right"/>
              <w:rPr>
                <w:rFonts w:cs="Arial"/>
                <w:sz w:val="24"/>
                <w:szCs w:val="24"/>
                <w:lang w:val="en-US"/>
              </w:rPr>
            </w:pPr>
            <w:r w:rsidRPr="00FE74C3">
              <w:rPr>
                <w:rFonts w:cs="Arial"/>
                <w:spacing w:val="-4"/>
                <w:sz w:val="24"/>
                <w:szCs w:val="24"/>
                <w:lang w:val="en-US"/>
              </w:rPr>
              <w:t>2554</w:t>
            </w:r>
          </w:p>
        </w:tc>
        <w:tc>
          <w:tcPr>
            <w:tcW w:w="1462" w:type="dxa"/>
          </w:tcPr>
          <w:p w:rsidR="00E424B6" w:rsidRPr="00FE74C3" w:rsidRDefault="00E424B6" w:rsidP="00517628">
            <w:pPr>
              <w:jc w:val="right"/>
              <w:rPr>
                <w:rFonts w:cs="Arial"/>
                <w:sz w:val="24"/>
                <w:szCs w:val="24"/>
                <w:lang w:val="en-US"/>
              </w:rPr>
            </w:pPr>
            <w:r w:rsidRPr="00FE74C3">
              <w:rPr>
                <w:rFonts w:cs="Arial"/>
                <w:sz w:val="24"/>
                <w:szCs w:val="24"/>
              </w:rPr>
              <w:t>$     89.65</w:t>
            </w:r>
          </w:p>
        </w:tc>
      </w:tr>
      <w:tr w:rsidR="00E424B6" w:rsidRPr="00FE74C3" w:rsidTr="00517628">
        <w:tc>
          <w:tcPr>
            <w:tcW w:w="2835" w:type="dxa"/>
            <w:vMerge/>
          </w:tcPr>
          <w:p w:rsidR="00E424B6" w:rsidRPr="00FE74C3" w:rsidRDefault="00E424B6" w:rsidP="00517628">
            <w:pPr>
              <w:jc w:val="both"/>
              <w:rPr>
                <w:rFonts w:cs="Arial"/>
                <w:spacing w:val="-2"/>
                <w:sz w:val="24"/>
                <w:szCs w:val="24"/>
                <w:lang w:val="en-US"/>
              </w:rPr>
            </w:pPr>
          </w:p>
        </w:tc>
        <w:tc>
          <w:tcPr>
            <w:tcW w:w="3576" w:type="dxa"/>
          </w:tcPr>
          <w:p w:rsidR="00E424B6" w:rsidRPr="00FE74C3" w:rsidRDefault="00E424B6" w:rsidP="00517628">
            <w:pPr>
              <w:jc w:val="both"/>
              <w:rPr>
                <w:rFonts w:cs="Arial"/>
                <w:sz w:val="24"/>
                <w:szCs w:val="24"/>
              </w:rPr>
            </w:pPr>
            <w:r w:rsidRPr="00FE74C3">
              <w:rPr>
                <w:rFonts w:cs="Arial"/>
                <w:spacing w:val="-2"/>
                <w:sz w:val="24"/>
                <w:szCs w:val="24"/>
                <w:lang w:val="en-US"/>
              </w:rPr>
              <w:t>Pick up P-4956</w:t>
            </w:r>
          </w:p>
        </w:tc>
        <w:tc>
          <w:tcPr>
            <w:tcW w:w="1073" w:type="dxa"/>
          </w:tcPr>
          <w:p w:rsidR="00E424B6" w:rsidRPr="00FE74C3" w:rsidRDefault="00E424B6" w:rsidP="00517628">
            <w:pPr>
              <w:jc w:val="right"/>
              <w:rPr>
                <w:rFonts w:cs="Arial"/>
                <w:spacing w:val="-4"/>
                <w:sz w:val="24"/>
                <w:szCs w:val="24"/>
              </w:rPr>
            </w:pPr>
            <w:r w:rsidRPr="00FE74C3">
              <w:rPr>
                <w:rFonts w:cs="Arial"/>
                <w:spacing w:val="-4"/>
                <w:sz w:val="24"/>
                <w:szCs w:val="24"/>
              </w:rPr>
              <w:t>2553</w:t>
            </w:r>
          </w:p>
        </w:tc>
        <w:tc>
          <w:tcPr>
            <w:tcW w:w="1462" w:type="dxa"/>
          </w:tcPr>
          <w:p w:rsidR="00E424B6" w:rsidRPr="00FE74C3" w:rsidRDefault="00E424B6" w:rsidP="00517628">
            <w:pPr>
              <w:jc w:val="right"/>
              <w:rPr>
                <w:rFonts w:cs="Arial"/>
                <w:sz w:val="24"/>
                <w:szCs w:val="24"/>
              </w:rPr>
            </w:pPr>
            <w:r w:rsidRPr="00FE74C3">
              <w:rPr>
                <w:rFonts w:cs="Arial"/>
                <w:sz w:val="24"/>
                <w:szCs w:val="24"/>
              </w:rPr>
              <w:t>$   274.00</w:t>
            </w:r>
          </w:p>
        </w:tc>
      </w:tr>
      <w:tr w:rsidR="00E424B6" w:rsidRPr="00FE74C3" w:rsidTr="00517628">
        <w:tc>
          <w:tcPr>
            <w:tcW w:w="2835" w:type="dxa"/>
            <w:vMerge/>
            <w:tcBorders>
              <w:bottom w:val="single" w:sz="4" w:space="0" w:color="auto"/>
            </w:tcBorders>
          </w:tcPr>
          <w:p w:rsidR="00E424B6" w:rsidRPr="00FE74C3" w:rsidRDefault="00E424B6" w:rsidP="00517628">
            <w:pPr>
              <w:jc w:val="both"/>
              <w:rPr>
                <w:rFonts w:cs="Arial"/>
                <w:spacing w:val="-2"/>
                <w:sz w:val="24"/>
                <w:szCs w:val="24"/>
                <w:lang w:val="en-US"/>
              </w:rPr>
            </w:pPr>
          </w:p>
        </w:tc>
        <w:tc>
          <w:tcPr>
            <w:tcW w:w="3576" w:type="dxa"/>
            <w:tcBorders>
              <w:bottom w:val="single" w:sz="4" w:space="0" w:color="auto"/>
            </w:tcBorders>
          </w:tcPr>
          <w:p w:rsidR="00E424B6" w:rsidRPr="00FE74C3" w:rsidRDefault="00E424B6" w:rsidP="00517628">
            <w:pPr>
              <w:jc w:val="both"/>
              <w:rPr>
                <w:rFonts w:cs="Arial"/>
                <w:sz w:val="24"/>
                <w:szCs w:val="24"/>
              </w:rPr>
            </w:pPr>
            <w:r w:rsidRPr="00FE74C3">
              <w:rPr>
                <w:rFonts w:cs="Arial"/>
                <w:spacing w:val="-2"/>
                <w:sz w:val="24"/>
                <w:szCs w:val="24"/>
                <w:lang w:val="en-US"/>
              </w:rPr>
              <w:t>Pick up P-4936</w:t>
            </w:r>
          </w:p>
        </w:tc>
        <w:tc>
          <w:tcPr>
            <w:tcW w:w="1073" w:type="dxa"/>
          </w:tcPr>
          <w:p w:rsidR="00E424B6" w:rsidRPr="00FE74C3" w:rsidRDefault="00E424B6" w:rsidP="00517628">
            <w:pPr>
              <w:jc w:val="right"/>
              <w:rPr>
                <w:rFonts w:cs="Arial"/>
                <w:spacing w:val="-4"/>
                <w:sz w:val="24"/>
                <w:szCs w:val="24"/>
              </w:rPr>
            </w:pPr>
            <w:r w:rsidRPr="00FE74C3">
              <w:rPr>
                <w:rFonts w:cs="Arial"/>
                <w:spacing w:val="-4"/>
                <w:sz w:val="24"/>
                <w:szCs w:val="24"/>
              </w:rPr>
              <w:t>2557</w:t>
            </w:r>
          </w:p>
        </w:tc>
        <w:tc>
          <w:tcPr>
            <w:tcW w:w="1462" w:type="dxa"/>
          </w:tcPr>
          <w:p w:rsidR="00E424B6" w:rsidRPr="00FE74C3" w:rsidRDefault="00E424B6" w:rsidP="00517628">
            <w:pPr>
              <w:jc w:val="right"/>
              <w:rPr>
                <w:rFonts w:cs="Arial"/>
                <w:sz w:val="24"/>
                <w:szCs w:val="24"/>
              </w:rPr>
            </w:pPr>
            <w:r w:rsidRPr="00FE74C3">
              <w:rPr>
                <w:rFonts w:cs="Arial"/>
                <w:sz w:val="24"/>
                <w:szCs w:val="24"/>
              </w:rPr>
              <w:t>$     70.00</w:t>
            </w:r>
          </w:p>
        </w:tc>
      </w:tr>
      <w:tr w:rsidR="00E424B6" w:rsidRPr="00FE74C3" w:rsidTr="00517628">
        <w:tc>
          <w:tcPr>
            <w:tcW w:w="7484" w:type="dxa"/>
            <w:gridSpan w:val="3"/>
            <w:tcBorders>
              <w:top w:val="single" w:sz="4" w:space="0" w:color="auto"/>
            </w:tcBorders>
          </w:tcPr>
          <w:p w:rsidR="00E424B6" w:rsidRPr="00FE74C3" w:rsidRDefault="00E424B6" w:rsidP="00517628">
            <w:pPr>
              <w:jc w:val="right"/>
              <w:rPr>
                <w:rFonts w:cs="Arial"/>
                <w:sz w:val="24"/>
                <w:szCs w:val="24"/>
                <w:lang w:val="en-US"/>
              </w:rPr>
            </w:pPr>
            <w:proofErr w:type="gramStart"/>
            <w:r w:rsidRPr="00FE74C3">
              <w:rPr>
                <w:rFonts w:cs="Arial"/>
                <w:sz w:val="24"/>
                <w:szCs w:val="24"/>
              </w:rPr>
              <w:t>TOTAL  …</w:t>
            </w:r>
            <w:proofErr w:type="gramEnd"/>
            <w:r w:rsidRPr="00FE74C3">
              <w:rPr>
                <w:rFonts w:cs="Arial"/>
                <w:sz w:val="24"/>
                <w:szCs w:val="24"/>
              </w:rPr>
              <w:t>…………………………………………………</w:t>
            </w:r>
          </w:p>
        </w:tc>
        <w:tc>
          <w:tcPr>
            <w:tcW w:w="1462" w:type="dxa"/>
          </w:tcPr>
          <w:p w:rsidR="00E424B6" w:rsidRPr="00FE74C3" w:rsidRDefault="00E424B6" w:rsidP="00517628">
            <w:pPr>
              <w:jc w:val="right"/>
              <w:rPr>
                <w:rFonts w:cs="Arial"/>
                <w:sz w:val="24"/>
                <w:szCs w:val="24"/>
                <w:lang w:val="en-US"/>
              </w:rPr>
            </w:pPr>
            <w:r w:rsidRPr="00FE74C3">
              <w:rPr>
                <w:rFonts w:cs="Arial"/>
                <w:sz w:val="24"/>
                <w:szCs w:val="24"/>
                <w:lang w:val="en-US"/>
              </w:rPr>
              <w:fldChar w:fldCharType="begin"/>
            </w:r>
            <w:r w:rsidRPr="00FE74C3">
              <w:rPr>
                <w:rFonts w:cs="Arial"/>
                <w:sz w:val="24"/>
                <w:szCs w:val="24"/>
                <w:lang w:val="en-US"/>
              </w:rPr>
              <w:instrText xml:space="preserve"> =SUM(ABOVE) </w:instrText>
            </w:r>
            <w:r w:rsidRPr="00FE74C3">
              <w:rPr>
                <w:rFonts w:cs="Arial"/>
                <w:sz w:val="24"/>
                <w:szCs w:val="24"/>
                <w:lang w:val="en-US"/>
              </w:rPr>
              <w:fldChar w:fldCharType="separate"/>
            </w:r>
            <w:r w:rsidRPr="00FE74C3">
              <w:rPr>
                <w:rFonts w:cs="Arial"/>
                <w:noProof/>
                <w:sz w:val="24"/>
                <w:szCs w:val="24"/>
                <w:lang w:val="en-US"/>
              </w:rPr>
              <w:t>$1,995.00</w:t>
            </w:r>
            <w:r w:rsidRPr="00FE74C3">
              <w:rPr>
                <w:rFonts w:cs="Arial"/>
                <w:sz w:val="24"/>
                <w:szCs w:val="24"/>
                <w:lang w:val="en-US"/>
              </w:rPr>
              <w:fldChar w:fldCharType="end"/>
            </w:r>
          </w:p>
        </w:tc>
      </w:tr>
    </w:tbl>
    <w:p w:rsidR="00E424B6" w:rsidRPr="00FE74C3" w:rsidRDefault="00E424B6" w:rsidP="00E424B6">
      <w:pPr>
        <w:spacing w:after="0" w:line="240" w:lineRule="auto"/>
        <w:jc w:val="both"/>
        <w:rPr>
          <w:sz w:val="24"/>
          <w:szCs w:val="24"/>
        </w:rPr>
      </w:pPr>
      <w:r w:rsidRPr="00FE74C3">
        <w:rPr>
          <w:rFonts w:cs="Arial"/>
          <w:sz w:val="24"/>
          <w:szCs w:val="24"/>
        </w:rPr>
        <w:t xml:space="preserve">Conforme detalle en documentación anexa; con aplicación a la asignación presupuestaria respectiva. </w:t>
      </w:r>
    </w:p>
    <w:p w:rsidR="00E424B6" w:rsidRPr="00FE74C3" w:rsidRDefault="00E424B6" w:rsidP="00E424B6">
      <w:pPr>
        <w:spacing w:after="0" w:line="240" w:lineRule="auto"/>
        <w:jc w:val="both"/>
        <w:rPr>
          <w:rFonts w:cs="Arial"/>
          <w:sz w:val="24"/>
          <w:szCs w:val="24"/>
        </w:rPr>
      </w:pPr>
      <w:r w:rsidRPr="00FE74C3">
        <w:rPr>
          <w:rFonts w:cs="Arial"/>
          <w:sz w:val="24"/>
          <w:szCs w:val="24"/>
        </w:rPr>
        <w:t>2) INVERSIONES HERNANDEZ SANCHEZ S.A. DE C.V., facturas detalladas a continuación:</w:t>
      </w:r>
    </w:p>
    <w:tbl>
      <w:tblPr>
        <w:tblStyle w:val="Tablaconcuadrcula"/>
        <w:tblW w:w="0" w:type="auto"/>
        <w:tblInd w:w="108" w:type="dxa"/>
        <w:tblLayout w:type="fixed"/>
        <w:tblLook w:val="04A0"/>
      </w:tblPr>
      <w:tblGrid>
        <w:gridCol w:w="5812"/>
        <w:gridCol w:w="1276"/>
        <w:gridCol w:w="1830"/>
      </w:tblGrid>
      <w:tr w:rsidR="00E424B6" w:rsidRPr="00FE74C3" w:rsidTr="00517628">
        <w:tc>
          <w:tcPr>
            <w:tcW w:w="5812" w:type="dxa"/>
          </w:tcPr>
          <w:p w:rsidR="00E424B6" w:rsidRPr="00FE74C3" w:rsidRDefault="00E424B6" w:rsidP="00517628">
            <w:pPr>
              <w:jc w:val="center"/>
              <w:rPr>
                <w:rFonts w:cs="Arial"/>
                <w:spacing w:val="-6"/>
                <w:sz w:val="24"/>
                <w:szCs w:val="24"/>
              </w:rPr>
            </w:pPr>
            <w:r w:rsidRPr="00FE74C3">
              <w:rPr>
                <w:rFonts w:cs="Arial"/>
                <w:sz w:val="24"/>
                <w:szCs w:val="24"/>
              </w:rPr>
              <w:t>DETALLE</w:t>
            </w:r>
          </w:p>
        </w:tc>
        <w:tc>
          <w:tcPr>
            <w:tcW w:w="1276" w:type="dxa"/>
            <w:tcBorders>
              <w:right w:val="single" w:sz="4" w:space="0" w:color="auto"/>
            </w:tcBorders>
          </w:tcPr>
          <w:p w:rsidR="00E424B6" w:rsidRPr="00FE74C3" w:rsidRDefault="00E424B6" w:rsidP="00517628">
            <w:pPr>
              <w:jc w:val="center"/>
              <w:rPr>
                <w:rFonts w:cs="Arial"/>
                <w:sz w:val="24"/>
                <w:szCs w:val="24"/>
              </w:rPr>
            </w:pPr>
            <w:r w:rsidRPr="00FE74C3">
              <w:rPr>
                <w:rFonts w:cs="Arial"/>
                <w:spacing w:val="-6"/>
                <w:sz w:val="24"/>
                <w:szCs w:val="24"/>
              </w:rPr>
              <w:t>FAC.</w:t>
            </w:r>
          </w:p>
        </w:tc>
        <w:tc>
          <w:tcPr>
            <w:tcW w:w="1830" w:type="dxa"/>
            <w:tcBorders>
              <w:left w:val="single" w:sz="4" w:space="0" w:color="auto"/>
            </w:tcBorders>
          </w:tcPr>
          <w:p w:rsidR="00E424B6" w:rsidRPr="00FE74C3" w:rsidRDefault="00E424B6" w:rsidP="00517628">
            <w:pPr>
              <w:jc w:val="center"/>
              <w:rPr>
                <w:rFonts w:cs="Arial"/>
                <w:sz w:val="24"/>
                <w:szCs w:val="24"/>
              </w:rPr>
            </w:pPr>
            <w:r w:rsidRPr="00FE74C3">
              <w:rPr>
                <w:rFonts w:cs="Arial"/>
                <w:sz w:val="24"/>
                <w:szCs w:val="24"/>
              </w:rPr>
              <w:t>MONTO</w:t>
            </w:r>
          </w:p>
        </w:tc>
      </w:tr>
      <w:tr w:rsidR="00E424B6" w:rsidRPr="00FE74C3" w:rsidTr="00517628">
        <w:tc>
          <w:tcPr>
            <w:tcW w:w="5812" w:type="dxa"/>
          </w:tcPr>
          <w:p w:rsidR="00E424B6" w:rsidRPr="00FE74C3" w:rsidRDefault="00E424B6" w:rsidP="00517628">
            <w:pPr>
              <w:rPr>
                <w:rFonts w:cs="Arial"/>
                <w:sz w:val="24"/>
                <w:szCs w:val="24"/>
              </w:rPr>
            </w:pPr>
            <w:r w:rsidRPr="00FE74C3">
              <w:rPr>
                <w:rFonts w:cs="Arial"/>
                <w:sz w:val="24"/>
                <w:szCs w:val="24"/>
              </w:rPr>
              <w:t xml:space="preserve">Estimación #2 y final del proyecto: cinteado de calle que conduce a Caserío Los </w:t>
            </w:r>
            <w:proofErr w:type="spellStart"/>
            <w:r w:rsidRPr="00FE74C3">
              <w:rPr>
                <w:rFonts w:cs="Arial"/>
                <w:sz w:val="24"/>
                <w:szCs w:val="24"/>
              </w:rPr>
              <w:t>Saldañas</w:t>
            </w:r>
            <w:proofErr w:type="spellEnd"/>
            <w:r w:rsidRPr="00FE74C3">
              <w:rPr>
                <w:rFonts w:cs="Arial"/>
                <w:sz w:val="24"/>
                <w:szCs w:val="24"/>
              </w:rPr>
              <w:t>, Cantón El Rosario Municipio de Tacuba</w:t>
            </w:r>
          </w:p>
        </w:tc>
        <w:tc>
          <w:tcPr>
            <w:tcW w:w="1276" w:type="dxa"/>
            <w:tcBorders>
              <w:right w:val="single" w:sz="4" w:space="0" w:color="auto"/>
            </w:tcBorders>
          </w:tcPr>
          <w:p w:rsidR="00E424B6" w:rsidRPr="00FE74C3" w:rsidRDefault="00E424B6" w:rsidP="00517628">
            <w:pPr>
              <w:jc w:val="center"/>
              <w:rPr>
                <w:rFonts w:cs="Arial"/>
                <w:sz w:val="24"/>
                <w:szCs w:val="24"/>
              </w:rPr>
            </w:pPr>
            <w:r w:rsidRPr="00FE74C3">
              <w:rPr>
                <w:rFonts w:cs="Arial"/>
                <w:sz w:val="24"/>
                <w:szCs w:val="24"/>
              </w:rPr>
              <w:t>00050</w:t>
            </w:r>
          </w:p>
        </w:tc>
        <w:tc>
          <w:tcPr>
            <w:tcW w:w="1830" w:type="dxa"/>
            <w:tcBorders>
              <w:left w:val="single" w:sz="4" w:space="0" w:color="auto"/>
            </w:tcBorders>
          </w:tcPr>
          <w:p w:rsidR="00E424B6" w:rsidRPr="00FE74C3" w:rsidRDefault="00E424B6" w:rsidP="00517628">
            <w:pPr>
              <w:jc w:val="right"/>
              <w:rPr>
                <w:rFonts w:cs="Arial"/>
                <w:sz w:val="24"/>
                <w:szCs w:val="24"/>
              </w:rPr>
            </w:pPr>
            <w:r w:rsidRPr="00FE74C3">
              <w:rPr>
                <w:rFonts w:cs="Arial"/>
                <w:sz w:val="24"/>
                <w:szCs w:val="24"/>
              </w:rPr>
              <w:t>$ 13,276.15</w:t>
            </w:r>
          </w:p>
        </w:tc>
      </w:tr>
      <w:tr w:rsidR="00E424B6" w:rsidRPr="00FE74C3" w:rsidTr="00517628">
        <w:tc>
          <w:tcPr>
            <w:tcW w:w="5812" w:type="dxa"/>
          </w:tcPr>
          <w:p w:rsidR="00E424B6" w:rsidRPr="00FE74C3" w:rsidRDefault="00E424B6" w:rsidP="00517628">
            <w:pPr>
              <w:rPr>
                <w:rFonts w:cs="Arial"/>
                <w:sz w:val="24"/>
                <w:szCs w:val="24"/>
              </w:rPr>
            </w:pPr>
            <w:r w:rsidRPr="00FE74C3">
              <w:rPr>
                <w:rFonts w:cs="Arial"/>
                <w:sz w:val="24"/>
                <w:szCs w:val="24"/>
              </w:rPr>
              <w:t xml:space="preserve">Devolución del 5% de retención hecha en estimación #1 </w:t>
            </w:r>
            <w:r w:rsidRPr="00FE74C3">
              <w:rPr>
                <w:rFonts w:cs="Arial"/>
                <w:sz w:val="24"/>
                <w:szCs w:val="24"/>
              </w:rPr>
              <w:lastRenderedPageBreak/>
              <w:t xml:space="preserve">del proyecto: cinteado de calle que conduce a Caserío Los </w:t>
            </w:r>
            <w:proofErr w:type="spellStart"/>
            <w:r w:rsidRPr="00FE74C3">
              <w:rPr>
                <w:rFonts w:cs="Arial"/>
                <w:sz w:val="24"/>
                <w:szCs w:val="24"/>
              </w:rPr>
              <w:t>Saldañas</w:t>
            </w:r>
            <w:proofErr w:type="spellEnd"/>
            <w:r w:rsidRPr="00FE74C3">
              <w:rPr>
                <w:rFonts w:cs="Arial"/>
                <w:sz w:val="24"/>
                <w:szCs w:val="24"/>
              </w:rPr>
              <w:t>, Cantón El Rosario Municipio de Tacuba</w:t>
            </w:r>
          </w:p>
        </w:tc>
        <w:tc>
          <w:tcPr>
            <w:tcW w:w="1276" w:type="dxa"/>
            <w:tcBorders>
              <w:right w:val="single" w:sz="4" w:space="0" w:color="auto"/>
            </w:tcBorders>
          </w:tcPr>
          <w:p w:rsidR="00E424B6" w:rsidRPr="00FE74C3" w:rsidRDefault="00E424B6" w:rsidP="00517628">
            <w:pPr>
              <w:jc w:val="center"/>
              <w:rPr>
                <w:rFonts w:cs="Arial"/>
                <w:sz w:val="24"/>
                <w:szCs w:val="24"/>
              </w:rPr>
            </w:pPr>
            <w:r w:rsidRPr="00FE74C3">
              <w:rPr>
                <w:rFonts w:cs="Arial"/>
                <w:sz w:val="24"/>
                <w:szCs w:val="24"/>
              </w:rPr>
              <w:lastRenderedPageBreak/>
              <w:t>00051</w:t>
            </w:r>
          </w:p>
        </w:tc>
        <w:tc>
          <w:tcPr>
            <w:tcW w:w="1830" w:type="dxa"/>
            <w:tcBorders>
              <w:left w:val="single" w:sz="4" w:space="0" w:color="auto"/>
            </w:tcBorders>
          </w:tcPr>
          <w:p w:rsidR="00E424B6" w:rsidRPr="00FE74C3" w:rsidRDefault="00E424B6" w:rsidP="00517628">
            <w:pPr>
              <w:jc w:val="right"/>
              <w:rPr>
                <w:rFonts w:cs="Arial"/>
                <w:sz w:val="24"/>
                <w:szCs w:val="24"/>
              </w:rPr>
            </w:pPr>
            <w:r w:rsidRPr="00FE74C3">
              <w:rPr>
                <w:rFonts w:cs="Arial"/>
                <w:sz w:val="24"/>
                <w:szCs w:val="24"/>
              </w:rPr>
              <w:t>$   1,422.16</w:t>
            </w:r>
          </w:p>
        </w:tc>
      </w:tr>
      <w:tr w:rsidR="00E424B6" w:rsidRPr="00FE74C3" w:rsidTr="00517628">
        <w:tc>
          <w:tcPr>
            <w:tcW w:w="7088" w:type="dxa"/>
            <w:gridSpan w:val="2"/>
            <w:tcBorders>
              <w:right w:val="single" w:sz="4" w:space="0" w:color="auto"/>
            </w:tcBorders>
          </w:tcPr>
          <w:p w:rsidR="00E424B6" w:rsidRPr="00FE74C3" w:rsidRDefault="00E424B6" w:rsidP="00517628">
            <w:pPr>
              <w:jc w:val="center"/>
              <w:rPr>
                <w:rFonts w:cs="Arial"/>
                <w:sz w:val="24"/>
                <w:szCs w:val="24"/>
              </w:rPr>
            </w:pPr>
            <w:proofErr w:type="gramStart"/>
            <w:r w:rsidRPr="00FE74C3">
              <w:rPr>
                <w:rFonts w:cs="Arial"/>
                <w:sz w:val="24"/>
                <w:szCs w:val="24"/>
              </w:rPr>
              <w:lastRenderedPageBreak/>
              <w:t>Total …</w:t>
            </w:r>
            <w:proofErr w:type="gramEnd"/>
            <w:r w:rsidRPr="00FE74C3">
              <w:rPr>
                <w:rFonts w:cs="Arial"/>
                <w:sz w:val="24"/>
                <w:szCs w:val="24"/>
              </w:rPr>
              <w:t>…………………………………………</w:t>
            </w:r>
          </w:p>
        </w:tc>
        <w:tc>
          <w:tcPr>
            <w:tcW w:w="1830" w:type="dxa"/>
            <w:tcBorders>
              <w:left w:val="single" w:sz="4" w:space="0" w:color="auto"/>
            </w:tcBorders>
          </w:tcPr>
          <w:p w:rsidR="00E424B6" w:rsidRPr="00FE74C3" w:rsidRDefault="00E424B6" w:rsidP="00517628">
            <w:pPr>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$ 14,698.31</w:t>
            </w:r>
            <w:r w:rsidRPr="00FE74C3">
              <w:rPr>
                <w:rFonts w:cs="Arial"/>
                <w:sz w:val="24"/>
                <w:szCs w:val="24"/>
              </w:rPr>
              <w:fldChar w:fldCharType="end"/>
            </w:r>
          </w:p>
        </w:tc>
      </w:tr>
    </w:tbl>
    <w:p w:rsidR="00E424B6" w:rsidRPr="00FE74C3" w:rsidRDefault="00E424B6" w:rsidP="00E424B6">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E424B6" w:rsidRPr="00FE74C3" w:rsidRDefault="00E424B6" w:rsidP="00E424B6">
      <w:pPr>
        <w:spacing w:after="0" w:line="240" w:lineRule="auto"/>
        <w:jc w:val="both"/>
        <w:rPr>
          <w:rFonts w:cs="Arial"/>
          <w:sz w:val="24"/>
          <w:szCs w:val="24"/>
        </w:rPr>
      </w:pPr>
      <w:r w:rsidRPr="00FE74C3">
        <w:rPr>
          <w:rFonts w:cs="Arial"/>
          <w:sz w:val="24"/>
          <w:szCs w:val="24"/>
        </w:rPr>
        <w:t xml:space="preserve">3) INVERSIONES REINA CERNA, S.A. DE C.V., $17,755.29, según factura No.00050, por estimación #1, por ejecución del proyecto: Mejoramiento de tramo de calle contiguo a finca La Selva, calle El </w:t>
      </w:r>
      <w:proofErr w:type="spellStart"/>
      <w:r w:rsidRPr="00FE74C3">
        <w:rPr>
          <w:rFonts w:cs="Arial"/>
          <w:sz w:val="24"/>
          <w:szCs w:val="24"/>
        </w:rPr>
        <w:t>Chilo</w:t>
      </w:r>
      <w:proofErr w:type="spellEnd"/>
      <w:r w:rsidRPr="00FE74C3">
        <w:rPr>
          <w:rFonts w:cs="Arial"/>
          <w:sz w:val="24"/>
          <w:szCs w:val="24"/>
        </w:rPr>
        <w:t xml:space="preserve"> hacia La Cumbre, cantón El </w:t>
      </w:r>
      <w:proofErr w:type="spellStart"/>
      <w:r w:rsidRPr="00FE74C3">
        <w:rPr>
          <w:rFonts w:cs="Arial"/>
          <w:sz w:val="24"/>
          <w:szCs w:val="24"/>
        </w:rPr>
        <w:t>Sincuyo</w:t>
      </w:r>
      <w:proofErr w:type="spellEnd"/>
      <w:r w:rsidRPr="00FE74C3">
        <w:rPr>
          <w:rFonts w:cs="Arial"/>
          <w:sz w:val="24"/>
          <w:szCs w:val="24"/>
        </w:rPr>
        <w:t>, Municipio de Tacuba, conforme detalle en documentación anexa, con aplicación a la asignación presupuestaria respectiva.</w:t>
      </w:r>
    </w:p>
    <w:p w:rsidR="00E424B6" w:rsidRPr="00FE74C3" w:rsidRDefault="00E424B6" w:rsidP="00E424B6">
      <w:pPr>
        <w:spacing w:after="0" w:line="240" w:lineRule="auto"/>
        <w:jc w:val="both"/>
        <w:rPr>
          <w:rFonts w:cs="Arial"/>
          <w:sz w:val="24"/>
          <w:szCs w:val="24"/>
        </w:rPr>
      </w:pPr>
      <w:r w:rsidRPr="00FE74C3">
        <w:rPr>
          <w:rFonts w:cs="Arial"/>
          <w:bCs/>
          <w:i/>
          <w:iCs/>
          <w:sz w:val="24"/>
          <w:szCs w:val="24"/>
        </w:rPr>
        <w:t>Los concejales: Rafael Antonio Godoy Aguirre y Joel Ernesto Ramírez Acosta, manifiestan no estar de acuerdo en todos los pagos, por lo que salvan su voto en ésta resolución</w:t>
      </w:r>
      <w:r w:rsidRPr="00FE74C3">
        <w:rPr>
          <w:rFonts w:cs="Arial"/>
          <w:sz w:val="24"/>
          <w:szCs w:val="24"/>
        </w:rPr>
        <w:t>.</w:t>
      </w:r>
    </w:p>
    <w:p w:rsidR="00E424B6" w:rsidRPr="00FE74C3" w:rsidRDefault="00E424B6" w:rsidP="00E424B6">
      <w:pPr>
        <w:spacing w:after="0" w:line="240" w:lineRule="auto"/>
        <w:jc w:val="both"/>
        <w:rPr>
          <w:sz w:val="24"/>
          <w:szCs w:val="24"/>
        </w:rPr>
      </w:pPr>
      <w:r w:rsidRPr="00FE74C3">
        <w:rPr>
          <w:rFonts w:cs="Arial"/>
          <w:i/>
          <w:sz w:val="24"/>
          <w:szCs w:val="24"/>
        </w:rPr>
        <w:t>Repórtese a los Departamentos de Contabilidad y Tesorería Municipal, para efectos de legalidad y los respectivos pagos, de conformidad a la Ley. Comuníquese.</w:t>
      </w:r>
    </w:p>
    <w:p w:rsidR="00E424B6" w:rsidRPr="00FE74C3" w:rsidRDefault="00E424B6" w:rsidP="00E424B6">
      <w:pPr>
        <w:spacing w:after="0" w:line="240" w:lineRule="auto"/>
        <w:jc w:val="both"/>
        <w:rPr>
          <w:rFonts w:cs="Arial"/>
          <w:sz w:val="24"/>
          <w:szCs w:val="24"/>
        </w:rPr>
      </w:pPr>
      <w:r w:rsidRPr="00FE74C3">
        <w:rPr>
          <w:rFonts w:eastAsia="Calibri" w:cs="Arial"/>
          <w:bCs/>
          <w:i/>
          <w:sz w:val="24"/>
          <w:szCs w:val="24"/>
        </w:rPr>
        <w:t>ACUERDO No.2</w:t>
      </w:r>
      <w:r w:rsidRPr="00FE74C3">
        <w:rPr>
          <w:rFonts w:eastAsia="Calibri" w:cs="Arial"/>
          <w:i/>
          <w:sz w:val="24"/>
          <w:szCs w:val="24"/>
        </w:rPr>
        <w:t>.</w:t>
      </w:r>
      <w:r w:rsidRPr="00FE74C3">
        <w:rPr>
          <w:rFonts w:eastAsia="Calibri" w:cs="Arial"/>
          <w:sz w:val="24"/>
          <w:szCs w:val="24"/>
        </w:rPr>
        <w:t xml:space="preserve">El Concejo en uso de sus facultades legales conferidas </w:t>
      </w:r>
      <w:r w:rsidRPr="00FE74C3">
        <w:rPr>
          <w:rFonts w:cs="Arial"/>
          <w:sz w:val="24"/>
          <w:szCs w:val="24"/>
        </w:rPr>
        <w:t xml:space="preserve">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FE74C3">
        <w:rPr>
          <w:rFonts w:cs="Arial"/>
          <w:bCs/>
          <w:sz w:val="24"/>
          <w:szCs w:val="24"/>
          <w:lang w:val="es-MX"/>
        </w:rPr>
        <w:t>Asistencia Médica de Emergencias para la Salud en Clínica y Ambulancia Municipal de la Alcaldía Municipal de Tacuba; 2) Mantenimiento de Caminos Vecinales, Municipio de Tacuba, Departamento de Ahuachapán; 3) Limpieza y Ornato del Municipio de Tacuba, Departamento de Ahuachapán; 4)</w:t>
      </w:r>
      <w:r w:rsidRPr="00FE74C3">
        <w:rPr>
          <w:rFonts w:cs="Arial"/>
          <w:sz w:val="24"/>
          <w:szCs w:val="24"/>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mantenimiento de equipos informáticos, arrendamiento de bienes muebles, equipos y otros gastos previamente consignados en el presupuesto municipal; </w:t>
      </w:r>
      <w:r w:rsidRPr="00FE74C3">
        <w:rPr>
          <w:rFonts w:cs="Arial"/>
          <w:i/>
          <w:sz w:val="24"/>
          <w:szCs w:val="24"/>
        </w:rPr>
        <w:t>inclusive todos los gastos que fuesen necesarios por cualquier tipo de emergencias</w:t>
      </w:r>
      <w:r w:rsidRPr="00FE74C3">
        <w:rPr>
          <w:rFonts w:cs="Arial"/>
          <w:sz w:val="24"/>
          <w:szCs w:val="24"/>
        </w:rPr>
        <w:t xml:space="preserve">. En base a salarios y otras asignaciones establecidas en el Presupuesto Municipal, aprobado para el año </w:t>
      </w:r>
      <w:r w:rsidRPr="00FE74C3">
        <w:rPr>
          <w:rFonts w:cs="Arial"/>
          <w:i/>
          <w:sz w:val="24"/>
          <w:szCs w:val="24"/>
        </w:rPr>
        <w:t>2020</w:t>
      </w:r>
      <w:r w:rsidRPr="00FE74C3">
        <w:rPr>
          <w:rFonts w:cs="Arial"/>
          <w:sz w:val="24"/>
          <w:szCs w:val="24"/>
        </w:rPr>
        <w:t xml:space="preserve">, bajo </w:t>
      </w:r>
      <w:r w:rsidRPr="00FE74C3">
        <w:rPr>
          <w:rFonts w:cs="Arial"/>
          <w:i/>
          <w:sz w:val="24"/>
          <w:szCs w:val="24"/>
        </w:rPr>
        <w:t>DECRETO DE ORDENANZA MUNICIPAL Nº54/2019</w:t>
      </w:r>
      <w:r w:rsidRPr="00FE74C3">
        <w:rPr>
          <w:rFonts w:cs="Arial"/>
          <w:sz w:val="24"/>
          <w:szCs w:val="24"/>
        </w:rPr>
        <w:t xml:space="preserve">, DE FECHA 16 DE DICIEMBRE DE 2019, pago de (dos) Dietas a Concejales Propietarios y Suplentes $282.50 c/u; que asistan a Sesiones Ordinarias y Extraordinarias, celebradas durante el mes de </w:t>
      </w:r>
      <w:r w:rsidRPr="00FE74C3">
        <w:rPr>
          <w:rFonts w:cs="Arial"/>
          <w:bCs/>
          <w:i/>
          <w:sz w:val="24"/>
          <w:szCs w:val="24"/>
        </w:rPr>
        <w:t>ABRIL/2020</w:t>
      </w:r>
      <w:r w:rsidRPr="00FE74C3">
        <w:rPr>
          <w:rFonts w:cs="Arial"/>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2020; tomando en cuenta además los gastos de inversión y funcionamiento FODES, para el </w:t>
      </w:r>
      <w:r w:rsidRPr="00FE74C3">
        <w:rPr>
          <w:rFonts w:cs="Arial"/>
          <w:sz w:val="24"/>
          <w:szCs w:val="24"/>
        </w:rPr>
        <w:lastRenderedPageBreak/>
        <w:t xml:space="preserve">desarrollo y proyección de la Administración Municipal; con respaldo de los comprobantes de egreso para su legalización de conformidad a los Arts. 86 </w:t>
      </w:r>
      <w:proofErr w:type="gramStart"/>
      <w:r w:rsidRPr="00FE74C3">
        <w:rPr>
          <w:rFonts w:cs="Arial"/>
          <w:sz w:val="24"/>
          <w:szCs w:val="24"/>
        </w:rPr>
        <w:t>y</w:t>
      </w:r>
      <w:proofErr w:type="gramEnd"/>
      <w:r w:rsidRPr="00FE74C3">
        <w:rPr>
          <w:rFonts w:cs="Arial"/>
          <w:sz w:val="24"/>
          <w:szCs w:val="24"/>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w:t>
      </w:r>
      <w:r w:rsidRPr="00FE74C3">
        <w:rPr>
          <w:rFonts w:cs="Arial"/>
          <w:i/>
          <w:sz w:val="24"/>
          <w:szCs w:val="24"/>
        </w:rPr>
        <w:t>REF 1321726380, $37,190.56</w:t>
      </w:r>
      <w:r w:rsidRPr="00FE74C3">
        <w:rPr>
          <w:rFonts w:cs="Arial"/>
          <w:sz w:val="24"/>
          <w:szCs w:val="24"/>
        </w:rPr>
        <w:t xml:space="preserve">; por capital e intereses al </w:t>
      </w:r>
      <w:r w:rsidRPr="00FE74C3">
        <w:rPr>
          <w:rFonts w:cs="Arial"/>
          <w:i/>
          <w:sz w:val="24"/>
          <w:szCs w:val="24"/>
        </w:rPr>
        <w:t>BANCO ATLANTIDA EL SALVADOR S.A</w:t>
      </w:r>
      <w:r w:rsidRPr="00FE74C3">
        <w:rPr>
          <w:rFonts w:cs="Arial"/>
          <w:sz w:val="24"/>
          <w:szCs w:val="24"/>
        </w:rPr>
        <w:t xml:space="preserve">., autorizando al Señor Tesorero Municipal; para que efectúe los pagos correspondientes. </w:t>
      </w:r>
      <w:r w:rsidRPr="00FE74C3">
        <w:rPr>
          <w:rFonts w:cs="Arial"/>
          <w:i/>
          <w:iCs/>
          <w:sz w:val="24"/>
          <w:szCs w:val="24"/>
        </w:rPr>
        <w:t>Además, se autoriza al Señor Tesorero Municipal, para que haga efectivos los respectivos pagos de los guías familiares y el coordinador, que labora</w:t>
      </w:r>
      <w:r w:rsidRPr="00FE74C3">
        <w:rPr>
          <w:rFonts w:eastAsia="Calibri" w:cs="Arial"/>
          <w:i/>
          <w:iCs/>
          <w:sz w:val="24"/>
          <w:szCs w:val="24"/>
        </w:rPr>
        <w:t>n la ejecución del programa: Estrategia de Erradicación de la pobreza en el Municipio de Tacuba, ESTRATEGIA DE ERRADICACIÓN DE LA POBREZA FAMILIAS SOSTENIBLES EN EL MUNICIPIO DE TACUBA, de conformidad a lo establecido en el convenio de cooperación firmado con el Fondo de Inversión Social para el Desarrollo Local FISDL</w:t>
      </w:r>
      <w:r w:rsidRPr="00FE74C3">
        <w:rPr>
          <w:rFonts w:eastAsia="Calibri" w:cs="Arial"/>
          <w:sz w:val="24"/>
          <w:szCs w:val="24"/>
        </w:rPr>
        <w:t xml:space="preserve">. </w:t>
      </w:r>
      <w:r w:rsidRPr="00FE74C3">
        <w:rPr>
          <w:rFonts w:cs="Arial"/>
          <w:i/>
          <w:sz w:val="24"/>
          <w:szCs w:val="24"/>
        </w:rPr>
        <w:t xml:space="preserve">Los concejales: </w:t>
      </w:r>
      <w:r w:rsidRPr="00FE74C3">
        <w:rPr>
          <w:rFonts w:cs="Arial"/>
          <w:i/>
          <w:sz w:val="24"/>
          <w:szCs w:val="24"/>
          <w:lang w:val="es-MX"/>
        </w:rPr>
        <w:t>Joel Ernesto Ramírez Acosta</w:t>
      </w:r>
      <w:r w:rsidRPr="00FE74C3">
        <w:rPr>
          <w:rFonts w:cs="Arial"/>
          <w:i/>
          <w:sz w:val="24"/>
          <w:szCs w:val="24"/>
        </w:rPr>
        <w:t>, Rafael Antonio Godoy Aguirre</w:t>
      </w:r>
      <w:r w:rsidRPr="00FE74C3">
        <w:rPr>
          <w:rFonts w:cs="Arial"/>
          <w:i/>
          <w:sz w:val="24"/>
          <w:szCs w:val="24"/>
          <w:lang w:val="es-MX"/>
        </w:rPr>
        <w:t>;</w:t>
      </w:r>
      <w:r w:rsidRPr="00FE74C3">
        <w:rPr>
          <w:rFonts w:cs="Arial"/>
          <w:i/>
          <w:sz w:val="24"/>
          <w:szCs w:val="24"/>
        </w:rPr>
        <w:t xml:space="preserve"> salvan su voto en esta resolución, manifestando no estar de acuerdo porque a su criterio debería de ser específico el acuerdo para cada pago. </w:t>
      </w:r>
      <w:r w:rsidRPr="00FE74C3">
        <w:rPr>
          <w:rFonts w:cs="Arial"/>
          <w:sz w:val="24"/>
          <w:szCs w:val="24"/>
        </w:rPr>
        <w:t>Comuníquese.</w:t>
      </w:r>
    </w:p>
    <w:p w:rsidR="00E424B6" w:rsidRPr="00FE74C3" w:rsidRDefault="00E424B6" w:rsidP="00E424B6">
      <w:pPr>
        <w:spacing w:after="0" w:line="240" w:lineRule="auto"/>
        <w:jc w:val="both"/>
        <w:rPr>
          <w:rFonts w:cs="Arial"/>
          <w:sz w:val="24"/>
          <w:szCs w:val="24"/>
        </w:rPr>
      </w:pPr>
      <w:r w:rsidRPr="00FE74C3">
        <w:rPr>
          <w:rFonts w:eastAsia="Calibri" w:cs="Arial"/>
          <w:bCs/>
          <w:i/>
          <w:sz w:val="24"/>
          <w:szCs w:val="24"/>
        </w:rPr>
        <w:t>ACUERDO No.3</w:t>
      </w:r>
      <w:r w:rsidRPr="00FE74C3">
        <w:rPr>
          <w:rFonts w:eastAsia="Calibri" w:cs="Arial"/>
          <w:i/>
          <w:sz w:val="24"/>
          <w:szCs w:val="24"/>
        </w:rPr>
        <w:t>.</w:t>
      </w:r>
      <w:r w:rsidRPr="00FE74C3">
        <w:rPr>
          <w:rFonts w:cs="Arial"/>
          <w:sz w:val="24"/>
          <w:szCs w:val="24"/>
        </w:rPr>
        <w:t xml:space="preserve">El Concejo en uso de sus facultades legales conferidas por el Código Municipal y Constitución de la República, ACUERDA: Autorizar que se efectúen las reprogramaciones y reformas presupuestarias que sean necesarias durante el mes de </w:t>
      </w:r>
      <w:r w:rsidRPr="00FE74C3">
        <w:rPr>
          <w:rFonts w:cs="Arial"/>
          <w:i/>
          <w:sz w:val="24"/>
          <w:szCs w:val="24"/>
        </w:rPr>
        <w:t>ABRIL/2020</w:t>
      </w:r>
      <w:r w:rsidRPr="00FE74C3">
        <w:rPr>
          <w:rFonts w:cs="Arial"/>
          <w:sz w:val="24"/>
          <w:szCs w:val="24"/>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FE74C3">
        <w:rPr>
          <w:rFonts w:cs="Arial"/>
          <w:i/>
          <w:sz w:val="24"/>
          <w:szCs w:val="24"/>
        </w:rPr>
        <w:t xml:space="preserve">Los concejales: </w:t>
      </w:r>
      <w:r w:rsidRPr="00FE74C3">
        <w:rPr>
          <w:rFonts w:cs="Arial"/>
          <w:i/>
          <w:sz w:val="24"/>
          <w:szCs w:val="24"/>
          <w:lang w:val="es-MX"/>
        </w:rPr>
        <w:t>Joel Ernesto Ramírez Acosta</w:t>
      </w:r>
      <w:r w:rsidRPr="00FE74C3">
        <w:rPr>
          <w:rFonts w:cs="Arial"/>
          <w:i/>
          <w:sz w:val="24"/>
          <w:szCs w:val="24"/>
        </w:rPr>
        <w:t xml:space="preserve">, Rafael Antonio Godoy Aguirre y María Guadalupe Rivera </w:t>
      </w:r>
      <w:proofErr w:type="spellStart"/>
      <w:r w:rsidRPr="00FE74C3">
        <w:rPr>
          <w:rFonts w:cs="Arial"/>
          <w:i/>
          <w:sz w:val="24"/>
          <w:szCs w:val="24"/>
        </w:rPr>
        <w:t>Diaz</w:t>
      </w:r>
      <w:proofErr w:type="spellEnd"/>
      <w:r w:rsidRPr="00FE74C3">
        <w:rPr>
          <w:rFonts w:cs="Arial"/>
          <w:i/>
          <w:sz w:val="24"/>
          <w:szCs w:val="24"/>
          <w:lang w:val="es-MX"/>
        </w:rPr>
        <w:t xml:space="preserve">; </w:t>
      </w:r>
      <w:r w:rsidRPr="00FE74C3">
        <w:rPr>
          <w:rFonts w:cs="Arial"/>
          <w:i/>
          <w:sz w:val="24"/>
          <w:szCs w:val="24"/>
        </w:rPr>
        <w:t>salvan su voto en este acuerdo, manifestando que acompañarán las reformas necesarias, hasta que vean el punto específico de cada reforma</w:t>
      </w:r>
      <w:r w:rsidRPr="00FE74C3">
        <w:rPr>
          <w:rFonts w:cs="Arial"/>
          <w:sz w:val="24"/>
          <w:szCs w:val="24"/>
        </w:rPr>
        <w:t>. Comuníquese.</w:t>
      </w:r>
    </w:p>
    <w:p w:rsidR="00E424B6" w:rsidRPr="00FE74C3" w:rsidRDefault="00E424B6" w:rsidP="00E424B6">
      <w:pPr>
        <w:spacing w:after="0" w:line="240" w:lineRule="auto"/>
        <w:jc w:val="both"/>
        <w:rPr>
          <w:rFonts w:cs="Arial"/>
          <w:bCs/>
          <w:sz w:val="24"/>
          <w:szCs w:val="24"/>
        </w:rPr>
      </w:pPr>
      <w:r w:rsidRPr="00FE74C3">
        <w:rPr>
          <w:rFonts w:cs="Arial"/>
          <w:bCs/>
          <w:i/>
          <w:sz w:val="24"/>
          <w:szCs w:val="24"/>
        </w:rPr>
        <w:t>ACUERDO No.4</w:t>
      </w:r>
      <w:r w:rsidRPr="00FE74C3">
        <w:rPr>
          <w:rFonts w:eastAsia="Times New Roman" w:cs="Arial"/>
          <w:i/>
          <w:sz w:val="24"/>
          <w:szCs w:val="24"/>
        </w:rPr>
        <w:t>.</w:t>
      </w:r>
      <w:r w:rsidRPr="00FE74C3">
        <w:rPr>
          <w:rFonts w:cs="Arial"/>
          <w:bCs/>
          <w:sz w:val="24"/>
          <w:szCs w:val="24"/>
        </w:rPr>
        <w:t xml:space="preserve"> En base a las facultades legales que le confiere el Código Municipal, y considerando que en fecha 14 de marzo la Asamblea Legislativa emitió el </w:t>
      </w:r>
      <w:r w:rsidRPr="00FE74C3">
        <w:rPr>
          <w:rFonts w:cs="Arial"/>
          <w:bCs/>
          <w:i/>
          <w:sz w:val="24"/>
          <w:szCs w:val="24"/>
        </w:rPr>
        <w:t>decreto No.593</w:t>
      </w:r>
      <w:r w:rsidRPr="00FE74C3">
        <w:rPr>
          <w:rFonts w:cs="Arial"/>
          <w:bCs/>
          <w:sz w:val="24"/>
          <w:szCs w:val="24"/>
        </w:rPr>
        <w:t xml:space="preserve"> donde declaran ESTADO DE EMERGENCIA NACIONAL DE LA PANDEMIA POR COVID-19, y que según </w:t>
      </w:r>
      <w:r w:rsidRPr="00FE74C3">
        <w:rPr>
          <w:rFonts w:cs="Arial"/>
          <w:bCs/>
          <w:i/>
          <w:sz w:val="24"/>
          <w:szCs w:val="24"/>
        </w:rPr>
        <w:t>decreto No. 594</w:t>
      </w:r>
      <w:r w:rsidRPr="00FE74C3">
        <w:rPr>
          <w:rFonts w:cs="Arial"/>
          <w:bCs/>
          <w:sz w:val="24"/>
          <w:szCs w:val="24"/>
        </w:rPr>
        <w:t xml:space="preserve"> de la misma fecha decretaron la LEY DE RESTRICCION TEMPORAL DE DERECHOS CONSTITUCIONALES CONCRETOS PARA LA ATENDER LA PANDEMIA COVID-19,  y el </w:t>
      </w:r>
      <w:r w:rsidRPr="00FE74C3">
        <w:rPr>
          <w:rFonts w:cs="Arial"/>
          <w:bCs/>
          <w:i/>
          <w:sz w:val="24"/>
          <w:szCs w:val="24"/>
        </w:rPr>
        <w:t>decreto No.587</w:t>
      </w:r>
      <w:r w:rsidRPr="00FE74C3">
        <w:rPr>
          <w:rFonts w:cs="Arial"/>
          <w:bCs/>
          <w:sz w:val="24"/>
          <w:szCs w:val="24"/>
        </w:rPr>
        <w:t xml:space="preserve">, de fecha 12 de marzo de 2020, mediante el cual se autoriza a los Municipios para que puedan utilizar hasta el 50% del 75% FODES, correspondiente a los meses de febrero y marzo, para campañas de prevención y enfrentar las afectaciones que les hayan generado el CORONAVIRUS o COVID-.19 y que en el municipio se vuelve necesario para hacerle frente a la emergencia la adquisición de artículos y  productos destinados a la prevención del virus, salvaguardado así la salud de nuestros habitantes; por lo que éste Concejo Municipal; ACUERDA: </w:t>
      </w:r>
      <w:r w:rsidRPr="00FE74C3">
        <w:rPr>
          <w:rFonts w:cs="Arial"/>
          <w:i/>
          <w:sz w:val="24"/>
          <w:szCs w:val="24"/>
        </w:rPr>
        <w:t>AUTORIZAR LA UTILIZACION DE RECURSOS PARA LA ATENCION DE LA EMERGENCIA NACIONAL DE LA PANDEMIA COVID-19</w:t>
      </w:r>
      <w:r w:rsidRPr="00FE74C3">
        <w:rPr>
          <w:rFonts w:cs="Arial"/>
          <w:sz w:val="24"/>
          <w:szCs w:val="24"/>
        </w:rPr>
        <w:t xml:space="preserve">,hasta por un monto de </w:t>
      </w:r>
      <w:r w:rsidRPr="00FE74C3">
        <w:rPr>
          <w:rFonts w:cs="Arial"/>
          <w:i/>
          <w:sz w:val="24"/>
          <w:szCs w:val="24"/>
        </w:rPr>
        <w:t>TREINTA MIL 00/100 DOLARES ($30,000.00)</w:t>
      </w:r>
      <w:r w:rsidRPr="00FE74C3">
        <w:rPr>
          <w:rFonts w:cs="Arial"/>
          <w:bCs/>
          <w:sz w:val="24"/>
          <w:szCs w:val="24"/>
        </w:rPr>
        <w:t xml:space="preserve">, los cuales serán financiados con Recursos del FODES 75%,  al mismo tiempo se autoriza a la unidad financiera realizar los ajustes presupuestarios respectivos, a la UACI efectuar los </w:t>
      </w:r>
      <w:r w:rsidRPr="00FE74C3">
        <w:rPr>
          <w:rFonts w:cs="Arial"/>
          <w:bCs/>
          <w:sz w:val="24"/>
          <w:szCs w:val="24"/>
        </w:rPr>
        <w:lastRenderedPageBreak/>
        <w:t>procesos de compras directas necesarias, y al Señor Tesorero Municipal efectuar los pagos correspondientes. Comuníquese.</w:t>
      </w:r>
    </w:p>
    <w:p w:rsidR="00E424B6" w:rsidRPr="00FE74C3" w:rsidRDefault="00E424B6" w:rsidP="00E424B6">
      <w:pPr>
        <w:spacing w:after="0" w:line="240" w:lineRule="auto"/>
        <w:jc w:val="both"/>
        <w:rPr>
          <w:rFonts w:cs="Arial"/>
          <w:bCs/>
          <w:sz w:val="24"/>
          <w:szCs w:val="24"/>
        </w:rPr>
      </w:pPr>
      <w:r w:rsidRPr="00FE74C3">
        <w:rPr>
          <w:rFonts w:cs="Arial"/>
          <w:bCs/>
          <w:i/>
          <w:sz w:val="24"/>
          <w:szCs w:val="24"/>
        </w:rPr>
        <w:t>ACUERDO No.5</w:t>
      </w:r>
      <w:r w:rsidRPr="00FE74C3">
        <w:rPr>
          <w:rFonts w:eastAsia="Times New Roman"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HIPOTECARIO DE EL SALVADOR, S.A.</w:t>
      </w:r>
      <w:r w:rsidRPr="00FE74C3">
        <w:rPr>
          <w:rFonts w:cs="Arial"/>
          <w:spacing w:val="-2"/>
          <w:sz w:val="24"/>
          <w:szCs w:val="24"/>
        </w:rPr>
        <w:t xml:space="preserve">, cancelando el valor de la chequera con fondos de la Cuenta Corriente que se denomina FONDO COMÚN MUNICIPAL, No.00300110297, para la realización de los pagos </w:t>
      </w:r>
      <w:r w:rsidRPr="00FE74C3">
        <w:rPr>
          <w:rFonts w:cs="Arial"/>
          <w:sz w:val="24"/>
          <w:szCs w:val="24"/>
        </w:rPr>
        <w:t xml:space="preserve">para: </w:t>
      </w:r>
      <w:r w:rsidRPr="00FE74C3">
        <w:rPr>
          <w:rFonts w:cs="Arial"/>
          <w:i/>
          <w:sz w:val="24"/>
          <w:szCs w:val="24"/>
        </w:rPr>
        <w:t>ATENCION DE LA EMERGENCIA NACIONAL DE LA PANDEMIA COVID-19</w:t>
      </w:r>
      <w:r w:rsidRPr="00FE74C3">
        <w:rPr>
          <w:rFonts w:cs="Arial"/>
          <w:spacing w:val="-2"/>
          <w:sz w:val="24"/>
          <w:szCs w:val="24"/>
        </w:rPr>
        <w:t xml:space="preserve">, transfiriendo la cantidad de </w:t>
      </w:r>
      <w:r w:rsidRPr="00FE74C3">
        <w:rPr>
          <w:rFonts w:cs="Arial"/>
          <w:i/>
          <w:spacing w:val="-2"/>
          <w:sz w:val="24"/>
          <w:szCs w:val="24"/>
        </w:rPr>
        <w:t>$30,000.00</w:t>
      </w:r>
      <w:r w:rsidRPr="00FE74C3">
        <w:rPr>
          <w:rFonts w:cs="Arial"/>
          <w:spacing w:val="-2"/>
          <w:sz w:val="24"/>
          <w:szCs w:val="24"/>
        </w:rPr>
        <w:t xml:space="preserve">, de la Cuenta de Ahorro del mismo Banco, No. 01300074550 Fondo de Inversión FODES 75%; </w:t>
      </w:r>
      <w:r w:rsidRPr="00FE74C3">
        <w:rPr>
          <w:rFonts w:cs="Arial"/>
          <w:sz w:val="24"/>
          <w:szCs w:val="24"/>
        </w:rPr>
        <w:t xml:space="preserve">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E424B6" w:rsidRPr="00FE74C3" w:rsidRDefault="00E424B6" w:rsidP="00E424B6">
      <w:pPr>
        <w:spacing w:after="0" w:line="240" w:lineRule="auto"/>
        <w:jc w:val="both"/>
        <w:rPr>
          <w:rFonts w:cs="Arial"/>
          <w:spacing w:val="-2"/>
          <w:sz w:val="24"/>
          <w:szCs w:val="24"/>
        </w:rPr>
      </w:pPr>
      <w:r w:rsidRPr="00FE74C3">
        <w:rPr>
          <w:rFonts w:cs="Arial"/>
          <w:bCs/>
          <w:i/>
          <w:sz w:val="24"/>
          <w:szCs w:val="24"/>
        </w:rPr>
        <w:t>ACUERDO No.6</w:t>
      </w:r>
      <w:r w:rsidRPr="00FE74C3">
        <w:rPr>
          <w:rFonts w:eastAsia="Times New Roman" w:cs="Arial"/>
          <w:i/>
          <w:sz w:val="24"/>
          <w:szCs w:val="24"/>
        </w:rPr>
        <w:t>.</w:t>
      </w:r>
      <w:r w:rsidRPr="00FE74C3">
        <w:rPr>
          <w:rFonts w:cs="Arial"/>
          <w:spacing w:val="-2"/>
          <w:sz w:val="24"/>
          <w:szCs w:val="24"/>
        </w:rPr>
        <w:t>En base a las facultades legales que le confiere el Código Municipal y la LACAP; el Concejo; ACUERDA: Realizar suspensión administrativa para todos los proyectos de infraestructura que están en ejecución en éste momento, debido a disposiciones tomadas por la Presidencia de la República de El Salvador, el día 21 de marzo de 2020, donde se establece una cuarentena domiciliar por un período de 30 días calendario para minimizar el riesgo de contagio de COVID-19 “coronavirus”, los que serán reiniciados después de finalizada la cuarentena; autorizando realizar todas las acciones legales que sean necesarias. Comuníquese.</w:t>
      </w:r>
    </w:p>
    <w:p w:rsidR="00E424B6" w:rsidRPr="00FE74C3" w:rsidRDefault="00E424B6" w:rsidP="00E424B6">
      <w:pPr>
        <w:spacing w:after="0" w:line="240" w:lineRule="auto"/>
        <w:jc w:val="both"/>
        <w:rPr>
          <w:rFonts w:cs="Arial"/>
          <w:bCs/>
          <w:sz w:val="24"/>
          <w:szCs w:val="24"/>
        </w:rPr>
      </w:pPr>
      <w:r w:rsidRPr="00FE74C3">
        <w:rPr>
          <w:rFonts w:cs="Arial"/>
          <w:bCs/>
          <w:i/>
          <w:sz w:val="24"/>
          <w:szCs w:val="24"/>
        </w:rPr>
        <w:t>ACUERDO No.7</w:t>
      </w:r>
      <w:r w:rsidRPr="00FE74C3">
        <w:rPr>
          <w:rFonts w:eastAsia="Times New Roman" w:cs="Arial"/>
          <w:i/>
          <w:sz w:val="24"/>
          <w:szCs w:val="24"/>
        </w:rPr>
        <w:t>.</w:t>
      </w:r>
      <w:r w:rsidRPr="00FE74C3">
        <w:rPr>
          <w:rFonts w:cs="Arial"/>
          <w:spacing w:val="-2"/>
          <w:sz w:val="24"/>
          <w:szCs w:val="24"/>
        </w:rPr>
        <w:t xml:space="preserve">En base a las facultades legales que le confiere el Código Municipal y la LACAP; y </w:t>
      </w:r>
      <w:r w:rsidRPr="00FE74C3">
        <w:rPr>
          <w:rFonts w:cs="Arial"/>
          <w:bCs/>
          <w:sz w:val="24"/>
          <w:szCs w:val="24"/>
        </w:rPr>
        <w:t xml:space="preserve">a las facultades legales que le confiere el Código Municipal, y visto el resultado del proceso de Libre Gestión No. 20200062, para la los servicios de Supervisión del Proyecto: </w:t>
      </w:r>
      <w:r w:rsidRPr="00FE74C3">
        <w:rPr>
          <w:rFonts w:cs="Arial"/>
          <w:i/>
          <w:iCs/>
          <w:sz w:val="24"/>
          <w:szCs w:val="24"/>
        </w:rPr>
        <w:t>ELECTRIFICACIÓN EN DIFERENTES CASERIOS Y CANTONES DEL MUNICIPIO DE TACUBA</w:t>
      </w:r>
      <w:r w:rsidRPr="00FE74C3">
        <w:rPr>
          <w:rFonts w:cs="Arial"/>
          <w:bCs/>
          <w:sz w:val="24"/>
          <w:szCs w:val="24"/>
        </w:rPr>
        <w:t xml:space="preserve">,  este Concejo; ACUERDA: Adjudicar al Ingeniero </w:t>
      </w:r>
      <w:r w:rsidRPr="00FE74C3">
        <w:rPr>
          <w:rFonts w:cs="Arial"/>
          <w:sz w:val="24"/>
          <w:szCs w:val="24"/>
        </w:rPr>
        <w:t>PORFIRIO ANTONIO ROMERO ALVAREZ</w:t>
      </w:r>
      <w:r w:rsidRPr="00FE74C3">
        <w:rPr>
          <w:rFonts w:cs="Arial"/>
          <w:bCs/>
          <w:sz w:val="24"/>
          <w:szCs w:val="24"/>
        </w:rPr>
        <w:t xml:space="preserve">,  los Servicios de Supervisión para el proyecto: </w:t>
      </w:r>
      <w:r w:rsidRPr="00FE74C3">
        <w:rPr>
          <w:rFonts w:cs="Arial"/>
          <w:i/>
          <w:iCs/>
          <w:sz w:val="24"/>
          <w:szCs w:val="24"/>
        </w:rPr>
        <w:t>ELECTRIFICACION EN DIFERENTES CASERIOS Y CANTONES DEL MUNICIPIO DE TACUBA</w:t>
      </w:r>
      <w:r w:rsidRPr="00FE74C3">
        <w:rPr>
          <w:rFonts w:cs="Arial"/>
          <w:bCs/>
          <w:sz w:val="24"/>
          <w:szCs w:val="24"/>
        </w:rPr>
        <w:t xml:space="preserve">, por un Monto de DIEZ MIL SETECIENTOS VEINTICUATRO 83/100 DOLARES </w:t>
      </w:r>
      <w:r w:rsidRPr="00FE74C3">
        <w:rPr>
          <w:rFonts w:cs="Arial"/>
          <w:sz w:val="24"/>
          <w:szCs w:val="24"/>
        </w:rPr>
        <w:t>($10,724.83)</w:t>
      </w:r>
      <w:r w:rsidRPr="00FE74C3">
        <w:rPr>
          <w:rFonts w:cs="Arial"/>
          <w:bCs/>
          <w:sz w:val="24"/>
          <w:szCs w:val="24"/>
        </w:rPr>
        <w:t>, por ser oferente único según lo establece el Art. 63 de la LACAP, y además cumple con todos los requisitos establecidos en las Bases fijas y Variables del proceso de Contratación de los Servicios de Supervisión para el proyecto en referencia. Comuníquese.</w:t>
      </w:r>
    </w:p>
    <w:p w:rsidR="00E424B6" w:rsidRPr="00FE74C3" w:rsidRDefault="00E424B6" w:rsidP="00E424B6">
      <w:pPr>
        <w:spacing w:after="0" w:line="240" w:lineRule="auto"/>
        <w:jc w:val="both"/>
        <w:rPr>
          <w:rFonts w:cs="Arial"/>
          <w:sz w:val="24"/>
          <w:szCs w:val="24"/>
        </w:rPr>
      </w:pPr>
    </w:p>
    <w:p w:rsidR="00E424B6" w:rsidRPr="00FE74C3" w:rsidRDefault="00E424B6" w:rsidP="00E424B6">
      <w:pPr>
        <w:spacing w:after="0" w:line="240" w:lineRule="auto"/>
        <w:jc w:val="both"/>
        <w:rPr>
          <w:rFonts w:cs="Arial"/>
          <w:sz w:val="24"/>
          <w:szCs w:val="24"/>
        </w:rPr>
      </w:pPr>
      <w:r w:rsidRPr="00FE74C3">
        <w:rPr>
          <w:rFonts w:cs="Arial"/>
          <w:sz w:val="24"/>
          <w:szCs w:val="24"/>
        </w:rPr>
        <w:t>Y no habiendo más que hacer constar se cierra la presente acta que firmamos después de leída.</w:t>
      </w:r>
    </w:p>
    <w:p w:rsidR="00E424B6" w:rsidRPr="00FE74C3" w:rsidRDefault="00E424B6" w:rsidP="00E424B6">
      <w:pPr>
        <w:spacing w:after="0" w:line="240" w:lineRule="auto"/>
        <w:jc w:val="both"/>
        <w:rPr>
          <w:rFonts w:cs="Arial"/>
          <w:sz w:val="24"/>
          <w:szCs w:val="24"/>
        </w:rPr>
      </w:pPr>
    </w:p>
    <w:p w:rsidR="00E424B6" w:rsidRPr="00FE74C3" w:rsidRDefault="00E424B6" w:rsidP="00E424B6">
      <w:pPr>
        <w:spacing w:after="0" w:line="240" w:lineRule="auto"/>
        <w:jc w:val="both"/>
        <w:rPr>
          <w:rFonts w:cs="Arial"/>
          <w:sz w:val="24"/>
          <w:szCs w:val="24"/>
        </w:rPr>
      </w:pPr>
    </w:p>
    <w:p w:rsidR="00E424B6" w:rsidRPr="00FE74C3" w:rsidRDefault="00E424B6" w:rsidP="00E424B6">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E424B6" w:rsidRPr="00FE74C3" w:rsidTr="00517628">
        <w:tc>
          <w:tcPr>
            <w:tcW w:w="4479" w:type="dxa"/>
            <w:tcBorders>
              <w:top w:val="single" w:sz="4" w:space="0" w:color="FFFFFF"/>
              <w:left w:val="single" w:sz="4" w:space="0" w:color="FFFFFF"/>
              <w:bottom w:val="single" w:sz="4" w:space="0" w:color="FFFFFF"/>
              <w:right w:val="single" w:sz="4" w:space="0" w:color="FFFFFF"/>
            </w:tcBorders>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 xml:space="preserve">Francisco </w:t>
            </w:r>
            <w:proofErr w:type="spellStart"/>
            <w:r w:rsidRPr="00FE74C3">
              <w:rPr>
                <w:rFonts w:cs="Arial"/>
                <w:sz w:val="24"/>
                <w:szCs w:val="24"/>
                <w:lang w:eastAsia="en-US"/>
              </w:rPr>
              <w:t>Ruvide</w:t>
            </w:r>
            <w:proofErr w:type="spellEnd"/>
            <w:r w:rsidRPr="00FE74C3">
              <w:rPr>
                <w:rFonts w:cs="Arial"/>
                <w:sz w:val="24"/>
                <w:szCs w:val="24"/>
                <w:lang w:eastAsia="en-US"/>
              </w:rPr>
              <w:t xml:space="preserve"> Cruz Ruiz</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E424B6" w:rsidRPr="00FE74C3" w:rsidTr="00517628">
        <w:tc>
          <w:tcPr>
            <w:tcW w:w="4479" w:type="dxa"/>
            <w:tcBorders>
              <w:top w:val="single" w:sz="4" w:space="0" w:color="FFFFFF"/>
              <w:left w:val="single" w:sz="4" w:space="0" w:color="FFFFFF"/>
              <w:bottom w:val="single" w:sz="4" w:space="0" w:color="FFFFFF"/>
              <w:right w:val="single" w:sz="4" w:space="0" w:color="FFFFFF"/>
            </w:tcBorders>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lastRenderedPageBreak/>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María Teresa García </w:t>
            </w:r>
            <w:proofErr w:type="spellStart"/>
            <w:r w:rsidRPr="00FE74C3">
              <w:rPr>
                <w:rFonts w:cs="Arial"/>
                <w:sz w:val="24"/>
                <w:szCs w:val="24"/>
                <w:lang w:val="es-MX" w:eastAsia="en-US"/>
              </w:rPr>
              <w:t>García</w:t>
            </w:r>
            <w:proofErr w:type="spellEnd"/>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E424B6" w:rsidRPr="00FE74C3" w:rsidTr="00517628">
        <w:trPr>
          <w:trHeight w:val="1123"/>
        </w:trPr>
        <w:tc>
          <w:tcPr>
            <w:tcW w:w="4479" w:type="dxa"/>
            <w:tcBorders>
              <w:top w:val="single" w:sz="4" w:space="0" w:color="FFFFFF"/>
              <w:left w:val="single" w:sz="4" w:space="0" w:color="FFFFFF"/>
              <w:bottom w:val="single" w:sz="4" w:space="0" w:color="FFFFFF"/>
              <w:right w:val="single" w:sz="4" w:space="0" w:color="FFFFFF"/>
            </w:tcBorders>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 Regidor</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w:t>
            </w:r>
          </w:p>
        </w:tc>
      </w:tr>
      <w:tr w:rsidR="00E424B6" w:rsidRPr="00FE74C3" w:rsidTr="00517628">
        <w:tc>
          <w:tcPr>
            <w:tcW w:w="4479" w:type="dxa"/>
            <w:tcBorders>
              <w:top w:val="single" w:sz="4" w:space="0" w:color="FFFFFF"/>
              <w:left w:val="single" w:sz="4" w:space="0" w:color="FFFFFF"/>
              <w:bottom w:val="single" w:sz="4" w:space="0" w:color="FFFFFF"/>
              <w:right w:val="single" w:sz="4" w:space="0" w:color="FFFFFF"/>
            </w:tcBorders>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Quinto Regidor</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E424B6" w:rsidRPr="00FE74C3" w:rsidTr="00517628">
        <w:tc>
          <w:tcPr>
            <w:tcW w:w="4479" w:type="dxa"/>
            <w:tcBorders>
              <w:top w:val="single" w:sz="4" w:space="0" w:color="FFFFFF"/>
              <w:left w:val="single" w:sz="4" w:space="0" w:color="FFFFFF"/>
              <w:bottom w:val="single" w:sz="4" w:space="0" w:color="FFFFFF"/>
              <w:right w:val="single" w:sz="4" w:space="0" w:color="FFFFFF"/>
            </w:tcBorders>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eastAsia="en-US"/>
              </w:rPr>
              <w:t>SéptimoRegidor</w:t>
            </w:r>
            <w:proofErr w:type="spellEnd"/>
          </w:p>
        </w:tc>
        <w:tc>
          <w:tcPr>
            <w:tcW w:w="4446" w:type="dxa"/>
            <w:tcBorders>
              <w:top w:val="single" w:sz="4" w:space="0" w:color="FFFFFF"/>
              <w:left w:val="single" w:sz="4" w:space="0" w:color="FFFFFF"/>
              <w:bottom w:val="single" w:sz="4" w:space="0" w:color="FFFFFF"/>
              <w:right w:val="single" w:sz="4" w:space="0" w:color="FFFFFF"/>
            </w:tcBorders>
            <w:hideMark/>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p>
        </w:tc>
      </w:tr>
      <w:tr w:rsidR="00E424B6" w:rsidRPr="00FE74C3" w:rsidTr="00517628">
        <w:tc>
          <w:tcPr>
            <w:tcW w:w="4479" w:type="dxa"/>
            <w:tcBorders>
              <w:top w:val="single" w:sz="4" w:space="0" w:color="FFFFFF"/>
              <w:left w:val="single" w:sz="4" w:space="0" w:color="FFFFFF"/>
              <w:bottom w:val="single" w:sz="4" w:space="0" w:color="FFFFFF"/>
              <w:right w:val="single" w:sz="4" w:space="0" w:color="FFFFFF"/>
            </w:tcBorders>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E424B6" w:rsidRPr="00FE74C3" w:rsidRDefault="00E424B6" w:rsidP="00517628">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Edith </w:t>
            </w:r>
            <w:proofErr w:type="spellStart"/>
            <w:r w:rsidRPr="00FE74C3">
              <w:rPr>
                <w:rFonts w:cs="Arial"/>
                <w:sz w:val="24"/>
                <w:szCs w:val="24"/>
                <w:lang w:val="es-MX" w:eastAsia="en-US"/>
              </w:rPr>
              <w:t>Verali</w:t>
            </w:r>
            <w:proofErr w:type="spellEnd"/>
            <w:r w:rsidRPr="00FE74C3">
              <w:rPr>
                <w:rFonts w:cs="Arial"/>
                <w:sz w:val="24"/>
                <w:szCs w:val="24"/>
                <w:lang w:val="es-MX" w:eastAsia="en-US"/>
              </w:rPr>
              <w:t xml:space="preserve"> Galicia Dávila</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p w:rsidR="00E424B6" w:rsidRPr="00FE74C3" w:rsidRDefault="00E424B6" w:rsidP="00517628">
            <w:pPr>
              <w:spacing w:after="0" w:line="240" w:lineRule="auto"/>
              <w:jc w:val="center"/>
              <w:rPr>
                <w:rFonts w:cs="Arial"/>
                <w:sz w:val="24"/>
                <w:szCs w:val="24"/>
                <w:lang w:eastAsia="en-US"/>
              </w:rPr>
            </w:pPr>
          </w:p>
        </w:tc>
      </w:tr>
      <w:tr w:rsidR="00E424B6" w:rsidRPr="00FE74C3" w:rsidTr="00517628">
        <w:tc>
          <w:tcPr>
            <w:tcW w:w="4479" w:type="dxa"/>
            <w:tcBorders>
              <w:top w:val="single" w:sz="4" w:space="0" w:color="FFFFFF"/>
              <w:left w:val="single" w:sz="4" w:space="0" w:color="FFFFFF"/>
              <w:bottom w:val="single" w:sz="4" w:space="0" w:color="FFFFFF"/>
              <w:right w:val="single" w:sz="4" w:space="0" w:color="FFFFFF"/>
            </w:tcBorders>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val="es-MX" w:eastAsia="en-US"/>
              </w:rPr>
              <w:t>Arely</w:t>
            </w:r>
            <w:proofErr w:type="spellEnd"/>
            <w:r w:rsidRPr="00FE74C3">
              <w:rPr>
                <w:rFonts w:cs="Arial"/>
                <w:sz w:val="24"/>
                <w:szCs w:val="24"/>
                <w:lang w:val="es-MX" w:eastAsia="en-US"/>
              </w:rPr>
              <w:t xml:space="preserve"> Angélica Vega Díaz</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Cornelio </w:t>
            </w:r>
            <w:proofErr w:type="spellStart"/>
            <w:r w:rsidRPr="00FE74C3">
              <w:rPr>
                <w:rFonts w:cs="Arial"/>
                <w:sz w:val="24"/>
                <w:szCs w:val="24"/>
                <w:lang w:val="es-MX" w:eastAsia="en-US"/>
              </w:rPr>
              <w:t>Colindres</w:t>
            </w:r>
            <w:proofErr w:type="spellEnd"/>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E424B6"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424B6" w:rsidRPr="00FE74C3" w:rsidRDefault="00E424B6"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Enrique </w:t>
            </w:r>
            <w:proofErr w:type="spellStart"/>
            <w:r w:rsidRPr="00FE74C3">
              <w:rPr>
                <w:rFonts w:cs="Arial"/>
                <w:sz w:val="24"/>
                <w:szCs w:val="24"/>
                <w:lang w:val="es-MX" w:eastAsia="en-US"/>
              </w:rPr>
              <w:t>German</w:t>
            </w:r>
            <w:proofErr w:type="spellEnd"/>
            <w:r w:rsidRPr="00FE74C3">
              <w:rPr>
                <w:rFonts w:cs="Arial"/>
                <w:sz w:val="24"/>
                <w:szCs w:val="24"/>
                <w:lang w:val="es-MX" w:eastAsia="en-US"/>
              </w:rPr>
              <w:t xml:space="preserve"> Guardado López</w:t>
            </w:r>
          </w:p>
          <w:p w:rsidR="00E424B6" w:rsidRPr="00FE74C3" w:rsidRDefault="00E424B6"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E424B6" w:rsidRPr="00FE74C3" w:rsidRDefault="00E424B6" w:rsidP="00E424B6">
      <w:pPr>
        <w:rPr>
          <w:sz w:val="24"/>
          <w:szCs w:val="24"/>
        </w:rPr>
      </w:pPr>
    </w:p>
    <w:p w:rsidR="00A513FF" w:rsidRPr="00E424B6" w:rsidRDefault="00A513FF">
      <w:pPr>
        <w:rPr>
          <w:sz w:val="24"/>
          <w:szCs w:val="24"/>
        </w:rPr>
      </w:pPr>
    </w:p>
    <w:sectPr w:rsidR="00A513FF" w:rsidRPr="00E424B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E424B6"/>
    <w:rsid w:val="00A513FF"/>
    <w:rsid w:val="00E424B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424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2148</Words>
  <Characters>11815</Characters>
  <Application>Microsoft Office Word</Application>
  <DocSecurity>0</DocSecurity>
  <Lines>98</Lines>
  <Paragraphs>27</Paragraphs>
  <ScaleCrop>false</ScaleCrop>
  <Company/>
  <LinksUpToDate>false</LinksUpToDate>
  <CharactersWithSpaces>13936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2</cp:revision>
  <dcterms:created xsi:type="dcterms:W3CDTF">2020-07-09T16:48:00Z</dcterms:created>
  <dcterms:modified xsi:type="dcterms:W3CDTF">2020-07-09T16:49:00Z</dcterms:modified>
</cp:coreProperties>
</file>