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8D1B19">
        <w:rPr>
          <w:rFonts w:ascii="Century Gothic" w:hAnsi="Century Gothic"/>
          <w:b/>
          <w:sz w:val="19"/>
          <w:szCs w:val="19"/>
        </w:rPr>
        <w:t>1</w:t>
      </w:r>
      <w:r w:rsidR="00714F72">
        <w:rPr>
          <w:rFonts w:ascii="Century Gothic" w:hAnsi="Century Gothic"/>
          <w:b/>
          <w:sz w:val="19"/>
          <w:szCs w:val="19"/>
        </w:rPr>
        <w:t>4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trece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0E18D6">
        <w:rPr>
          <w:rFonts w:ascii="Century Gothic" w:hAnsi="Century Gothic"/>
          <w:color w:val="000000"/>
          <w:sz w:val="19"/>
          <w:szCs w:val="19"/>
          <w:lang w:val="es-419"/>
        </w:rPr>
        <w:t>cuarenta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>11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>julio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0E18D6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A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las 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>diez hora con cuatro minutos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>, del día 2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>1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>junio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diecinueve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,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presencial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D77F26">
        <w:rPr>
          <w:rFonts w:ascii="Century Gothic" w:hAnsi="Century Gothic" w:cs="Calibri"/>
          <w:color w:val="000000"/>
          <w:sz w:val="19"/>
          <w:szCs w:val="19"/>
          <w:lang w:val="es-419"/>
        </w:rPr>
        <w:t>el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90201F" w:rsidRPr="0090201F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Sr. </w:t>
      </w:r>
      <w:proofErr w:type="spellStart"/>
      <w:r w:rsidR="00C602C9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</w:t>
      </w:r>
      <w:proofErr w:type="spellEnd"/>
      <w:r w:rsidR="00C602C9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602C9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</w:t>
      </w:r>
      <w:proofErr w:type="spellEnd"/>
      <w:r w:rsidR="00C602C9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602C9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</w:t>
      </w:r>
      <w:proofErr w:type="spellEnd"/>
      <w:r w:rsidR="00C602C9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602C9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</w:t>
      </w:r>
      <w:proofErr w:type="spellEnd"/>
      <w:r w:rsidR="005F167C"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,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mayor de edad,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del domicilio</w:t>
      </w:r>
      <w:r w:rsidR="00AA29E5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de</w:t>
      </w:r>
      <w:r w:rsidR="005E3DF7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742BC9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San </w:t>
      </w:r>
      <w:r w:rsidR="00714F72">
        <w:rPr>
          <w:rFonts w:ascii="Century Gothic" w:eastAsia="Times New Roman" w:hAnsi="Century Gothic" w:cs="Arial"/>
          <w:color w:val="000000"/>
          <w:sz w:val="19"/>
          <w:szCs w:val="19"/>
        </w:rPr>
        <w:t>Pedro Perulapán</w:t>
      </w:r>
      <w:r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Departamento de </w:t>
      </w:r>
      <w:r w:rsidR="00714F72">
        <w:rPr>
          <w:rFonts w:ascii="Century Gothic" w:eastAsia="Times New Roman" w:hAnsi="Century Gothic" w:cs="Arial"/>
          <w:color w:val="000000"/>
          <w:sz w:val="19"/>
          <w:szCs w:val="19"/>
        </w:rPr>
        <w:t>Cuscatlán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, portador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de su Documento Único de Identidad 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número </w:t>
      </w:r>
      <w:proofErr w:type="spellStart"/>
      <w:r w:rsidR="00C602C9">
        <w:rPr>
          <w:rFonts w:ascii="Century Gothic" w:eastAsia="Times New Roman" w:hAnsi="Century Gothic" w:cs="Arial"/>
          <w:color w:val="000000"/>
          <w:sz w:val="20"/>
          <w:szCs w:val="20"/>
        </w:rPr>
        <w:t>xxxxxxxx</w:t>
      </w:r>
      <w:proofErr w:type="spellEnd"/>
      <w:r w:rsidR="00C602C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-x </w:t>
      </w:r>
      <w:bookmarkStart w:id="0" w:name="_GoBack"/>
      <w:bookmarkEnd w:id="0"/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, 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742BC9" w:rsidRPr="00742BC9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714F72">
        <w:rPr>
          <w:rFonts w:ascii="Century Gothic" w:hAnsi="Century Gothic"/>
          <w:b/>
          <w:color w:val="000000"/>
          <w:sz w:val="19"/>
          <w:szCs w:val="19"/>
          <w:lang w:val="es-419"/>
        </w:rPr>
        <w:t>Estatutos ADESCO Miraflores, Asociación de Desarrollo Comunal Nuevos Horizontes, Cantón Miraflores</w:t>
      </w:r>
      <w:r w:rsidR="00D77F26">
        <w:rPr>
          <w:rFonts w:ascii="Century Gothic" w:hAnsi="Century Gothic"/>
          <w:b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El derecho al acceso a la información, constituye una categoría fundamental que el Estado debe garantizar a la población en general, para efectos de consolidar un sistema democrático válido, donde </w:t>
      </w:r>
      <w:r w:rsidRPr="0090201F">
        <w:rPr>
          <w:rFonts w:ascii="Century Gothic" w:hAnsi="Century Gothic"/>
          <w:color w:val="000000"/>
          <w:sz w:val="19"/>
          <w:szCs w:val="19"/>
        </w:rPr>
        <w:lastRenderedPageBreak/>
        <w:t>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131D92" w:rsidRPr="0090201F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D77F26">
        <w:rPr>
          <w:rFonts w:ascii="Century Gothic" w:hAnsi="Century Gothic"/>
          <w:sz w:val="19"/>
          <w:szCs w:val="19"/>
        </w:rPr>
        <w:t>2</w:t>
      </w:r>
      <w:r w:rsidR="00714F72">
        <w:rPr>
          <w:rFonts w:ascii="Century Gothic" w:hAnsi="Century Gothic"/>
          <w:sz w:val="19"/>
          <w:szCs w:val="19"/>
        </w:rPr>
        <w:t>4</w:t>
      </w:r>
      <w:r w:rsidR="0005207A" w:rsidRPr="0090201F">
        <w:rPr>
          <w:rFonts w:ascii="Century Gothic" w:hAnsi="Century Gothic"/>
          <w:sz w:val="19"/>
          <w:szCs w:val="19"/>
        </w:rPr>
        <w:t xml:space="preserve"> de</w:t>
      </w:r>
      <w:r w:rsidR="00714F72">
        <w:rPr>
          <w:rFonts w:ascii="Century Gothic" w:hAnsi="Century Gothic"/>
          <w:sz w:val="19"/>
          <w:szCs w:val="19"/>
        </w:rPr>
        <w:t xml:space="preserve"> junio</w:t>
      </w:r>
      <w:r w:rsidR="0005207A" w:rsidRPr="0090201F">
        <w:rPr>
          <w:rFonts w:ascii="Century Gothic" w:hAnsi="Century Gothic"/>
          <w:sz w:val="19"/>
          <w:szCs w:val="19"/>
        </w:rPr>
        <w:t xml:space="preserve"> 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8D1B19">
        <w:rPr>
          <w:rFonts w:ascii="Century Gothic" w:hAnsi="Century Gothic"/>
          <w:b/>
          <w:sz w:val="19"/>
          <w:szCs w:val="19"/>
        </w:rPr>
        <w:t xml:space="preserve">Unidad de </w:t>
      </w:r>
      <w:r w:rsidR="00714F72">
        <w:rPr>
          <w:rFonts w:ascii="Century Gothic" w:hAnsi="Century Gothic"/>
          <w:b/>
          <w:sz w:val="19"/>
          <w:szCs w:val="19"/>
        </w:rPr>
        <w:t>Gestión Documental y Archivo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05207A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6A4401">
        <w:rPr>
          <w:rFonts w:ascii="Century Gothic" w:hAnsi="Century Gothic"/>
          <w:b/>
          <w:sz w:val="19"/>
          <w:szCs w:val="19"/>
        </w:rPr>
        <w:t xml:space="preserve">Unidad de </w:t>
      </w:r>
      <w:r w:rsidR="00714F72">
        <w:rPr>
          <w:rFonts w:ascii="Century Gothic" w:hAnsi="Century Gothic"/>
          <w:b/>
          <w:sz w:val="19"/>
          <w:szCs w:val="19"/>
        </w:rPr>
        <w:t>Gestión Documental y Archivo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correspondientes </w:t>
      </w:r>
      <w:r w:rsidR="00D21B36" w:rsidRPr="0090201F">
        <w:rPr>
          <w:rFonts w:ascii="Century Gothic" w:hAnsi="Century Gothic"/>
          <w:sz w:val="19"/>
          <w:szCs w:val="19"/>
        </w:rPr>
        <w:t xml:space="preserve">respondió </w:t>
      </w:r>
      <w:r w:rsidR="00714F72">
        <w:rPr>
          <w:rFonts w:ascii="Century Gothic" w:hAnsi="Century Gothic"/>
          <w:sz w:val="19"/>
          <w:szCs w:val="19"/>
        </w:rPr>
        <w:t>solicitando 10 días hábiles más, por lo que el suscrito oficial de información accedió y notificó al solicitante, otorgándole 10 días más, por ser información que pasaba de los 5 años.</w:t>
      </w:r>
    </w:p>
    <w:p w:rsidR="00714F72" w:rsidRPr="0090201F" w:rsidRDefault="00714F72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Con fecha 11 de julio del 2019, la </w:t>
      </w:r>
      <w:r>
        <w:rPr>
          <w:rFonts w:ascii="Century Gothic" w:hAnsi="Century Gothic"/>
          <w:b/>
          <w:bCs/>
          <w:sz w:val="19"/>
          <w:szCs w:val="19"/>
        </w:rPr>
        <w:t xml:space="preserve">Unidad de Gestión Documental y Archivo, </w:t>
      </w:r>
      <w:r>
        <w:rPr>
          <w:rFonts w:ascii="Century Gothic" w:hAnsi="Century Gothic"/>
          <w:sz w:val="19"/>
          <w:szCs w:val="19"/>
        </w:rPr>
        <w:t>unidad administrativa correspondiente de la municipalidad para gestionar la información solicitada, respondió que dicha información no se encontraba dentro de la municipalidad, por lo que no puede ser entregada.</w:t>
      </w:r>
    </w:p>
    <w:p w:rsidR="005F167C" w:rsidRPr="0090201F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714F72">
        <w:rPr>
          <w:rFonts w:ascii="Century Gothic" w:hAnsi="Century Gothic"/>
          <w:sz w:val="19"/>
          <w:szCs w:val="19"/>
          <w:lang w:val="es-419" w:eastAsia="en-US"/>
        </w:rPr>
        <w:t xml:space="preserve">NO 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>se le entrega la información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</w:t>
      </w:r>
      <w:r w:rsidR="00714F72">
        <w:rPr>
          <w:rFonts w:ascii="Century Gothic" w:hAnsi="Century Gothic"/>
          <w:sz w:val="19"/>
          <w:szCs w:val="19"/>
          <w:lang w:val="es-419" w:eastAsia="en-US"/>
        </w:rPr>
        <w:t>por no contar en nuestros archivos con ella</w:t>
      </w:r>
      <w:r w:rsidR="000E18D6">
        <w:rPr>
          <w:rFonts w:ascii="Century Gothic" w:hAnsi="Century Gothic"/>
          <w:sz w:val="19"/>
          <w:szCs w:val="19"/>
          <w:lang w:val="es-419" w:eastAsia="en-US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la información </w:t>
      </w:r>
      <w:r w:rsidR="00714F72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no se encuentra en nuestros archivos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.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E6F" w:rsidRDefault="00981E6F" w:rsidP="00793CC1">
      <w:pPr>
        <w:spacing w:after="0" w:line="240" w:lineRule="auto"/>
      </w:pPr>
      <w:r>
        <w:separator/>
      </w:r>
    </w:p>
  </w:endnote>
  <w:endnote w:type="continuationSeparator" w:id="0">
    <w:p w:rsidR="00981E6F" w:rsidRDefault="00981E6F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E6F" w:rsidRDefault="00981E6F" w:rsidP="00793CC1">
      <w:pPr>
        <w:spacing w:after="0" w:line="240" w:lineRule="auto"/>
      </w:pPr>
      <w:r>
        <w:separator/>
      </w:r>
    </w:p>
  </w:footnote>
  <w:footnote w:type="continuationSeparator" w:id="0">
    <w:p w:rsidR="00981E6F" w:rsidRDefault="00981E6F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725A5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1E6F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602C9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DE5E4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2019-05-06T16:25:00Z</cp:lastPrinted>
  <dcterms:created xsi:type="dcterms:W3CDTF">2019-09-13T17:04:00Z</dcterms:created>
  <dcterms:modified xsi:type="dcterms:W3CDTF">2019-09-13T17:04:00Z</dcterms:modified>
</cp:coreProperties>
</file>