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124" w:rsidRDefault="00757124" w:rsidP="00757124">
      <w:pPr>
        <w:keepNext/>
        <w:keepLines/>
        <w:spacing w:before="40" w:after="0" w:line="276" w:lineRule="auto"/>
        <w:outlineLvl w:val="1"/>
        <w:rPr>
          <w:rFonts w:ascii="Times New Roman" w:eastAsiaTheme="majorEastAsia" w:hAnsi="Times New Roman" w:cstheme="majorBidi"/>
          <w:b/>
          <w:szCs w:val="26"/>
          <w:lang w:eastAsia="es-SV"/>
        </w:rPr>
      </w:pPr>
      <w:bookmarkStart w:id="0" w:name="_Toc3371257"/>
      <w:r w:rsidRPr="00757124">
        <w:rPr>
          <w:rFonts w:ascii="Times New Roman" w:eastAsiaTheme="majorEastAsia" w:hAnsi="Times New Roman" w:cstheme="majorBidi"/>
          <w:b/>
          <w:szCs w:val="26"/>
          <w:lang w:eastAsia="es-SV"/>
        </w:rPr>
        <w:t>MUNICIPIO DE SAN PEDRO PERULAPAN</w:t>
      </w:r>
      <w:bookmarkStart w:id="1" w:name="_Toc3371258"/>
      <w:bookmarkEnd w:id="0"/>
    </w:p>
    <w:p w:rsidR="00757124" w:rsidRPr="00757124" w:rsidRDefault="00757124" w:rsidP="00757124">
      <w:pPr>
        <w:keepNext/>
        <w:keepLines/>
        <w:spacing w:before="40" w:after="0" w:line="276" w:lineRule="auto"/>
        <w:outlineLvl w:val="1"/>
        <w:rPr>
          <w:rFonts w:ascii="Times New Roman" w:eastAsiaTheme="majorEastAsia" w:hAnsi="Times New Roman" w:cstheme="majorBidi"/>
          <w:b/>
          <w:szCs w:val="26"/>
          <w:lang w:eastAsia="es-SV"/>
        </w:rPr>
      </w:pPr>
      <w:r>
        <w:rPr>
          <w:rFonts w:ascii="Times New Roman" w:eastAsiaTheme="majorEastAsia" w:hAnsi="Times New Roman" w:cstheme="majorBidi"/>
          <w:b/>
          <w:szCs w:val="26"/>
          <w:lang w:eastAsia="es-SV"/>
        </w:rPr>
        <w:t xml:space="preserve">Informe de la </w:t>
      </w:r>
      <w:r w:rsidRPr="00757124">
        <w:rPr>
          <w:rFonts w:ascii="Times New Roman" w:eastAsiaTheme="majorEastAsia" w:hAnsi="Times New Roman" w:cstheme="majorBidi"/>
          <w:b/>
          <w:szCs w:val="24"/>
          <w:lang w:eastAsia="es-SV"/>
        </w:rPr>
        <w:t>Rendición de cuentas</w:t>
      </w:r>
      <w:bookmarkEnd w:id="1"/>
      <w:r>
        <w:rPr>
          <w:rFonts w:ascii="Times New Roman" w:eastAsiaTheme="majorEastAsia" w:hAnsi="Times New Roman" w:cstheme="majorBidi"/>
          <w:b/>
          <w:szCs w:val="24"/>
          <w:lang w:eastAsia="es-SV"/>
        </w:rPr>
        <w:t xml:space="preserve"> año 2018</w:t>
      </w:r>
    </w:p>
    <w:tbl>
      <w:tblPr>
        <w:tblStyle w:val="Tablaconcuadrc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375"/>
        <w:gridCol w:w="138"/>
        <w:gridCol w:w="137"/>
        <w:gridCol w:w="6172"/>
      </w:tblGrid>
      <w:tr w:rsidR="00757124" w:rsidRPr="00757124" w:rsidTr="003D304B">
        <w:trPr>
          <w:tblCellSpacing w:w="20" w:type="dxa"/>
        </w:trPr>
        <w:tc>
          <w:tcPr>
            <w:tcW w:w="9025" w:type="dxa"/>
            <w:gridSpan w:val="4"/>
            <w:shd w:val="clear" w:color="auto" w:fill="D9E2F3" w:themeFill="accent5" w:themeFillTint="33"/>
          </w:tcPr>
          <w:p w:rsidR="00757124" w:rsidRPr="00757124" w:rsidRDefault="00757124" w:rsidP="00757124">
            <w:pPr>
              <w:spacing w:line="276" w:lineRule="auto"/>
              <w:rPr>
                <w:rFonts w:ascii="Times New Roman" w:eastAsia="Times New Roman" w:hAnsi="Times New Roman" w:cs="Calibri"/>
                <w:b/>
                <w:color w:val="FF0000"/>
                <w:sz w:val="18"/>
                <w:szCs w:val="18"/>
                <w:lang w:eastAsia="es-SV"/>
              </w:rPr>
            </w:pPr>
            <w:r w:rsidRPr="00757124">
              <w:rPr>
                <w:rFonts w:ascii="Times New Roman" w:eastAsia="Times New Roman" w:hAnsi="Times New Roman" w:cs="Times New Roman"/>
                <w:sz w:val="18"/>
                <w:szCs w:val="18"/>
                <w:lang w:eastAsia="es-SV"/>
              </w:rPr>
              <w:t>PASO 1</w:t>
            </w:r>
            <w:r w:rsidRPr="00757124">
              <w:rPr>
                <w:rFonts w:ascii="Times New Roman" w:eastAsia="Times New Roman" w:hAnsi="Times New Roman" w:cs="Times New Roman"/>
                <w:b/>
                <w:sz w:val="18"/>
                <w:szCs w:val="18"/>
                <w:lang w:eastAsia="es-SV"/>
              </w:rPr>
              <w:t xml:space="preserve"> “FORMACIÓN INSTITUCIONAL”</w:t>
            </w:r>
          </w:p>
        </w:tc>
      </w:tr>
      <w:tr w:rsidR="00757124" w:rsidRPr="00757124" w:rsidTr="003D304B">
        <w:trPr>
          <w:tblCellSpacing w:w="20" w:type="dxa"/>
        </w:trPr>
        <w:tc>
          <w:tcPr>
            <w:tcW w:w="2342" w:type="dxa"/>
          </w:tcPr>
          <w:p w:rsidR="00757124" w:rsidRPr="00757124" w:rsidRDefault="00757124" w:rsidP="00757124">
            <w:pPr>
              <w:numPr>
                <w:ilvl w:val="1"/>
                <w:numId w:val="3"/>
              </w:numPr>
              <w:ind w:left="396"/>
              <w:contextualSpacing/>
              <w:jc w:val="both"/>
              <w:rPr>
                <w:rFonts w:ascii="Times New Roman" w:eastAsia="Times New Roman" w:hAnsi="Times New Roman" w:cs="Times New Roman"/>
                <w:color w:val="FF0000"/>
                <w:sz w:val="18"/>
                <w:szCs w:val="18"/>
                <w:lang w:eastAsia="es-SV"/>
              </w:rPr>
            </w:pPr>
            <w:r w:rsidRPr="00757124">
              <w:rPr>
                <w:rFonts w:ascii="Times New Roman" w:eastAsia="Times New Roman" w:hAnsi="Times New Roman" w:cs="Times New Roman"/>
                <w:sz w:val="18"/>
                <w:szCs w:val="18"/>
                <w:lang w:eastAsia="es-SV"/>
              </w:rPr>
              <w:t>Integración de la Comisión Municipal de Rendición de Cuentas.</w:t>
            </w:r>
          </w:p>
        </w:tc>
        <w:tc>
          <w:tcPr>
            <w:tcW w:w="6643" w:type="dxa"/>
            <w:gridSpan w:val="3"/>
            <w:shd w:val="clear" w:color="auto" w:fill="auto"/>
          </w:tcPr>
          <w:p w:rsidR="00757124" w:rsidRPr="00757124" w:rsidRDefault="00757124" w:rsidP="00757124">
            <w:pPr>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 xml:space="preserve">El acta de la Comisión Municipal de Rendición de Cuentas fue firmada el 11 de octubre de 2017, las jefaturas que la integraron se mantienen, a excepción del jefe de Cuentas Corrientes que ya no labora en la municipalidad,  la comisión actual está integrada por: </w:t>
            </w:r>
          </w:p>
          <w:p w:rsidR="00757124" w:rsidRPr="00757124" w:rsidRDefault="00757124" w:rsidP="00757124">
            <w:pPr>
              <w:numPr>
                <w:ilvl w:val="0"/>
                <w:numId w:val="2"/>
              </w:numPr>
              <w:contextualSpacing/>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Claudia Maribel Campos, UACI</w:t>
            </w:r>
          </w:p>
          <w:p w:rsidR="00757124" w:rsidRPr="00757124" w:rsidRDefault="00757124" w:rsidP="00757124">
            <w:pPr>
              <w:numPr>
                <w:ilvl w:val="0"/>
                <w:numId w:val="2"/>
              </w:numPr>
              <w:contextualSpacing/>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Reina Gonzales, Tesorera</w:t>
            </w:r>
          </w:p>
          <w:p w:rsidR="00757124" w:rsidRPr="00757124" w:rsidRDefault="00757124" w:rsidP="00757124">
            <w:pPr>
              <w:numPr>
                <w:ilvl w:val="0"/>
                <w:numId w:val="2"/>
              </w:numPr>
              <w:contextualSpacing/>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Marco Tulio Mata Montenegro, Jefe de Proyectos</w:t>
            </w:r>
          </w:p>
          <w:p w:rsidR="00757124" w:rsidRPr="00757124" w:rsidRDefault="00757124" w:rsidP="00757124">
            <w:pPr>
              <w:numPr>
                <w:ilvl w:val="0"/>
                <w:numId w:val="2"/>
              </w:numPr>
              <w:contextualSpacing/>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Deysi Margarita Ángel, Contadora Municipal</w:t>
            </w:r>
          </w:p>
          <w:p w:rsidR="00757124" w:rsidRPr="00757124" w:rsidRDefault="00757124" w:rsidP="00757124">
            <w:pPr>
              <w:numPr>
                <w:ilvl w:val="0"/>
                <w:numId w:val="2"/>
              </w:numPr>
              <w:contextualSpacing/>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 xml:space="preserve">Evin Alexis Pinto, Oficial de Información </w:t>
            </w:r>
          </w:p>
          <w:p w:rsidR="00757124" w:rsidRPr="00757124" w:rsidRDefault="00757124" w:rsidP="00757124">
            <w:pPr>
              <w:numPr>
                <w:ilvl w:val="0"/>
                <w:numId w:val="2"/>
              </w:numPr>
              <w:contextualSpacing/>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 xml:space="preserve">William Alexander Ramírez, Secretario Municipal </w:t>
            </w:r>
          </w:p>
          <w:p w:rsidR="00757124" w:rsidRPr="00757124" w:rsidRDefault="00757124" w:rsidP="00757124">
            <w:pPr>
              <w:numPr>
                <w:ilvl w:val="0"/>
                <w:numId w:val="2"/>
              </w:numPr>
              <w:contextualSpacing/>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Santos Enrique Méndez, jefe UATM</w:t>
            </w:r>
          </w:p>
          <w:p w:rsidR="00757124" w:rsidRPr="00757124" w:rsidRDefault="00757124" w:rsidP="00757124">
            <w:pPr>
              <w:numPr>
                <w:ilvl w:val="0"/>
                <w:numId w:val="2"/>
              </w:numPr>
              <w:contextualSpacing/>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 xml:space="preserve">Xiomara </w:t>
            </w:r>
            <w:proofErr w:type="spellStart"/>
            <w:r w:rsidRPr="00757124">
              <w:rPr>
                <w:rFonts w:ascii="Times New Roman" w:eastAsia="Times New Roman" w:hAnsi="Times New Roman" w:cs="Calibri"/>
                <w:sz w:val="18"/>
                <w:szCs w:val="18"/>
                <w:lang w:eastAsia="es-SV"/>
              </w:rPr>
              <w:t>Natali</w:t>
            </w:r>
            <w:proofErr w:type="spellEnd"/>
            <w:r w:rsidRPr="00757124">
              <w:rPr>
                <w:rFonts w:ascii="Times New Roman" w:eastAsia="Times New Roman" w:hAnsi="Times New Roman" w:cs="Calibri"/>
                <w:sz w:val="18"/>
                <w:szCs w:val="18"/>
                <w:lang w:eastAsia="es-SV"/>
              </w:rPr>
              <w:t xml:space="preserve"> Sánchez, Gestión Documental y Archivo</w:t>
            </w:r>
          </w:p>
          <w:p w:rsidR="00757124" w:rsidRPr="00757124" w:rsidRDefault="00757124" w:rsidP="00757124">
            <w:pPr>
              <w:numPr>
                <w:ilvl w:val="0"/>
                <w:numId w:val="2"/>
              </w:numPr>
              <w:contextualSpacing/>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José Carlos Aguilar, Unidad de Medio Ambiente</w:t>
            </w:r>
          </w:p>
        </w:tc>
      </w:tr>
      <w:tr w:rsidR="00757124" w:rsidRPr="00757124" w:rsidTr="003D304B">
        <w:trPr>
          <w:tblCellSpacing w:w="20" w:type="dxa"/>
        </w:trPr>
        <w:tc>
          <w:tcPr>
            <w:tcW w:w="2342" w:type="dxa"/>
          </w:tcPr>
          <w:p w:rsidR="00757124" w:rsidRPr="00757124" w:rsidRDefault="00757124" w:rsidP="00757124">
            <w:pPr>
              <w:numPr>
                <w:ilvl w:val="1"/>
                <w:numId w:val="3"/>
              </w:numPr>
              <w:ind w:left="396"/>
              <w:contextualSpacing/>
              <w:jc w:val="both"/>
              <w:rPr>
                <w:rFonts w:ascii="Times New Roman" w:eastAsia="Times New Roman" w:hAnsi="Times New Roman" w:cs="Times New Roman"/>
                <w:sz w:val="18"/>
                <w:szCs w:val="18"/>
                <w:lang w:eastAsia="es-SV"/>
              </w:rPr>
            </w:pPr>
            <w:r w:rsidRPr="00757124">
              <w:rPr>
                <w:rFonts w:ascii="Times New Roman" w:eastAsia="Times New Roman" w:hAnsi="Times New Roman" w:cs="Times New Roman"/>
                <w:sz w:val="18"/>
                <w:szCs w:val="18"/>
                <w:lang w:eastAsia="es-SV"/>
              </w:rPr>
              <w:t>Capacitación de Rendición de Cuentas a miembros de la Comisión Municipal de Rendición de Cuentas y del Concejo Municipal.</w:t>
            </w:r>
          </w:p>
        </w:tc>
        <w:tc>
          <w:tcPr>
            <w:tcW w:w="6643" w:type="dxa"/>
            <w:gridSpan w:val="3"/>
            <w:shd w:val="clear" w:color="auto" w:fill="FFFFFF" w:themeFill="background1"/>
          </w:tcPr>
          <w:p w:rsidR="00757124" w:rsidRPr="00757124" w:rsidRDefault="00757124" w:rsidP="00757124">
            <w:pPr>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 xml:space="preserve">Las capacidades ya se habían generado en el personal que conforma la CMRC de la municipalidad, durante el CLIN I, capacitó en el marco legal, herramientas metodológicas, los elementos que forman parte del evento de rendición de cuentas y del informe del evento, por lo cual el trabajo fue mucho más fácil pues ya conocen los pasos para realizar una rendición de cuentas, se planifico los tiempos para realizar las diversas actividades que conlleva la preparación y el día aproximado para la realización de evento, que además de cumplir con el marco legal de informar a la población,  se buscó coincidiera con los tiempos de traspaso de administración del partido político saliente al entrante, y hacer una especie de </w:t>
            </w:r>
            <w:r w:rsidRPr="00757124">
              <w:rPr>
                <w:rFonts w:ascii="Times New Roman" w:eastAsia="Times New Roman" w:hAnsi="Times New Roman" w:cs="Calibri"/>
                <w:b/>
                <w:sz w:val="18"/>
                <w:szCs w:val="18"/>
                <w:lang w:eastAsia="es-SV"/>
              </w:rPr>
              <w:t>traspaso de mando y rendir informe sobre la situación de inversión y administración municipal al gobierno entrante, para esto se invitó al alcalde electo y su concejo.</w:t>
            </w:r>
          </w:p>
        </w:tc>
      </w:tr>
      <w:tr w:rsidR="00757124" w:rsidRPr="00757124" w:rsidTr="003D304B">
        <w:trPr>
          <w:tblCellSpacing w:w="20" w:type="dxa"/>
        </w:trPr>
        <w:tc>
          <w:tcPr>
            <w:tcW w:w="9025" w:type="dxa"/>
            <w:gridSpan w:val="4"/>
            <w:shd w:val="clear" w:color="auto" w:fill="FFF2CC" w:themeFill="accent4" w:themeFillTint="33"/>
          </w:tcPr>
          <w:p w:rsidR="00757124" w:rsidRPr="00757124" w:rsidRDefault="00757124" w:rsidP="00757124">
            <w:pPr>
              <w:spacing w:line="276" w:lineRule="auto"/>
              <w:rPr>
                <w:rFonts w:ascii="Times New Roman" w:eastAsia="Times New Roman" w:hAnsi="Times New Roman" w:cs="Calibri"/>
                <w:lang w:eastAsia="es-SV"/>
              </w:rPr>
            </w:pPr>
            <w:r w:rsidRPr="00757124">
              <w:rPr>
                <w:rFonts w:ascii="Times New Roman" w:eastAsia="Times New Roman" w:hAnsi="Times New Roman" w:cs="Times New Roman"/>
                <w:lang w:eastAsia="es-SV"/>
              </w:rPr>
              <w:t xml:space="preserve">PASO 2 </w:t>
            </w:r>
            <w:r w:rsidRPr="00757124">
              <w:rPr>
                <w:rFonts w:ascii="Times New Roman" w:eastAsia="Times New Roman" w:hAnsi="Times New Roman" w:cs="Times New Roman"/>
                <w:b/>
                <w:lang w:eastAsia="es-SV"/>
              </w:rPr>
              <w:t>“GENERACIÓN Y VISIBILIDAD DEL INFORMACIÓN”</w:t>
            </w:r>
          </w:p>
        </w:tc>
      </w:tr>
      <w:tr w:rsidR="00757124" w:rsidRPr="00757124" w:rsidTr="003D304B">
        <w:trPr>
          <w:trHeight w:val="1148"/>
          <w:tblCellSpacing w:w="20" w:type="dxa"/>
        </w:trPr>
        <w:tc>
          <w:tcPr>
            <w:tcW w:w="2484" w:type="dxa"/>
            <w:gridSpan w:val="2"/>
          </w:tcPr>
          <w:p w:rsidR="00757124" w:rsidRPr="00757124" w:rsidRDefault="00757124" w:rsidP="00757124">
            <w:pPr>
              <w:numPr>
                <w:ilvl w:val="1"/>
                <w:numId w:val="4"/>
              </w:numPr>
              <w:ind w:left="396"/>
              <w:contextualSpacing/>
              <w:jc w:val="both"/>
              <w:rPr>
                <w:rFonts w:ascii="Times New Roman" w:eastAsia="Times New Roman" w:hAnsi="Times New Roman" w:cs="Times New Roman"/>
                <w:sz w:val="18"/>
                <w:szCs w:val="18"/>
                <w:lang w:eastAsia="es-SV"/>
              </w:rPr>
            </w:pPr>
            <w:r w:rsidRPr="00757124">
              <w:rPr>
                <w:rFonts w:ascii="Times New Roman" w:eastAsia="Times New Roman" w:hAnsi="Times New Roman" w:cs="Times New Roman"/>
                <w:sz w:val="18"/>
                <w:szCs w:val="18"/>
                <w:lang w:eastAsia="es-SV"/>
              </w:rPr>
              <w:t>Recolección, revisión y tabulación de la información clara y comprensiva para el Informe de Rendición de Cuentas.</w:t>
            </w:r>
          </w:p>
        </w:tc>
        <w:tc>
          <w:tcPr>
            <w:tcW w:w="6501" w:type="dxa"/>
            <w:gridSpan w:val="2"/>
          </w:tcPr>
          <w:p w:rsidR="00757124" w:rsidRPr="00757124" w:rsidRDefault="00757124" w:rsidP="00757124">
            <w:pPr>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 xml:space="preserve">Conforme a los cuadros entregados desde la preparación de la audiencia anterior se procedió a identificar a quien le correspondía llenar cada uno de los cuadros con la información necesaria de las diferentes áreas municipales. Una vez fue recolectada la información se procedió a revisar su contenido y fuente, esto para establecer la confiabilidad correspondiente, una vez revisada se entregó toda la información a la persona responsable de sistematizar el informe de  presentación para el día del evento </w:t>
            </w:r>
          </w:p>
        </w:tc>
      </w:tr>
      <w:tr w:rsidR="00757124" w:rsidRPr="00757124" w:rsidTr="003D304B">
        <w:trPr>
          <w:trHeight w:val="779"/>
          <w:tblCellSpacing w:w="20" w:type="dxa"/>
        </w:trPr>
        <w:tc>
          <w:tcPr>
            <w:tcW w:w="2484" w:type="dxa"/>
            <w:gridSpan w:val="2"/>
          </w:tcPr>
          <w:p w:rsidR="00757124" w:rsidRPr="00757124" w:rsidRDefault="00757124" w:rsidP="00757124">
            <w:pPr>
              <w:numPr>
                <w:ilvl w:val="1"/>
                <w:numId w:val="4"/>
              </w:numPr>
              <w:ind w:left="396"/>
              <w:contextualSpacing/>
              <w:jc w:val="both"/>
              <w:rPr>
                <w:rFonts w:ascii="Times New Roman" w:eastAsia="Times New Roman" w:hAnsi="Times New Roman" w:cs="Times New Roman"/>
                <w:sz w:val="18"/>
                <w:szCs w:val="18"/>
                <w:lang w:eastAsia="es-SV"/>
              </w:rPr>
            </w:pPr>
            <w:r w:rsidRPr="00757124">
              <w:rPr>
                <w:rFonts w:ascii="Times New Roman" w:eastAsia="Times New Roman" w:hAnsi="Times New Roman" w:cs="Times New Roman"/>
                <w:sz w:val="18"/>
                <w:szCs w:val="18"/>
                <w:lang w:eastAsia="es-SV"/>
              </w:rPr>
              <w:t>Preparación de la presentación del informe de Rendición de Cuentas.</w:t>
            </w:r>
          </w:p>
        </w:tc>
        <w:tc>
          <w:tcPr>
            <w:tcW w:w="6501" w:type="dxa"/>
            <w:gridSpan w:val="2"/>
          </w:tcPr>
          <w:p w:rsidR="00757124" w:rsidRPr="00757124" w:rsidRDefault="00757124" w:rsidP="00757124">
            <w:pPr>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Una vez revisada la información se entregó las personas responsables de sistematizar el informe de  presentación para el día del evento</w:t>
            </w:r>
          </w:p>
        </w:tc>
      </w:tr>
      <w:tr w:rsidR="00757124" w:rsidRPr="00757124" w:rsidTr="003D304B">
        <w:trPr>
          <w:tblCellSpacing w:w="20" w:type="dxa"/>
        </w:trPr>
        <w:tc>
          <w:tcPr>
            <w:tcW w:w="2484" w:type="dxa"/>
            <w:gridSpan w:val="2"/>
          </w:tcPr>
          <w:p w:rsidR="00757124" w:rsidRPr="00757124" w:rsidRDefault="00757124" w:rsidP="00757124">
            <w:pPr>
              <w:numPr>
                <w:ilvl w:val="1"/>
                <w:numId w:val="4"/>
              </w:numPr>
              <w:ind w:left="396"/>
              <w:contextualSpacing/>
              <w:rPr>
                <w:rFonts w:ascii="Times New Roman" w:eastAsia="Times New Roman" w:hAnsi="Times New Roman" w:cs="Times New Roman"/>
                <w:sz w:val="18"/>
                <w:szCs w:val="18"/>
                <w:lang w:eastAsia="es-SV"/>
              </w:rPr>
            </w:pPr>
            <w:r w:rsidRPr="00757124">
              <w:rPr>
                <w:rFonts w:ascii="Times New Roman" w:eastAsia="Times New Roman" w:hAnsi="Times New Roman" w:cs="Times New Roman"/>
                <w:sz w:val="18"/>
                <w:szCs w:val="18"/>
                <w:lang w:eastAsia="es-SV"/>
              </w:rPr>
              <w:t>Socialización y retroalimentación del informe por parte del Concejo Municipal.</w:t>
            </w:r>
          </w:p>
        </w:tc>
        <w:tc>
          <w:tcPr>
            <w:tcW w:w="6501" w:type="dxa"/>
            <w:gridSpan w:val="2"/>
          </w:tcPr>
          <w:p w:rsidR="00757124" w:rsidRPr="00757124" w:rsidRDefault="00757124" w:rsidP="00757124">
            <w:pPr>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Una vez definida la presentación con los miembros de la Comisión Municipal de Rendición de Cuentas (CMRC) se procedió a desarrollar la presentación al Concejo Municipal, para su conocimiento y aprobación previo al evento de audiencia de rendición de cuentas</w:t>
            </w:r>
          </w:p>
        </w:tc>
      </w:tr>
      <w:tr w:rsidR="00757124" w:rsidRPr="00757124" w:rsidTr="003D304B">
        <w:trPr>
          <w:tblCellSpacing w:w="20" w:type="dxa"/>
        </w:trPr>
        <w:tc>
          <w:tcPr>
            <w:tcW w:w="2484" w:type="dxa"/>
            <w:gridSpan w:val="2"/>
          </w:tcPr>
          <w:p w:rsidR="00757124" w:rsidRPr="00757124" w:rsidRDefault="00757124" w:rsidP="00757124">
            <w:pPr>
              <w:numPr>
                <w:ilvl w:val="1"/>
                <w:numId w:val="4"/>
              </w:numPr>
              <w:ind w:left="396"/>
              <w:contextualSpacing/>
              <w:jc w:val="both"/>
              <w:rPr>
                <w:rFonts w:ascii="Times New Roman" w:eastAsia="Times New Roman" w:hAnsi="Times New Roman" w:cs="Times New Roman"/>
                <w:sz w:val="18"/>
                <w:szCs w:val="18"/>
                <w:lang w:eastAsia="es-SV"/>
              </w:rPr>
            </w:pPr>
            <w:r w:rsidRPr="00757124">
              <w:rPr>
                <w:rFonts w:ascii="Times New Roman" w:eastAsia="Times New Roman" w:hAnsi="Times New Roman" w:cs="Times New Roman"/>
                <w:sz w:val="18"/>
                <w:szCs w:val="18"/>
                <w:lang w:eastAsia="es-SV"/>
              </w:rPr>
              <w:t>Elección de los expositores por parte del Concejo Municipal</w:t>
            </w:r>
          </w:p>
        </w:tc>
        <w:tc>
          <w:tcPr>
            <w:tcW w:w="6501" w:type="dxa"/>
            <w:gridSpan w:val="2"/>
          </w:tcPr>
          <w:p w:rsidR="00757124" w:rsidRPr="00757124" w:rsidRDefault="00757124" w:rsidP="00757124">
            <w:pPr>
              <w:jc w:val="both"/>
              <w:rPr>
                <w:rFonts w:ascii="Times New Roman" w:eastAsia="Times New Roman" w:hAnsi="Times New Roman" w:cs="Times New Roman"/>
                <w:color w:val="FF0000"/>
                <w:sz w:val="18"/>
                <w:szCs w:val="18"/>
                <w:lang w:eastAsia="es-SV"/>
              </w:rPr>
            </w:pPr>
            <w:r w:rsidRPr="00757124">
              <w:rPr>
                <w:rFonts w:ascii="Times New Roman" w:eastAsia="Times New Roman" w:hAnsi="Times New Roman" w:cs="Times New Roman"/>
                <w:sz w:val="18"/>
                <w:szCs w:val="18"/>
                <w:lang w:eastAsia="es-SV"/>
              </w:rPr>
              <w:t>Se realizó una reunión en la cual se trataron detalles de organización como el espacio donde se realizará, confirmar el día, la hora, equipo multimedia, sillas, mesas y seleccionar al maestro de ceremonias, y los expositores, definiendo que cada jefatura expondrá el área que le corresponde y que al final en el espacio de preguntas y respuestas estará al frente el señor alcalde municipal y como el equipo de jefaturas como apoyo para preguntas técnicas que puedan realizarse.</w:t>
            </w:r>
          </w:p>
        </w:tc>
      </w:tr>
      <w:tr w:rsidR="00757124" w:rsidRPr="00757124" w:rsidTr="003D304B">
        <w:tblPrEx>
          <w:tblBorders>
            <w:top w:val="none" w:sz="0" w:space="0" w:color="auto"/>
          </w:tblBorders>
        </w:tblPrEx>
        <w:trPr>
          <w:tblCellSpacing w:w="20" w:type="dxa"/>
        </w:trPr>
        <w:tc>
          <w:tcPr>
            <w:tcW w:w="9025" w:type="dxa"/>
            <w:gridSpan w:val="4"/>
            <w:shd w:val="clear" w:color="auto" w:fill="E2EFD9" w:themeFill="accent6" w:themeFillTint="33"/>
          </w:tcPr>
          <w:p w:rsidR="00757124" w:rsidRPr="00757124" w:rsidRDefault="00757124" w:rsidP="00757124">
            <w:pPr>
              <w:spacing w:line="276" w:lineRule="auto"/>
              <w:rPr>
                <w:rFonts w:ascii="Times New Roman" w:eastAsia="Times New Roman" w:hAnsi="Times New Roman" w:cs="Calibri"/>
                <w:b/>
                <w:color w:val="FF0000"/>
                <w:lang w:eastAsia="es-SV"/>
              </w:rPr>
            </w:pPr>
            <w:r w:rsidRPr="00757124">
              <w:rPr>
                <w:rFonts w:ascii="Times New Roman" w:eastAsia="Times New Roman" w:hAnsi="Times New Roman" w:cs="Times New Roman"/>
                <w:lang w:eastAsia="es-SV"/>
              </w:rPr>
              <w:t>PASO 3</w:t>
            </w:r>
            <w:r w:rsidRPr="00757124">
              <w:rPr>
                <w:rFonts w:ascii="Times New Roman" w:eastAsia="Times New Roman" w:hAnsi="Times New Roman" w:cs="Times New Roman"/>
                <w:b/>
                <w:lang w:eastAsia="es-SV"/>
              </w:rPr>
              <w:t xml:space="preserve"> “CONVOCATORIA Y MOVILIDAD CIUDADANA”</w:t>
            </w:r>
          </w:p>
        </w:tc>
      </w:tr>
      <w:tr w:rsidR="00757124" w:rsidRPr="00757124" w:rsidTr="00757124">
        <w:tblPrEx>
          <w:tblBorders>
            <w:top w:val="none" w:sz="0" w:space="0" w:color="auto"/>
          </w:tblBorders>
        </w:tblPrEx>
        <w:trPr>
          <w:trHeight w:val="1900"/>
          <w:tblCellSpacing w:w="20" w:type="dxa"/>
        </w:trPr>
        <w:tc>
          <w:tcPr>
            <w:tcW w:w="2626" w:type="dxa"/>
            <w:gridSpan w:val="3"/>
          </w:tcPr>
          <w:p w:rsidR="00757124" w:rsidRPr="00757124" w:rsidRDefault="00757124" w:rsidP="00757124">
            <w:pPr>
              <w:numPr>
                <w:ilvl w:val="1"/>
                <w:numId w:val="5"/>
              </w:numPr>
              <w:ind w:left="396"/>
              <w:contextualSpacing/>
              <w:jc w:val="both"/>
              <w:rPr>
                <w:rFonts w:ascii="Times New Roman" w:eastAsia="Times New Roman" w:hAnsi="Times New Roman" w:cs="Times New Roman"/>
                <w:sz w:val="18"/>
                <w:szCs w:val="18"/>
                <w:lang w:eastAsia="es-SV"/>
              </w:rPr>
            </w:pPr>
            <w:r w:rsidRPr="00757124">
              <w:rPr>
                <w:rFonts w:ascii="Times New Roman" w:eastAsia="Times New Roman" w:hAnsi="Times New Roman" w:cs="Times New Roman"/>
                <w:sz w:val="18"/>
                <w:lang w:eastAsia="es-SV"/>
              </w:rPr>
              <w:t>Identificación de líderes y lideresas comunales, representantes de ADESCOS y sectores, ONG´S e Instituciones del municipio que asistirán.</w:t>
            </w:r>
          </w:p>
          <w:p w:rsidR="00757124" w:rsidRPr="00757124" w:rsidRDefault="00757124" w:rsidP="00757124">
            <w:pPr>
              <w:jc w:val="both"/>
              <w:rPr>
                <w:rFonts w:ascii="Times New Roman" w:eastAsia="Times New Roman" w:hAnsi="Times New Roman" w:cs="Times New Roman"/>
                <w:sz w:val="18"/>
                <w:szCs w:val="18"/>
                <w:lang w:eastAsia="es-SV"/>
              </w:rPr>
            </w:pPr>
          </w:p>
          <w:p w:rsidR="00757124" w:rsidRPr="00757124" w:rsidRDefault="00757124" w:rsidP="00757124">
            <w:pPr>
              <w:jc w:val="both"/>
              <w:rPr>
                <w:rFonts w:ascii="Times New Roman" w:eastAsia="Times New Roman" w:hAnsi="Times New Roman" w:cs="Times New Roman"/>
                <w:sz w:val="18"/>
                <w:szCs w:val="18"/>
                <w:lang w:eastAsia="es-SV"/>
              </w:rPr>
            </w:pPr>
          </w:p>
        </w:tc>
        <w:tc>
          <w:tcPr>
            <w:tcW w:w="6359" w:type="dxa"/>
          </w:tcPr>
          <w:p w:rsidR="00757124" w:rsidRPr="00757124" w:rsidRDefault="00757124" w:rsidP="00757124">
            <w:pPr>
              <w:jc w:val="both"/>
              <w:rPr>
                <w:rFonts w:ascii="Times New Roman" w:eastAsia="Times New Roman" w:hAnsi="Times New Roman" w:cs="Calibri"/>
                <w:color w:val="FF0000"/>
                <w:sz w:val="18"/>
                <w:szCs w:val="18"/>
                <w:lang w:eastAsia="es-SV"/>
              </w:rPr>
            </w:pPr>
            <w:r w:rsidRPr="00757124">
              <w:rPr>
                <w:rFonts w:ascii="Times New Roman" w:eastAsia="Times New Roman" w:hAnsi="Times New Roman" w:cs="Calibri"/>
                <w:sz w:val="18"/>
                <w:szCs w:val="18"/>
                <w:lang w:eastAsia="es-SV"/>
              </w:rPr>
              <w:t xml:space="preserve">En vista de no contar con la unidad proyección social actualmente, la responsabilidad recayó sobre la comisión y la entrega de las invitaciones en los concejales a los líderes y lideresas del territorio, y desde la municipalidad se les envió a los representantes de </w:t>
            </w:r>
            <w:proofErr w:type="spellStart"/>
            <w:r w:rsidRPr="00757124">
              <w:rPr>
                <w:rFonts w:ascii="Times New Roman" w:eastAsia="Times New Roman" w:hAnsi="Times New Roman" w:cs="Calibri"/>
                <w:sz w:val="18"/>
                <w:szCs w:val="18"/>
                <w:lang w:eastAsia="es-SV"/>
              </w:rPr>
              <w:t>ONG´s</w:t>
            </w:r>
            <w:proofErr w:type="spellEnd"/>
            <w:r w:rsidRPr="00757124">
              <w:rPr>
                <w:rFonts w:ascii="Times New Roman" w:eastAsia="Times New Roman" w:hAnsi="Times New Roman" w:cs="Calibri"/>
                <w:sz w:val="18"/>
                <w:szCs w:val="18"/>
                <w:lang w:eastAsia="es-SV"/>
              </w:rPr>
              <w:t xml:space="preserve"> e instituciones.</w:t>
            </w:r>
          </w:p>
        </w:tc>
      </w:tr>
      <w:tr w:rsidR="00757124" w:rsidRPr="00757124" w:rsidTr="003D304B">
        <w:trPr>
          <w:tblCellSpacing w:w="20" w:type="dxa"/>
        </w:trPr>
        <w:tc>
          <w:tcPr>
            <w:tcW w:w="9025" w:type="dxa"/>
            <w:gridSpan w:val="4"/>
            <w:shd w:val="clear" w:color="auto" w:fill="FBE4D5" w:themeFill="accent2" w:themeFillTint="33"/>
          </w:tcPr>
          <w:p w:rsidR="00757124" w:rsidRPr="00757124" w:rsidRDefault="00757124" w:rsidP="00757124">
            <w:pPr>
              <w:spacing w:line="276" w:lineRule="auto"/>
              <w:rPr>
                <w:rFonts w:ascii="Times New Roman" w:eastAsia="Times New Roman" w:hAnsi="Times New Roman" w:cs="Calibri"/>
                <w:color w:val="FF0000"/>
                <w:lang w:eastAsia="es-SV"/>
              </w:rPr>
            </w:pPr>
            <w:r w:rsidRPr="00757124">
              <w:rPr>
                <w:rFonts w:ascii="Times New Roman" w:eastAsia="Times New Roman" w:hAnsi="Times New Roman" w:cs="Times New Roman"/>
                <w:lang w:eastAsia="es-SV"/>
              </w:rPr>
              <w:lastRenderedPageBreak/>
              <w:t xml:space="preserve">PASO 4 </w:t>
            </w:r>
            <w:r w:rsidRPr="00757124">
              <w:rPr>
                <w:rFonts w:ascii="Times New Roman" w:eastAsia="Times New Roman" w:hAnsi="Times New Roman" w:cs="Times New Roman"/>
                <w:b/>
                <w:lang w:eastAsia="es-SV"/>
              </w:rPr>
              <w:t>“REALIZACION DE AUDIENCIA Y APERTURA AL DIALOGO”</w:t>
            </w:r>
          </w:p>
        </w:tc>
      </w:tr>
      <w:tr w:rsidR="00757124" w:rsidRPr="00757124" w:rsidTr="003D304B">
        <w:trPr>
          <w:tblCellSpacing w:w="20" w:type="dxa"/>
        </w:trPr>
        <w:tc>
          <w:tcPr>
            <w:tcW w:w="2626" w:type="dxa"/>
            <w:gridSpan w:val="3"/>
          </w:tcPr>
          <w:p w:rsidR="00757124" w:rsidRPr="00757124" w:rsidRDefault="00757124" w:rsidP="00757124">
            <w:pPr>
              <w:numPr>
                <w:ilvl w:val="1"/>
                <w:numId w:val="6"/>
              </w:numPr>
              <w:ind w:left="396"/>
              <w:contextualSpacing/>
              <w:jc w:val="both"/>
              <w:rPr>
                <w:rFonts w:ascii="Times New Roman" w:eastAsia="Times New Roman" w:hAnsi="Times New Roman" w:cs="Times New Roman"/>
                <w:sz w:val="18"/>
                <w:szCs w:val="18"/>
                <w:lang w:eastAsia="es-SV"/>
              </w:rPr>
            </w:pPr>
            <w:r w:rsidRPr="00757124">
              <w:rPr>
                <w:rFonts w:ascii="Times New Roman" w:eastAsia="Times New Roman" w:hAnsi="Times New Roman" w:cs="Times New Roman"/>
                <w:sz w:val="18"/>
                <w:szCs w:val="18"/>
                <w:lang w:eastAsia="es-SV"/>
              </w:rPr>
              <w:t>Presentación y explicación de los resultados de la gestión municipal.</w:t>
            </w:r>
          </w:p>
        </w:tc>
        <w:tc>
          <w:tcPr>
            <w:tcW w:w="6359" w:type="dxa"/>
          </w:tcPr>
          <w:p w:rsidR="00757124" w:rsidRPr="00757124" w:rsidRDefault="00757124" w:rsidP="00757124">
            <w:pPr>
              <w:jc w:val="both"/>
              <w:rPr>
                <w:rFonts w:ascii="Times New Roman" w:eastAsia="Times New Roman" w:hAnsi="Times New Roman" w:cs="Calibri"/>
                <w:color w:val="FF0000"/>
                <w:sz w:val="18"/>
                <w:szCs w:val="18"/>
                <w:lang w:eastAsia="es-SV"/>
              </w:rPr>
            </w:pPr>
            <w:r w:rsidRPr="00757124">
              <w:rPr>
                <w:rFonts w:ascii="Times New Roman" w:eastAsia="Times New Roman" w:hAnsi="Times New Roman" w:cs="Calibri"/>
                <w:sz w:val="18"/>
                <w:szCs w:val="18"/>
                <w:lang w:eastAsia="es-SV"/>
              </w:rPr>
              <w:t xml:space="preserve">La apertura y bienvenida al evento estuvo a cargo del alcalde municipal Sr. Lázaro Flores, y los temas fueron abordados según correspondía a cada el jefe de la unidad de dónde provenía la información, asistieron a este evento el alcalde electo Coronel </w:t>
            </w:r>
            <w:proofErr w:type="spellStart"/>
            <w:r w:rsidRPr="00757124">
              <w:rPr>
                <w:rFonts w:ascii="Times New Roman" w:eastAsia="Times New Roman" w:hAnsi="Times New Roman" w:cs="Calibri"/>
                <w:sz w:val="18"/>
                <w:szCs w:val="18"/>
                <w:lang w:eastAsia="es-SV"/>
              </w:rPr>
              <w:t>Oswald</w:t>
            </w:r>
            <w:proofErr w:type="spellEnd"/>
            <w:r w:rsidRPr="00757124">
              <w:rPr>
                <w:rFonts w:ascii="Times New Roman" w:eastAsia="Times New Roman" w:hAnsi="Times New Roman" w:cs="Calibri"/>
                <w:sz w:val="18"/>
                <w:szCs w:val="18"/>
                <w:lang w:eastAsia="es-SV"/>
              </w:rPr>
              <w:t xml:space="preserve"> </w:t>
            </w:r>
            <w:proofErr w:type="spellStart"/>
            <w:r w:rsidRPr="00757124">
              <w:rPr>
                <w:rFonts w:ascii="Times New Roman" w:eastAsia="Times New Roman" w:hAnsi="Times New Roman" w:cs="Calibri"/>
                <w:sz w:val="18"/>
                <w:szCs w:val="18"/>
                <w:lang w:eastAsia="es-SV"/>
              </w:rPr>
              <w:t>Sibrian</w:t>
            </w:r>
            <w:proofErr w:type="spellEnd"/>
            <w:r w:rsidRPr="00757124">
              <w:rPr>
                <w:rFonts w:ascii="Times New Roman" w:eastAsia="Times New Roman" w:hAnsi="Times New Roman" w:cs="Calibri"/>
                <w:sz w:val="18"/>
                <w:szCs w:val="18"/>
                <w:lang w:eastAsia="es-SV"/>
              </w:rPr>
              <w:t xml:space="preserve"> y parte del concejo entrante.</w:t>
            </w:r>
          </w:p>
        </w:tc>
      </w:tr>
      <w:tr w:rsidR="00757124" w:rsidRPr="00757124" w:rsidTr="003D304B">
        <w:trPr>
          <w:tblCellSpacing w:w="20" w:type="dxa"/>
        </w:trPr>
        <w:tc>
          <w:tcPr>
            <w:tcW w:w="2626" w:type="dxa"/>
            <w:gridSpan w:val="3"/>
          </w:tcPr>
          <w:p w:rsidR="00757124" w:rsidRPr="00757124" w:rsidRDefault="00757124" w:rsidP="00757124">
            <w:pPr>
              <w:numPr>
                <w:ilvl w:val="1"/>
                <w:numId w:val="6"/>
              </w:numPr>
              <w:ind w:left="396"/>
              <w:contextualSpacing/>
              <w:rPr>
                <w:rFonts w:ascii="Times New Roman" w:eastAsia="Times New Roman" w:hAnsi="Times New Roman" w:cs="Times New Roman"/>
                <w:sz w:val="18"/>
                <w:szCs w:val="18"/>
                <w:lang w:eastAsia="es-SV"/>
              </w:rPr>
            </w:pPr>
            <w:r w:rsidRPr="00757124">
              <w:rPr>
                <w:rFonts w:ascii="Times New Roman" w:eastAsia="Times New Roman" w:hAnsi="Times New Roman" w:cs="Times New Roman"/>
                <w:sz w:val="18"/>
                <w:szCs w:val="18"/>
                <w:lang w:eastAsia="es-SV"/>
              </w:rPr>
              <w:t>Apertura del espacio para la interlocución entre la sociedad civil y la municipalidad respecto a la presentación realizada.</w:t>
            </w:r>
          </w:p>
        </w:tc>
        <w:tc>
          <w:tcPr>
            <w:tcW w:w="6359" w:type="dxa"/>
          </w:tcPr>
          <w:p w:rsidR="00757124" w:rsidRPr="00757124" w:rsidRDefault="00757124" w:rsidP="00757124">
            <w:pPr>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 xml:space="preserve">Después de la presentación del informe, se pasó al espacio de preguntas y respuestas las cuales se realizaron a micrófono abierto. </w:t>
            </w:r>
          </w:p>
          <w:p w:rsidR="00757124" w:rsidRPr="00757124" w:rsidRDefault="00757124" w:rsidP="00757124">
            <w:pPr>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Las preguntas fueron respondidas por el Señor Alcalde Municipal y por su equipo técnico (jefaturas) El alcalde entrante participó además, agradeciendo la apertura y detalle de informarle sobre la situación administrativa de la municipalidad previo a la entrega oficial e hizo un llamado al trabajo en conjunto en pro del desarrollo del municipio.</w:t>
            </w:r>
          </w:p>
        </w:tc>
      </w:tr>
      <w:tr w:rsidR="00757124" w:rsidRPr="00757124" w:rsidTr="003D304B">
        <w:trPr>
          <w:tblCellSpacing w:w="20" w:type="dxa"/>
        </w:trPr>
        <w:tc>
          <w:tcPr>
            <w:tcW w:w="9025" w:type="dxa"/>
            <w:gridSpan w:val="4"/>
          </w:tcPr>
          <w:p w:rsidR="00757124" w:rsidRPr="00757124" w:rsidRDefault="00757124" w:rsidP="00757124">
            <w:pPr>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 xml:space="preserve">Reflexiones de los participantes: </w:t>
            </w:r>
          </w:p>
          <w:p w:rsidR="00757124" w:rsidRPr="00757124" w:rsidRDefault="00757124" w:rsidP="00757124">
            <w:pPr>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 xml:space="preserve">Entre las preguntas y comentarios que realizaron los participantes están: </w:t>
            </w:r>
          </w:p>
          <w:p w:rsidR="00757124" w:rsidRPr="00757124" w:rsidRDefault="00757124" w:rsidP="00757124">
            <w:pPr>
              <w:numPr>
                <w:ilvl w:val="0"/>
                <w:numId w:val="7"/>
              </w:numPr>
              <w:contextualSpacing/>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¿Qué pasará con los proyectos que se están ejecutando con contrapartida de CAPRES?</w:t>
            </w:r>
          </w:p>
          <w:p w:rsidR="00757124" w:rsidRPr="00757124" w:rsidRDefault="00757124" w:rsidP="00757124">
            <w:pPr>
              <w:numPr>
                <w:ilvl w:val="0"/>
                <w:numId w:val="7"/>
              </w:numPr>
              <w:contextualSpacing/>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¿Por qué no se han estancado los proyectos que se construyen con contrapartida de CAPRES</w:t>
            </w:r>
          </w:p>
          <w:p w:rsidR="00757124" w:rsidRPr="00757124" w:rsidRDefault="00757124" w:rsidP="00757124">
            <w:pPr>
              <w:numPr>
                <w:ilvl w:val="0"/>
                <w:numId w:val="7"/>
              </w:numPr>
              <w:contextualSpacing/>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¿Por qué el Concejo Municipal saliente no ha acompañado en presentar el informe de la rendición de cuentas?</w:t>
            </w:r>
          </w:p>
          <w:p w:rsidR="00757124" w:rsidRPr="00757124" w:rsidRDefault="00757124" w:rsidP="00757124">
            <w:pPr>
              <w:numPr>
                <w:ilvl w:val="0"/>
                <w:numId w:val="7"/>
              </w:numPr>
              <w:contextualSpacing/>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Porque el Concejo Municipal saliente no está completo</w:t>
            </w:r>
            <w:proofErr w:type="gramStart"/>
            <w:r w:rsidRPr="00757124">
              <w:rPr>
                <w:rFonts w:ascii="Times New Roman" w:eastAsia="Times New Roman" w:hAnsi="Times New Roman" w:cs="Calibri"/>
                <w:sz w:val="18"/>
                <w:szCs w:val="18"/>
                <w:lang w:eastAsia="es-SV"/>
              </w:rPr>
              <w:t>?</w:t>
            </w:r>
            <w:proofErr w:type="gramEnd"/>
          </w:p>
          <w:p w:rsidR="00757124" w:rsidRPr="00757124" w:rsidRDefault="00757124" w:rsidP="00757124">
            <w:pPr>
              <w:numPr>
                <w:ilvl w:val="0"/>
                <w:numId w:val="7"/>
              </w:numPr>
              <w:contextualSpacing/>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Mensajes de felicitación por la gestión realizada durante los periodos que administro la municipalidad</w:t>
            </w:r>
          </w:p>
          <w:p w:rsidR="00757124" w:rsidRPr="00757124" w:rsidRDefault="00757124" w:rsidP="00757124">
            <w:pPr>
              <w:numPr>
                <w:ilvl w:val="0"/>
                <w:numId w:val="7"/>
              </w:numPr>
              <w:contextualSpacing/>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Mensajes de agradecimiento por el apoyo brindado a las comunidades durante su gestión.</w:t>
            </w:r>
          </w:p>
        </w:tc>
      </w:tr>
      <w:tr w:rsidR="00757124" w:rsidRPr="00757124" w:rsidTr="003D304B">
        <w:tblPrEx>
          <w:tblBorders>
            <w:top w:val="none" w:sz="0" w:space="0" w:color="auto"/>
          </w:tblBorders>
        </w:tblPrEx>
        <w:trPr>
          <w:tblCellSpacing w:w="20" w:type="dxa"/>
        </w:trPr>
        <w:tc>
          <w:tcPr>
            <w:tcW w:w="9025" w:type="dxa"/>
            <w:gridSpan w:val="4"/>
            <w:shd w:val="clear" w:color="auto" w:fill="CCCCFF"/>
          </w:tcPr>
          <w:p w:rsidR="00757124" w:rsidRPr="00757124" w:rsidRDefault="00757124" w:rsidP="00757124">
            <w:pPr>
              <w:spacing w:line="276" w:lineRule="auto"/>
              <w:rPr>
                <w:rFonts w:ascii="Times New Roman" w:eastAsia="Times New Roman" w:hAnsi="Times New Roman" w:cs="Calibri"/>
                <w:color w:val="FF0000"/>
                <w:lang w:eastAsia="es-SV"/>
              </w:rPr>
            </w:pPr>
            <w:r w:rsidRPr="00757124">
              <w:rPr>
                <w:rFonts w:ascii="Times New Roman" w:eastAsia="Times New Roman" w:hAnsi="Times New Roman" w:cs="Times New Roman"/>
                <w:lang w:eastAsia="es-SV"/>
              </w:rPr>
              <w:t xml:space="preserve">PASO 5 </w:t>
            </w:r>
            <w:r w:rsidRPr="00757124">
              <w:rPr>
                <w:rFonts w:ascii="Times New Roman" w:eastAsia="Times New Roman" w:hAnsi="Times New Roman" w:cs="Times New Roman"/>
                <w:b/>
                <w:lang w:eastAsia="es-SV"/>
              </w:rPr>
              <w:t>“DECLARACIÓN DE COMPROMISO Y EVALUACIÓN DE AUDIENCIA”</w:t>
            </w:r>
          </w:p>
        </w:tc>
      </w:tr>
      <w:tr w:rsidR="00757124" w:rsidRPr="00757124" w:rsidTr="003D304B">
        <w:tblPrEx>
          <w:tblBorders>
            <w:top w:val="none" w:sz="0" w:space="0" w:color="auto"/>
          </w:tblBorders>
        </w:tblPrEx>
        <w:trPr>
          <w:tblCellSpacing w:w="20" w:type="dxa"/>
        </w:trPr>
        <w:tc>
          <w:tcPr>
            <w:tcW w:w="2626" w:type="dxa"/>
            <w:gridSpan w:val="3"/>
          </w:tcPr>
          <w:p w:rsidR="00757124" w:rsidRPr="00757124" w:rsidRDefault="00757124" w:rsidP="00757124">
            <w:pPr>
              <w:numPr>
                <w:ilvl w:val="1"/>
                <w:numId w:val="8"/>
              </w:numPr>
              <w:ind w:left="426"/>
              <w:contextualSpacing/>
              <w:jc w:val="both"/>
              <w:rPr>
                <w:rFonts w:ascii="Times New Roman" w:eastAsia="Times New Roman" w:hAnsi="Times New Roman" w:cs="Times New Roman"/>
                <w:color w:val="FF0000"/>
                <w:sz w:val="18"/>
                <w:lang w:eastAsia="es-SV"/>
              </w:rPr>
            </w:pPr>
            <w:r w:rsidRPr="00757124">
              <w:rPr>
                <w:rFonts w:ascii="Times New Roman" w:eastAsia="Times New Roman" w:hAnsi="Times New Roman" w:cs="Times New Roman"/>
                <w:sz w:val="18"/>
                <w:lang w:eastAsia="es-SV"/>
              </w:rPr>
              <w:t>Evaluación escrita del evento para recibir las sugerencias, observaciones y recomendaciones.</w:t>
            </w:r>
          </w:p>
        </w:tc>
        <w:tc>
          <w:tcPr>
            <w:tcW w:w="6359" w:type="dxa"/>
          </w:tcPr>
          <w:p w:rsidR="00757124" w:rsidRPr="00757124" w:rsidRDefault="00757124" w:rsidP="00757124">
            <w:pPr>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 xml:space="preserve">La declaración de compromiso de realizar la rendición de cuentas anualmente se ha cumplido a la población por parte de la administración saliente e invito a la entrante a continuar cumpliendo con ello. </w:t>
            </w:r>
          </w:p>
          <w:p w:rsidR="00757124" w:rsidRPr="00757124" w:rsidRDefault="00757124" w:rsidP="00757124">
            <w:pPr>
              <w:jc w:val="both"/>
              <w:rPr>
                <w:rFonts w:ascii="Times New Roman" w:eastAsia="Times New Roman" w:hAnsi="Times New Roman" w:cs="Calibri"/>
                <w:sz w:val="18"/>
                <w:szCs w:val="18"/>
                <w:lang w:eastAsia="es-SV"/>
              </w:rPr>
            </w:pPr>
            <w:r w:rsidRPr="00757124">
              <w:rPr>
                <w:rFonts w:ascii="Times New Roman" w:eastAsia="Times New Roman" w:hAnsi="Times New Roman" w:cs="Calibri"/>
                <w:sz w:val="18"/>
                <w:szCs w:val="18"/>
                <w:lang w:eastAsia="es-SV"/>
              </w:rPr>
              <w:t>La evaluación del evento se pasó a asistentes al azar para que ellos respondieran el cuestionario y dieran su opinión respecto a la organización del evento, las preguntas que se realizaron a los participantes.</w:t>
            </w:r>
          </w:p>
          <w:p w:rsidR="00757124" w:rsidRPr="00757124" w:rsidRDefault="00757124" w:rsidP="00757124">
            <w:pPr>
              <w:jc w:val="both"/>
              <w:rPr>
                <w:rFonts w:ascii="Times New Roman" w:eastAsia="Times New Roman" w:hAnsi="Times New Roman" w:cs="Calibri"/>
                <w:color w:val="FF0000"/>
                <w:sz w:val="18"/>
                <w:szCs w:val="18"/>
                <w:lang w:eastAsia="es-SV"/>
              </w:rPr>
            </w:pPr>
            <w:r w:rsidRPr="00757124">
              <w:rPr>
                <w:rFonts w:ascii="Times New Roman" w:eastAsia="Times New Roman" w:hAnsi="Times New Roman" w:cs="Calibri"/>
                <w:sz w:val="18"/>
                <w:szCs w:val="18"/>
                <w:lang w:eastAsia="es-SV"/>
              </w:rPr>
              <w:t>Las evaluaciones, listados de asistencia entre otras herramientas están bajo resguardo de la municipalidad, pues esta asistencia se realizó como valor agregado y como apoyo a la gestión de la municipalidad en tiempo extra, o sea fuera de tiempo contractual de la consultoría para la que fue contratado AV Consultores. S.A. de C.V. (ver anexo 4.1, 4.3 y 4.4)</w:t>
            </w:r>
          </w:p>
        </w:tc>
      </w:tr>
      <w:tr w:rsidR="00757124" w:rsidRPr="00757124" w:rsidTr="003D304B">
        <w:tblPrEx>
          <w:tblBorders>
            <w:top w:val="none" w:sz="0" w:space="0" w:color="auto"/>
          </w:tblBorders>
        </w:tblPrEx>
        <w:trPr>
          <w:tblCellSpacing w:w="20" w:type="dxa"/>
        </w:trPr>
        <w:tc>
          <w:tcPr>
            <w:tcW w:w="9025" w:type="dxa"/>
            <w:gridSpan w:val="4"/>
            <w:shd w:val="clear" w:color="auto" w:fill="auto"/>
          </w:tcPr>
          <w:p w:rsidR="00757124" w:rsidRPr="00757124" w:rsidRDefault="00757124" w:rsidP="00757124">
            <w:pPr>
              <w:spacing w:after="200" w:line="276" w:lineRule="auto"/>
              <w:rPr>
                <w:rFonts w:ascii="Times New Roman" w:eastAsia="Times New Roman" w:hAnsi="Times New Roman" w:cs="Calibri"/>
                <w:sz w:val="18"/>
                <w:szCs w:val="18"/>
                <w:lang w:eastAsia="es-SV"/>
              </w:rPr>
            </w:pPr>
            <w:r w:rsidRPr="00757124">
              <w:rPr>
                <w:rFonts w:ascii="Times New Roman" w:eastAsia="Times New Roman" w:hAnsi="Times New Roman" w:cs="Calibri"/>
                <w:noProof/>
                <w:sz w:val="18"/>
                <w:szCs w:val="18"/>
                <w:lang w:eastAsia="es-SV"/>
              </w:rPr>
              <w:drawing>
                <wp:anchor distT="0" distB="0" distL="114300" distR="114300" simplePos="0" relativeHeight="251661312" behindDoc="1" locked="0" layoutInCell="1" allowOverlap="1" wp14:anchorId="382AC0B7" wp14:editId="5B300199">
                  <wp:simplePos x="0" y="0"/>
                  <wp:positionH relativeFrom="column">
                    <wp:posOffset>3823970</wp:posOffset>
                  </wp:positionH>
                  <wp:positionV relativeFrom="paragraph">
                    <wp:posOffset>209134</wp:posOffset>
                  </wp:positionV>
                  <wp:extent cx="1798709" cy="1010920"/>
                  <wp:effectExtent l="0" t="0" r="0" b="0"/>
                  <wp:wrapTight wrapText="bothSides">
                    <wp:wrapPolygon edited="0">
                      <wp:start x="0" y="0"/>
                      <wp:lineTo x="0" y="21166"/>
                      <wp:lineTo x="21280" y="21166"/>
                      <wp:lineTo x="2128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8709" cy="1010920"/>
                          </a:xfrm>
                          <a:prstGeom prst="rect">
                            <a:avLst/>
                          </a:prstGeom>
                          <a:noFill/>
                        </pic:spPr>
                      </pic:pic>
                    </a:graphicData>
                  </a:graphic>
                </wp:anchor>
              </w:drawing>
            </w:r>
            <w:r w:rsidRPr="00757124">
              <w:rPr>
                <w:rFonts w:ascii="Times New Roman" w:eastAsia="Times New Roman" w:hAnsi="Times New Roman" w:cs="Calibri"/>
                <w:noProof/>
                <w:sz w:val="18"/>
                <w:szCs w:val="18"/>
                <w:lang w:eastAsia="es-SV"/>
              </w:rPr>
              <w:drawing>
                <wp:anchor distT="0" distB="0" distL="114300" distR="114300" simplePos="0" relativeHeight="251660288" behindDoc="1" locked="0" layoutInCell="1" allowOverlap="1" wp14:anchorId="5BBA319B" wp14:editId="110DFE26">
                  <wp:simplePos x="0" y="0"/>
                  <wp:positionH relativeFrom="column">
                    <wp:posOffset>1918970</wp:posOffset>
                  </wp:positionH>
                  <wp:positionV relativeFrom="paragraph">
                    <wp:posOffset>183515</wp:posOffset>
                  </wp:positionV>
                  <wp:extent cx="1848485" cy="1036320"/>
                  <wp:effectExtent l="0" t="0" r="0" b="0"/>
                  <wp:wrapTight wrapText="bothSides">
                    <wp:wrapPolygon edited="0">
                      <wp:start x="0" y="0"/>
                      <wp:lineTo x="0" y="21044"/>
                      <wp:lineTo x="21370" y="21044"/>
                      <wp:lineTo x="2137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8485" cy="1036320"/>
                          </a:xfrm>
                          <a:prstGeom prst="rect">
                            <a:avLst/>
                          </a:prstGeom>
                          <a:noFill/>
                        </pic:spPr>
                      </pic:pic>
                    </a:graphicData>
                  </a:graphic>
                  <wp14:sizeRelH relativeFrom="margin">
                    <wp14:pctWidth>0</wp14:pctWidth>
                  </wp14:sizeRelH>
                  <wp14:sizeRelV relativeFrom="margin">
                    <wp14:pctHeight>0</wp14:pctHeight>
                  </wp14:sizeRelV>
                </wp:anchor>
              </w:drawing>
            </w:r>
            <w:r w:rsidRPr="00757124">
              <w:rPr>
                <w:rFonts w:ascii="Times New Roman" w:eastAsia="Times New Roman" w:hAnsi="Times New Roman" w:cs="Calibri"/>
                <w:noProof/>
                <w:color w:val="FF0000"/>
                <w:sz w:val="18"/>
                <w:szCs w:val="18"/>
                <w:lang w:eastAsia="es-SV"/>
              </w:rPr>
              <w:drawing>
                <wp:anchor distT="0" distB="0" distL="114300" distR="114300" simplePos="0" relativeHeight="251659264" behindDoc="1" locked="0" layoutInCell="1" allowOverlap="1" wp14:anchorId="60DBAE6D" wp14:editId="66BF7565">
                  <wp:simplePos x="0" y="0"/>
                  <wp:positionH relativeFrom="column">
                    <wp:posOffset>39370</wp:posOffset>
                  </wp:positionH>
                  <wp:positionV relativeFrom="paragraph">
                    <wp:posOffset>183515</wp:posOffset>
                  </wp:positionV>
                  <wp:extent cx="1837690" cy="1036320"/>
                  <wp:effectExtent l="0" t="0" r="0" b="0"/>
                  <wp:wrapTight wrapText="bothSides">
                    <wp:wrapPolygon edited="0">
                      <wp:start x="0" y="0"/>
                      <wp:lineTo x="0" y="21044"/>
                      <wp:lineTo x="21272" y="21044"/>
                      <wp:lineTo x="21272"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036320"/>
                          </a:xfrm>
                          <a:prstGeom prst="rect">
                            <a:avLst/>
                          </a:prstGeom>
                          <a:noFill/>
                        </pic:spPr>
                      </pic:pic>
                    </a:graphicData>
                  </a:graphic>
                  <wp14:sizeRelH relativeFrom="page">
                    <wp14:pctWidth>0</wp14:pctWidth>
                  </wp14:sizeRelH>
                  <wp14:sizeRelV relativeFrom="page">
                    <wp14:pctHeight>0</wp14:pctHeight>
                  </wp14:sizeRelV>
                </wp:anchor>
              </w:drawing>
            </w:r>
            <w:r w:rsidRPr="00757124">
              <w:rPr>
                <w:rFonts w:ascii="Times New Roman" w:eastAsia="Times New Roman" w:hAnsi="Times New Roman" w:cs="Calibri"/>
                <w:sz w:val="18"/>
                <w:szCs w:val="18"/>
                <w:lang w:eastAsia="es-SV"/>
              </w:rPr>
              <w:t>Fotografías:</w:t>
            </w:r>
          </w:p>
          <w:p w:rsidR="00757124" w:rsidRPr="00757124" w:rsidRDefault="00757124" w:rsidP="00757124">
            <w:pPr>
              <w:rPr>
                <w:rFonts w:ascii="Times New Roman" w:eastAsia="Times New Roman" w:hAnsi="Times New Roman" w:cs="Calibri"/>
                <w:sz w:val="18"/>
                <w:szCs w:val="18"/>
                <w:lang w:eastAsia="es-SV"/>
              </w:rPr>
            </w:pPr>
            <w:r w:rsidRPr="00757124">
              <w:rPr>
                <w:rFonts w:ascii="Times New Roman" w:eastAsia="Times New Roman" w:hAnsi="Times New Roman" w:cs="Calibri"/>
                <w:noProof/>
                <w:sz w:val="18"/>
                <w:szCs w:val="18"/>
                <w:lang w:eastAsia="es-SV"/>
              </w:rPr>
              <w:drawing>
                <wp:anchor distT="0" distB="0" distL="114300" distR="114300" simplePos="0" relativeHeight="251663360" behindDoc="1" locked="0" layoutInCell="1" allowOverlap="1" wp14:anchorId="5A078FD0" wp14:editId="6F24FC85">
                  <wp:simplePos x="0" y="0"/>
                  <wp:positionH relativeFrom="column">
                    <wp:posOffset>2945130</wp:posOffset>
                  </wp:positionH>
                  <wp:positionV relativeFrom="paragraph">
                    <wp:posOffset>1033780</wp:posOffset>
                  </wp:positionV>
                  <wp:extent cx="1854200" cy="1041400"/>
                  <wp:effectExtent l="0" t="0" r="0" b="6350"/>
                  <wp:wrapTight wrapText="bothSides">
                    <wp:wrapPolygon edited="0">
                      <wp:start x="0" y="0"/>
                      <wp:lineTo x="0" y="21337"/>
                      <wp:lineTo x="21304" y="21337"/>
                      <wp:lineTo x="21304"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200" cy="1041400"/>
                          </a:xfrm>
                          <a:prstGeom prst="rect">
                            <a:avLst/>
                          </a:prstGeom>
                          <a:noFill/>
                        </pic:spPr>
                      </pic:pic>
                    </a:graphicData>
                  </a:graphic>
                  <wp14:sizeRelH relativeFrom="margin">
                    <wp14:pctWidth>0</wp14:pctWidth>
                  </wp14:sizeRelH>
                  <wp14:sizeRelV relativeFrom="margin">
                    <wp14:pctHeight>0</wp14:pctHeight>
                  </wp14:sizeRelV>
                </wp:anchor>
              </w:drawing>
            </w:r>
            <w:r w:rsidRPr="00757124">
              <w:rPr>
                <w:rFonts w:ascii="Times New Roman" w:eastAsia="Times New Roman" w:hAnsi="Times New Roman" w:cs="Calibri"/>
                <w:noProof/>
                <w:sz w:val="18"/>
                <w:szCs w:val="18"/>
                <w:lang w:eastAsia="es-SV"/>
              </w:rPr>
              <w:drawing>
                <wp:anchor distT="0" distB="0" distL="114300" distR="114300" simplePos="0" relativeHeight="251662336" behindDoc="1" locked="0" layoutInCell="1" allowOverlap="1" wp14:anchorId="78F871F9" wp14:editId="6E3960CE">
                  <wp:simplePos x="0" y="0"/>
                  <wp:positionH relativeFrom="column">
                    <wp:posOffset>608330</wp:posOffset>
                  </wp:positionH>
                  <wp:positionV relativeFrom="paragraph">
                    <wp:posOffset>1033780</wp:posOffset>
                  </wp:positionV>
                  <wp:extent cx="1878330" cy="1015431"/>
                  <wp:effectExtent l="0" t="0" r="7620" b="0"/>
                  <wp:wrapTight wrapText="bothSides">
                    <wp:wrapPolygon edited="0">
                      <wp:start x="0" y="0"/>
                      <wp:lineTo x="0" y="21073"/>
                      <wp:lineTo x="21469" y="21073"/>
                      <wp:lineTo x="21469"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8330" cy="1015431"/>
                          </a:xfrm>
                          <a:prstGeom prst="rect">
                            <a:avLst/>
                          </a:prstGeom>
                          <a:noFill/>
                        </pic:spPr>
                      </pic:pic>
                    </a:graphicData>
                  </a:graphic>
                </wp:anchor>
              </w:drawing>
            </w:r>
          </w:p>
          <w:p w:rsidR="00757124" w:rsidRPr="00757124" w:rsidRDefault="00757124" w:rsidP="00757124">
            <w:pPr>
              <w:rPr>
                <w:rFonts w:ascii="Times New Roman" w:eastAsia="Times New Roman" w:hAnsi="Times New Roman" w:cs="Calibri"/>
                <w:sz w:val="18"/>
                <w:szCs w:val="18"/>
                <w:lang w:eastAsia="es-SV"/>
              </w:rPr>
            </w:pPr>
          </w:p>
          <w:p w:rsidR="00757124" w:rsidRPr="00757124" w:rsidRDefault="00757124" w:rsidP="00757124">
            <w:pPr>
              <w:rPr>
                <w:rFonts w:ascii="Times New Roman" w:eastAsia="Times New Roman" w:hAnsi="Times New Roman" w:cs="Calibri"/>
                <w:sz w:val="18"/>
                <w:szCs w:val="18"/>
                <w:lang w:eastAsia="es-SV"/>
              </w:rPr>
            </w:pPr>
          </w:p>
          <w:p w:rsidR="00757124" w:rsidRPr="00757124" w:rsidRDefault="00757124" w:rsidP="00757124">
            <w:pPr>
              <w:rPr>
                <w:rFonts w:ascii="Times New Roman" w:eastAsia="Times New Roman" w:hAnsi="Times New Roman" w:cs="Calibri"/>
                <w:sz w:val="18"/>
                <w:szCs w:val="18"/>
                <w:lang w:eastAsia="es-SV"/>
              </w:rPr>
            </w:pPr>
          </w:p>
          <w:p w:rsidR="00757124" w:rsidRPr="00757124" w:rsidRDefault="00757124" w:rsidP="00757124">
            <w:pPr>
              <w:rPr>
                <w:rFonts w:ascii="Times New Roman" w:eastAsia="Times New Roman" w:hAnsi="Times New Roman" w:cs="Calibri"/>
                <w:sz w:val="18"/>
                <w:szCs w:val="18"/>
                <w:lang w:eastAsia="es-SV"/>
              </w:rPr>
            </w:pPr>
          </w:p>
          <w:p w:rsidR="00757124" w:rsidRPr="00757124" w:rsidRDefault="00757124" w:rsidP="00757124">
            <w:pPr>
              <w:rPr>
                <w:rFonts w:ascii="Times New Roman" w:eastAsia="Times New Roman" w:hAnsi="Times New Roman" w:cs="Calibri"/>
                <w:sz w:val="18"/>
                <w:szCs w:val="18"/>
                <w:lang w:eastAsia="es-SV"/>
              </w:rPr>
            </w:pPr>
          </w:p>
          <w:p w:rsidR="00757124" w:rsidRPr="00757124" w:rsidRDefault="00757124" w:rsidP="00757124">
            <w:pPr>
              <w:rPr>
                <w:rFonts w:ascii="Times New Roman" w:eastAsia="Times New Roman" w:hAnsi="Times New Roman" w:cs="Calibri"/>
                <w:sz w:val="18"/>
                <w:szCs w:val="18"/>
                <w:lang w:eastAsia="es-SV"/>
              </w:rPr>
            </w:pPr>
          </w:p>
          <w:p w:rsidR="00757124" w:rsidRPr="00757124" w:rsidRDefault="00757124" w:rsidP="00757124">
            <w:pPr>
              <w:rPr>
                <w:rFonts w:ascii="Times New Roman" w:eastAsia="Times New Roman" w:hAnsi="Times New Roman" w:cs="Calibri"/>
                <w:sz w:val="18"/>
                <w:szCs w:val="18"/>
                <w:lang w:eastAsia="es-SV"/>
              </w:rPr>
            </w:pPr>
          </w:p>
          <w:p w:rsidR="00757124" w:rsidRPr="00757124" w:rsidRDefault="00757124" w:rsidP="00757124">
            <w:pPr>
              <w:rPr>
                <w:rFonts w:ascii="Times New Roman" w:eastAsia="Times New Roman" w:hAnsi="Times New Roman" w:cs="Calibri"/>
                <w:sz w:val="18"/>
                <w:szCs w:val="18"/>
                <w:lang w:eastAsia="es-SV"/>
              </w:rPr>
            </w:pPr>
            <w:bookmarkStart w:id="2" w:name="_GoBack"/>
            <w:bookmarkEnd w:id="2"/>
          </w:p>
          <w:p w:rsidR="00757124" w:rsidRPr="00757124" w:rsidRDefault="00757124" w:rsidP="00757124">
            <w:pPr>
              <w:rPr>
                <w:rFonts w:ascii="Times New Roman" w:eastAsia="Times New Roman" w:hAnsi="Times New Roman" w:cs="Calibri"/>
                <w:sz w:val="18"/>
                <w:szCs w:val="18"/>
                <w:lang w:eastAsia="es-SV"/>
              </w:rPr>
            </w:pPr>
            <w:r w:rsidRPr="00757124">
              <w:rPr>
                <w:rFonts w:ascii="Times New Roman" w:eastAsia="Times New Roman" w:hAnsi="Times New Roman" w:cs="Calibri"/>
                <w:noProof/>
                <w:sz w:val="18"/>
                <w:szCs w:val="18"/>
                <w:lang w:eastAsia="es-SV"/>
              </w:rPr>
              <w:drawing>
                <wp:anchor distT="0" distB="0" distL="114300" distR="114300" simplePos="0" relativeHeight="251664384" behindDoc="1" locked="0" layoutInCell="1" allowOverlap="1" wp14:anchorId="2A43A8B6" wp14:editId="00AC1AEC">
                  <wp:simplePos x="0" y="0"/>
                  <wp:positionH relativeFrom="column">
                    <wp:posOffset>1807210</wp:posOffset>
                  </wp:positionH>
                  <wp:positionV relativeFrom="paragraph">
                    <wp:posOffset>46990</wp:posOffset>
                  </wp:positionV>
                  <wp:extent cx="1488440" cy="1082040"/>
                  <wp:effectExtent l="0" t="0" r="0" b="3810"/>
                  <wp:wrapTight wrapText="bothSides">
                    <wp:wrapPolygon edited="0">
                      <wp:start x="0" y="0"/>
                      <wp:lineTo x="0" y="21296"/>
                      <wp:lineTo x="21287" y="21296"/>
                      <wp:lineTo x="21287"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l="3287" t="1" r="22630" b="7341"/>
                          <a:stretch/>
                        </pic:blipFill>
                        <pic:spPr bwMode="auto">
                          <a:xfrm>
                            <a:off x="0" y="0"/>
                            <a:ext cx="1488440" cy="1082040"/>
                          </a:xfrm>
                          <a:prstGeom prst="rect">
                            <a:avLst/>
                          </a:prstGeom>
                          <a:noFill/>
                          <a:ln>
                            <a:noFill/>
                          </a:ln>
                          <a:extLst>
                            <a:ext uri="{53640926-AAD7-44D8-BBD7-CCE9431645EC}">
                              <a14:shadowObscured xmlns:a14="http://schemas.microsoft.com/office/drawing/2010/main"/>
                            </a:ext>
                          </a:extLst>
                        </pic:spPr>
                      </pic:pic>
                    </a:graphicData>
                  </a:graphic>
                </wp:anchor>
              </w:drawing>
            </w:r>
          </w:p>
          <w:p w:rsidR="00757124" w:rsidRPr="00757124" w:rsidRDefault="00757124" w:rsidP="00757124">
            <w:pPr>
              <w:rPr>
                <w:rFonts w:ascii="Times New Roman" w:eastAsia="Times New Roman" w:hAnsi="Times New Roman" w:cs="Calibri"/>
                <w:sz w:val="18"/>
                <w:szCs w:val="18"/>
                <w:lang w:eastAsia="es-SV"/>
              </w:rPr>
            </w:pPr>
          </w:p>
          <w:p w:rsidR="00757124" w:rsidRPr="00757124" w:rsidRDefault="00757124" w:rsidP="00757124">
            <w:pPr>
              <w:rPr>
                <w:rFonts w:ascii="Times New Roman" w:eastAsia="Times New Roman" w:hAnsi="Times New Roman" w:cs="Calibri"/>
                <w:sz w:val="18"/>
                <w:szCs w:val="18"/>
                <w:lang w:eastAsia="es-SV"/>
              </w:rPr>
            </w:pPr>
          </w:p>
          <w:p w:rsidR="00757124" w:rsidRPr="00757124" w:rsidRDefault="00757124" w:rsidP="00757124">
            <w:pPr>
              <w:rPr>
                <w:rFonts w:ascii="Times New Roman" w:eastAsia="Times New Roman" w:hAnsi="Times New Roman" w:cs="Calibri"/>
                <w:sz w:val="18"/>
                <w:szCs w:val="18"/>
                <w:lang w:eastAsia="es-SV"/>
              </w:rPr>
            </w:pPr>
          </w:p>
          <w:p w:rsidR="00757124" w:rsidRPr="00757124" w:rsidRDefault="00757124" w:rsidP="00757124">
            <w:pPr>
              <w:rPr>
                <w:rFonts w:ascii="Times New Roman" w:eastAsia="Times New Roman" w:hAnsi="Times New Roman" w:cs="Calibri"/>
                <w:sz w:val="18"/>
                <w:szCs w:val="18"/>
                <w:lang w:eastAsia="es-SV"/>
              </w:rPr>
            </w:pPr>
          </w:p>
          <w:p w:rsidR="00757124" w:rsidRPr="00757124" w:rsidRDefault="00757124" w:rsidP="00757124">
            <w:pPr>
              <w:rPr>
                <w:rFonts w:ascii="Times New Roman" w:eastAsia="Times New Roman" w:hAnsi="Times New Roman" w:cs="Calibri"/>
                <w:sz w:val="18"/>
                <w:szCs w:val="18"/>
                <w:lang w:eastAsia="es-SV"/>
              </w:rPr>
            </w:pPr>
          </w:p>
          <w:p w:rsidR="00757124" w:rsidRPr="00757124" w:rsidRDefault="00757124" w:rsidP="00757124">
            <w:pPr>
              <w:rPr>
                <w:rFonts w:ascii="Times New Roman" w:eastAsia="Times New Roman" w:hAnsi="Times New Roman" w:cs="Calibri"/>
                <w:sz w:val="18"/>
                <w:szCs w:val="18"/>
                <w:lang w:eastAsia="es-SV"/>
              </w:rPr>
            </w:pPr>
          </w:p>
          <w:p w:rsidR="00757124" w:rsidRPr="00757124" w:rsidRDefault="00757124" w:rsidP="00757124">
            <w:pPr>
              <w:spacing w:after="200" w:line="276" w:lineRule="auto"/>
              <w:jc w:val="center"/>
              <w:rPr>
                <w:rFonts w:ascii="Times New Roman" w:eastAsia="Times New Roman" w:hAnsi="Times New Roman" w:cs="Calibri"/>
                <w:color w:val="FF0000"/>
                <w:sz w:val="18"/>
                <w:szCs w:val="18"/>
                <w:lang w:eastAsia="es-SV"/>
              </w:rPr>
            </w:pPr>
          </w:p>
        </w:tc>
      </w:tr>
    </w:tbl>
    <w:p w:rsidR="00655BB2" w:rsidRDefault="00655BB2"/>
    <w:sectPr w:rsidR="00655BB2" w:rsidSect="00757124">
      <w:pgSz w:w="12240" w:h="15840"/>
      <w:pgMar w:top="1134"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563A0"/>
    <w:multiLevelType w:val="hybridMultilevel"/>
    <w:tmpl w:val="6C940C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2BE4874"/>
    <w:multiLevelType w:val="multilevel"/>
    <w:tmpl w:val="C0225DA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1FAC3422"/>
    <w:multiLevelType w:val="multilevel"/>
    <w:tmpl w:val="004CB2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93F7F95"/>
    <w:multiLevelType w:val="multilevel"/>
    <w:tmpl w:val="43EC3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34E44719"/>
    <w:multiLevelType w:val="multilevel"/>
    <w:tmpl w:val="D174DD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A8E2AC2"/>
    <w:multiLevelType w:val="multilevel"/>
    <w:tmpl w:val="6F185F1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54185CF7"/>
    <w:multiLevelType w:val="multilevel"/>
    <w:tmpl w:val="F3F82F16"/>
    <w:lvl w:ilvl="0">
      <w:start w:val="1"/>
      <w:numFmt w:val="decimal"/>
      <w:lvlText w:val="%1"/>
      <w:lvlJc w:val="left"/>
      <w:pPr>
        <w:ind w:left="360" w:hanging="360"/>
      </w:pPr>
      <w:rPr>
        <w:rFonts w:hint="default"/>
        <w:color w:val="auto"/>
      </w:rPr>
    </w:lvl>
    <w:lvl w:ilvl="1">
      <w:start w:val="1"/>
      <w:numFmt w:val="decimal"/>
      <w:lvlText w:val="%1.%2"/>
      <w:lvlJc w:val="left"/>
      <w:pPr>
        <w:ind w:left="1364" w:hanging="360"/>
      </w:pPr>
      <w:rPr>
        <w:rFonts w:hint="default"/>
        <w:color w:val="auto"/>
      </w:rPr>
    </w:lvl>
    <w:lvl w:ilvl="2">
      <w:start w:val="1"/>
      <w:numFmt w:val="decimal"/>
      <w:lvlText w:val="%1.%2.%3"/>
      <w:lvlJc w:val="left"/>
      <w:pPr>
        <w:ind w:left="2368" w:hanging="360"/>
      </w:pPr>
      <w:rPr>
        <w:rFonts w:hint="default"/>
        <w:color w:val="auto"/>
      </w:rPr>
    </w:lvl>
    <w:lvl w:ilvl="3">
      <w:start w:val="1"/>
      <w:numFmt w:val="decimal"/>
      <w:lvlText w:val="%1.%2.%3.%4"/>
      <w:lvlJc w:val="left"/>
      <w:pPr>
        <w:ind w:left="3732" w:hanging="720"/>
      </w:pPr>
      <w:rPr>
        <w:rFonts w:hint="default"/>
        <w:color w:val="auto"/>
      </w:rPr>
    </w:lvl>
    <w:lvl w:ilvl="4">
      <w:start w:val="1"/>
      <w:numFmt w:val="decimal"/>
      <w:lvlText w:val="%1.%2.%3.%4.%5"/>
      <w:lvlJc w:val="left"/>
      <w:pPr>
        <w:ind w:left="4736" w:hanging="720"/>
      </w:pPr>
      <w:rPr>
        <w:rFonts w:hint="default"/>
        <w:color w:val="auto"/>
      </w:rPr>
    </w:lvl>
    <w:lvl w:ilvl="5">
      <w:start w:val="1"/>
      <w:numFmt w:val="decimal"/>
      <w:lvlText w:val="%1.%2.%3.%4.%5.%6"/>
      <w:lvlJc w:val="left"/>
      <w:pPr>
        <w:ind w:left="6100" w:hanging="1080"/>
      </w:pPr>
      <w:rPr>
        <w:rFonts w:hint="default"/>
        <w:color w:val="auto"/>
      </w:rPr>
    </w:lvl>
    <w:lvl w:ilvl="6">
      <w:start w:val="1"/>
      <w:numFmt w:val="decimal"/>
      <w:lvlText w:val="%1.%2.%3.%4.%5.%6.%7"/>
      <w:lvlJc w:val="left"/>
      <w:pPr>
        <w:ind w:left="7104" w:hanging="1080"/>
      </w:pPr>
      <w:rPr>
        <w:rFonts w:hint="default"/>
        <w:color w:val="auto"/>
      </w:rPr>
    </w:lvl>
    <w:lvl w:ilvl="7">
      <w:start w:val="1"/>
      <w:numFmt w:val="decimal"/>
      <w:lvlText w:val="%1.%2.%3.%4.%5.%6.%7.%8"/>
      <w:lvlJc w:val="left"/>
      <w:pPr>
        <w:ind w:left="8108" w:hanging="1080"/>
      </w:pPr>
      <w:rPr>
        <w:rFonts w:hint="default"/>
        <w:color w:val="auto"/>
      </w:rPr>
    </w:lvl>
    <w:lvl w:ilvl="8">
      <w:start w:val="1"/>
      <w:numFmt w:val="decimal"/>
      <w:lvlText w:val="%1.%2.%3.%4.%5.%6.%7.%8.%9"/>
      <w:lvlJc w:val="left"/>
      <w:pPr>
        <w:ind w:left="9472" w:hanging="1440"/>
      </w:pPr>
      <w:rPr>
        <w:rFonts w:hint="default"/>
        <w:color w:val="auto"/>
      </w:rPr>
    </w:lvl>
  </w:abstractNum>
  <w:abstractNum w:abstractNumId="7">
    <w:nsid w:val="55723C65"/>
    <w:multiLevelType w:val="multilevel"/>
    <w:tmpl w:val="4FFCEEF0"/>
    <w:lvl w:ilvl="0">
      <w:start w:val="1"/>
      <w:numFmt w:val="decimal"/>
      <w:lvlText w:val="%1."/>
      <w:lvlJc w:val="left"/>
      <w:pPr>
        <w:ind w:left="720" w:hanging="360"/>
      </w:pPr>
      <w:rPr>
        <w:rFonts w:hint="default"/>
        <w:color w:val="auto"/>
      </w:rPr>
    </w:lvl>
    <w:lvl w:ilvl="1">
      <w:start w:val="4"/>
      <w:numFmt w:val="decimal"/>
      <w:isLgl/>
      <w:lvlText w:val="%1.%2"/>
      <w:lvlJc w:val="left"/>
      <w:pPr>
        <w:ind w:left="1637" w:hanging="36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136" w:hanging="1440"/>
      </w:pPr>
      <w:rPr>
        <w:rFonts w:hint="default"/>
      </w:rPr>
    </w:lvl>
  </w:abstractNum>
  <w:num w:numId="1">
    <w:abstractNumId w:val="1"/>
  </w:num>
  <w:num w:numId="2">
    <w:abstractNumId w:val="0"/>
  </w:num>
  <w:num w:numId="3">
    <w:abstractNumId w:val="6"/>
  </w:num>
  <w:num w:numId="4">
    <w:abstractNumId w:val="5"/>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59"/>
    <w:rsid w:val="00655BB2"/>
    <w:rsid w:val="00757124"/>
    <w:rsid w:val="00AE3D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93DA2-0DD6-4452-A5EF-A71DE11D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571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1026</Words>
  <Characters>5647</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2019-05-07T16:31:00Z</dcterms:created>
  <dcterms:modified xsi:type="dcterms:W3CDTF">2019-05-07T16:33:00Z</dcterms:modified>
</cp:coreProperties>
</file>