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>SPP- 0</w:t>
      </w:r>
      <w:r w:rsidR="0090201F" w:rsidRPr="0090201F">
        <w:rPr>
          <w:rFonts w:ascii="Century Gothic" w:hAnsi="Century Gothic"/>
          <w:b/>
          <w:sz w:val="19"/>
          <w:szCs w:val="19"/>
        </w:rPr>
        <w:t>9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D21B36" w:rsidRPr="0090201F">
        <w:rPr>
          <w:rFonts w:ascii="Century Gothic" w:hAnsi="Century Gothic"/>
          <w:color w:val="000000"/>
          <w:sz w:val="19"/>
          <w:szCs w:val="19"/>
          <w:lang w:val="es-419"/>
        </w:rPr>
        <w:t>trece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5207A" w:rsidRPr="0090201F">
        <w:rPr>
          <w:rFonts w:ascii="Century Gothic" w:hAnsi="Century Gothic"/>
          <w:color w:val="000000"/>
          <w:sz w:val="19"/>
          <w:szCs w:val="19"/>
          <w:lang w:val="es-419"/>
        </w:rPr>
        <w:t>once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8A4DB3" w:rsidRPr="0090201F">
        <w:rPr>
          <w:rFonts w:ascii="Century Gothic" w:hAnsi="Century Gothic"/>
          <w:color w:val="000000"/>
          <w:sz w:val="19"/>
          <w:szCs w:val="19"/>
          <w:lang w:val="es-419"/>
        </w:rPr>
        <w:t>2</w:t>
      </w:r>
      <w:r w:rsidR="00D21B36" w:rsidRPr="0090201F">
        <w:rPr>
          <w:rFonts w:ascii="Century Gothic" w:hAnsi="Century Gothic"/>
          <w:color w:val="000000"/>
          <w:sz w:val="19"/>
          <w:szCs w:val="19"/>
          <w:lang w:val="es-419"/>
        </w:rPr>
        <w:t>6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05207A" w:rsidRPr="0090201F">
        <w:rPr>
          <w:rFonts w:ascii="Century Gothic" w:hAnsi="Century Gothic"/>
          <w:color w:val="000000"/>
          <w:sz w:val="19"/>
          <w:szCs w:val="19"/>
          <w:lang w:val="es-419"/>
        </w:rPr>
        <w:t>noviembre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dieciocho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90201F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A las once horas con diez minutos, del día 5 de febrero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21B36" w:rsidRPr="0090201F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bookmarkStart w:id="0" w:name="_GoBack"/>
      <w:bookmarkEnd w:id="0"/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5E3DF7" w:rsidRPr="0090201F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r w:rsidRPr="0090201F">
        <w:rPr>
          <w:rFonts w:ascii="Century Gothic" w:hAnsi="Century Gothic"/>
          <w:b/>
          <w:color w:val="000000"/>
          <w:sz w:val="19"/>
          <w:szCs w:val="19"/>
          <w:lang w:val="es-419"/>
        </w:rPr>
        <w:t>1) Acta del Concejo Municipal del día 30 de abril del 2018. 2) Presupuesto Municipal 2019.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90201F" w:rsidRPr="0090201F">
        <w:rPr>
          <w:rFonts w:ascii="Century Gothic" w:hAnsi="Century Gothic"/>
          <w:sz w:val="19"/>
          <w:szCs w:val="19"/>
        </w:rPr>
        <w:t>7</w:t>
      </w:r>
      <w:r w:rsidR="0005207A" w:rsidRPr="0090201F">
        <w:rPr>
          <w:rFonts w:ascii="Century Gothic" w:hAnsi="Century Gothic"/>
          <w:sz w:val="19"/>
          <w:szCs w:val="19"/>
        </w:rPr>
        <w:t xml:space="preserve"> de </w:t>
      </w:r>
      <w:r w:rsidR="0090201F" w:rsidRPr="0090201F">
        <w:rPr>
          <w:rFonts w:ascii="Century Gothic" w:hAnsi="Century Gothic"/>
          <w:sz w:val="19"/>
          <w:szCs w:val="19"/>
        </w:rPr>
        <w:t>febrero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90201F" w:rsidRPr="0090201F">
        <w:rPr>
          <w:rFonts w:ascii="Century Gothic" w:hAnsi="Century Gothic"/>
          <w:b/>
          <w:sz w:val="19"/>
          <w:szCs w:val="19"/>
        </w:rPr>
        <w:t>secretaría municipal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Pr="0090201F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90201F" w:rsidRPr="0090201F">
        <w:rPr>
          <w:rFonts w:ascii="Century Gothic" w:hAnsi="Century Gothic"/>
          <w:b/>
          <w:sz w:val="19"/>
          <w:szCs w:val="19"/>
        </w:rPr>
        <w:t>Secretaría Municipal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correspondientes </w:t>
      </w:r>
      <w:r w:rsidR="00D21B36" w:rsidRPr="0090201F">
        <w:rPr>
          <w:rFonts w:ascii="Century Gothic" w:hAnsi="Century Gothic"/>
          <w:sz w:val="19"/>
          <w:szCs w:val="19"/>
        </w:rPr>
        <w:t>respondió con</w:t>
      </w:r>
      <w:r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Pr="0090201F">
        <w:rPr>
          <w:rFonts w:ascii="Century Gothic" w:hAnsi="Century Gothic"/>
          <w:sz w:val="19"/>
          <w:szCs w:val="19"/>
        </w:rPr>
        <w:t xml:space="preserve"> memorándum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  <w:r w:rsidRPr="0090201F">
        <w:rPr>
          <w:rFonts w:ascii="Century Gothic" w:hAnsi="Century Gothic"/>
          <w:sz w:val="19"/>
          <w:szCs w:val="19"/>
        </w:rPr>
        <w:t>con la información solicitada en las fechas indicadas</w:t>
      </w:r>
      <w:r w:rsidR="0090201F" w:rsidRPr="0090201F">
        <w:rPr>
          <w:rFonts w:ascii="Century Gothic" w:hAnsi="Century Gothic"/>
          <w:sz w:val="19"/>
          <w:szCs w:val="19"/>
        </w:rPr>
        <w:t>, indicando que el acta del 30 de abril del 2018 no existe, por lo que no puede hacerme entrega de la misma.</w:t>
      </w:r>
    </w:p>
    <w:p w:rsidR="005F167C" w:rsidRPr="0090201F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>Por lo anteriormente expresado, 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de forma </w:t>
      </w:r>
      <w:r w:rsidR="0090201F" w:rsidRPr="0090201F">
        <w:rPr>
          <w:rFonts w:ascii="Century Gothic" w:hAnsi="Century Gothic"/>
          <w:sz w:val="19"/>
          <w:szCs w:val="19"/>
          <w:lang w:val="es-419" w:eastAsia="en-US"/>
        </w:rPr>
        <w:t>parcial</w:t>
      </w:r>
      <w:r w:rsidR="0005207A" w:rsidRPr="0090201F">
        <w:rPr>
          <w:rFonts w:ascii="Century Gothic" w:hAnsi="Century Gothic"/>
          <w:sz w:val="19"/>
          <w:szCs w:val="19"/>
          <w:lang w:val="es-419" w:eastAsia="en-US"/>
        </w:rPr>
        <w:t>,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ser considerada como </w:t>
      </w:r>
      <w:r w:rsidR="0092205E" w:rsidRPr="0090201F">
        <w:rPr>
          <w:rFonts w:ascii="Century Gothic" w:hAnsi="Century Gothic"/>
          <w:sz w:val="19"/>
          <w:szCs w:val="19"/>
          <w:lang w:val="es-419" w:eastAsia="en-US"/>
        </w:rPr>
        <w:t>pública, de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 conformidad a lo establecido en el art.6 literal c) de la Ley de Acceso a la Información Pública</w:t>
      </w:r>
      <w:r w:rsidR="0005207A" w:rsidRPr="0090201F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que ya se encuentra la información solicita en forma en que la pide.</w:t>
      </w:r>
    </w:p>
    <w:p w:rsidR="0090201F" w:rsidRPr="0090201F" w:rsidRDefault="0090201F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Notifíquese que no existe el acta de concejo municipal del 30 de abril del 2018.</w:t>
      </w:r>
    </w:p>
    <w:p w:rsidR="00B82C0A" w:rsidRPr="0090201F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Entréguese la información remitida a esta unidad por parte de la unidad administrativa que posee la información solicitada.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450" w:rsidRDefault="00B60450" w:rsidP="00793CC1">
      <w:pPr>
        <w:spacing w:after="0" w:line="240" w:lineRule="auto"/>
      </w:pPr>
      <w:r>
        <w:separator/>
      </w:r>
    </w:p>
  </w:endnote>
  <w:endnote w:type="continuationSeparator" w:id="0">
    <w:p w:rsidR="00B60450" w:rsidRDefault="00B60450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450" w:rsidRDefault="00B60450" w:rsidP="00793CC1">
      <w:pPr>
        <w:spacing w:after="0" w:line="240" w:lineRule="auto"/>
      </w:pPr>
      <w:r>
        <w:separator/>
      </w:r>
    </w:p>
  </w:footnote>
  <w:footnote w:type="continuationSeparator" w:id="0">
    <w:p w:rsidR="00B60450" w:rsidRDefault="00B60450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32F24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F20E5"/>
    <w:rsid w:val="008F3963"/>
    <w:rsid w:val="0090201F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60450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B6B7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2019-02-18T19:51:00Z</cp:lastPrinted>
  <dcterms:created xsi:type="dcterms:W3CDTF">2019-04-10T16:12:00Z</dcterms:created>
  <dcterms:modified xsi:type="dcterms:W3CDTF">2019-04-10T16:12:00Z</dcterms:modified>
</cp:coreProperties>
</file>