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</w:t>
      </w:r>
      <w:r w:rsidR="00A95E76">
        <w:rPr>
          <w:rFonts w:ascii="Century Gothic" w:hAnsi="Century Gothic"/>
          <w:b/>
          <w:sz w:val="20"/>
          <w:szCs w:val="20"/>
        </w:rPr>
        <w:t>08</w:t>
      </w:r>
      <w:r>
        <w:rPr>
          <w:rFonts w:ascii="Century Gothic" w:hAnsi="Century Gothic"/>
          <w:b/>
          <w:sz w:val="20"/>
          <w:szCs w:val="20"/>
        </w:rPr>
        <w:t>.INT.201</w:t>
      </w:r>
      <w:r w:rsidR="00A95E76">
        <w:rPr>
          <w:rFonts w:ascii="Century Gothic" w:hAnsi="Century Gothic"/>
          <w:b/>
          <w:sz w:val="20"/>
          <w:szCs w:val="20"/>
        </w:rPr>
        <w:t>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0D2FB9">
        <w:rPr>
          <w:rFonts w:ascii="Century Gothic" w:hAnsi="Century Gothic"/>
          <w:color w:val="000000"/>
          <w:sz w:val="20"/>
          <w:szCs w:val="20"/>
          <w:lang w:val="es-419"/>
        </w:rPr>
        <w:t>catorce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veinte y cuatro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>12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 xml:space="preserve"> diciembre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>cisiete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0414DE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>cuarenta y cuatro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0D2FB9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>9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>octubre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</w:t>
      </w:r>
      <w:r w:rsidR="00A95E76">
        <w:rPr>
          <w:rFonts w:ascii="Century Gothic" w:hAnsi="Century Gothic"/>
          <w:color w:val="000000"/>
          <w:sz w:val="20"/>
          <w:szCs w:val="20"/>
          <w:lang w:val="es-419"/>
        </w:rPr>
        <w:t>siete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bookmarkStart w:id="0" w:name="_GoBack"/>
      <w:bookmarkEnd w:id="0"/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A95E76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Acuerdo Municipal de Ayuda para caja fúnebre para Pedro Pérez García quien murió el 1 de mayo del 2015, persona que la solicitó fue Santos García</w:t>
      </w:r>
      <w:r w:rsidR="000D2FB9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A95E76" w:rsidRDefault="00A95E76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A95E76" w:rsidRDefault="00A95E76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 fecha 6 de diciembre del 2017 se le envió la solicitud pidiendo información al Secretario Municipal William Ramírez, quien a la fecha me notificó verbalmente que no existen acuerdos individuales de ayuda a personas fallecidas y que los fondos salen</w:t>
      </w:r>
      <w:r w:rsidR="00711815">
        <w:rPr>
          <w:rFonts w:ascii="Century Gothic" w:hAnsi="Century Gothic"/>
          <w:sz w:val="20"/>
          <w:szCs w:val="20"/>
        </w:rPr>
        <w:t xml:space="preserve"> del fondo circulante, sin </w:t>
      </w:r>
      <w:proofErr w:type="gramStart"/>
      <w:r w:rsidR="00711815">
        <w:rPr>
          <w:rFonts w:ascii="Century Gothic" w:hAnsi="Century Gothic"/>
          <w:sz w:val="20"/>
          <w:szCs w:val="20"/>
        </w:rPr>
        <w:t>embargo</w:t>
      </w:r>
      <w:proofErr w:type="gramEnd"/>
      <w:r w:rsidR="00711815">
        <w:rPr>
          <w:rFonts w:ascii="Century Gothic" w:hAnsi="Century Gothic"/>
          <w:sz w:val="20"/>
          <w:szCs w:val="20"/>
        </w:rPr>
        <w:t xml:space="preserve"> no existe dicho acuerdo. </w:t>
      </w:r>
    </w:p>
    <w:p w:rsidR="005F167C" w:rsidRDefault="000D2FB9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 tal manera que el infrascrito Oficial de Información, Evin Alexis Sánchez Pinto, determinó que no existe información que versa con </w:t>
      </w:r>
      <w:r w:rsidR="00711815">
        <w:rPr>
          <w:rFonts w:ascii="Century Gothic" w:hAnsi="Century Gothic"/>
          <w:sz w:val="20"/>
          <w:szCs w:val="20"/>
        </w:rPr>
        <w:t>el acuerdo de ayuda a caja fúnebre para Pedro Pérez García por lo que no se puede brindar la información solicitada.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A95E76" w:rsidRDefault="00A95E76" w:rsidP="00711815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95A01" w:rsidRPr="00595A01" w:rsidRDefault="00595A01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</w:t>
      </w:r>
      <w:r w:rsidR="000D2FB9">
        <w:rPr>
          <w:rFonts w:ascii="Century Gothic" w:hAnsi="Century Gothic"/>
          <w:sz w:val="20"/>
          <w:szCs w:val="20"/>
          <w:lang w:val="es-419" w:eastAsia="en-US"/>
        </w:rPr>
        <w:t>NO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0414DE" w:rsidRDefault="000D2FB9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  <w:lang w:val="es-419"/>
        </w:rPr>
        <w:t>Notifíquese que no se cuenta con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la información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por no contar con unidad encargada de la búsqueda de la misma.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FA" w:rsidRDefault="006637FA" w:rsidP="00793CC1">
      <w:pPr>
        <w:spacing w:after="0" w:line="240" w:lineRule="auto"/>
      </w:pPr>
      <w:r>
        <w:separator/>
      </w:r>
    </w:p>
  </w:endnote>
  <w:endnote w:type="continuationSeparator" w:id="0">
    <w:p w:rsidR="006637FA" w:rsidRDefault="006637FA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FA" w:rsidRDefault="006637FA" w:rsidP="00793CC1">
      <w:pPr>
        <w:spacing w:after="0" w:line="240" w:lineRule="auto"/>
      </w:pPr>
      <w:r>
        <w:separator/>
      </w:r>
    </w:p>
  </w:footnote>
  <w:footnote w:type="continuationSeparator" w:id="0">
    <w:p w:rsidR="006637FA" w:rsidRDefault="006637FA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94114"/>
    <w:rsid w:val="000C28FA"/>
    <w:rsid w:val="000D2FB9"/>
    <w:rsid w:val="00143D6C"/>
    <w:rsid w:val="001725A5"/>
    <w:rsid w:val="001D1060"/>
    <w:rsid w:val="001D6FA1"/>
    <w:rsid w:val="00277D7D"/>
    <w:rsid w:val="002865CC"/>
    <w:rsid w:val="002F038F"/>
    <w:rsid w:val="00321F48"/>
    <w:rsid w:val="003A6419"/>
    <w:rsid w:val="00407268"/>
    <w:rsid w:val="0045058E"/>
    <w:rsid w:val="0048436C"/>
    <w:rsid w:val="004B261C"/>
    <w:rsid w:val="004B4D36"/>
    <w:rsid w:val="004C1EF2"/>
    <w:rsid w:val="005004C8"/>
    <w:rsid w:val="0052791E"/>
    <w:rsid w:val="00595A01"/>
    <w:rsid w:val="005E1F1F"/>
    <w:rsid w:val="005F167C"/>
    <w:rsid w:val="00640F76"/>
    <w:rsid w:val="006637FA"/>
    <w:rsid w:val="00694C25"/>
    <w:rsid w:val="006A30A9"/>
    <w:rsid w:val="006E098D"/>
    <w:rsid w:val="006E72D7"/>
    <w:rsid w:val="00711815"/>
    <w:rsid w:val="00741A50"/>
    <w:rsid w:val="00757060"/>
    <w:rsid w:val="00793CC1"/>
    <w:rsid w:val="007C2D34"/>
    <w:rsid w:val="00812A83"/>
    <w:rsid w:val="008232A2"/>
    <w:rsid w:val="00832587"/>
    <w:rsid w:val="00866269"/>
    <w:rsid w:val="008F20E5"/>
    <w:rsid w:val="008F3963"/>
    <w:rsid w:val="00906307"/>
    <w:rsid w:val="00986275"/>
    <w:rsid w:val="009B0740"/>
    <w:rsid w:val="009C188B"/>
    <w:rsid w:val="00A553BD"/>
    <w:rsid w:val="00A609A1"/>
    <w:rsid w:val="00A70972"/>
    <w:rsid w:val="00A80CEC"/>
    <w:rsid w:val="00A847C0"/>
    <w:rsid w:val="00A95E76"/>
    <w:rsid w:val="00AA29E5"/>
    <w:rsid w:val="00B05C56"/>
    <w:rsid w:val="00B21E40"/>
    <w:rsid w:val="00B36582"/>
    <w:rsid w:val="00BA4F6E"/>
    <w:rsid w:val="00BA67BC"/>
    <w:rsid w:val="00BD3F64"/>
    <w:rsid w:val="00BE1528"/>
    <w:rsid w:val="00BF0A54"/>
    <w:rsid w:val="00BF1BB7"/>
    <w:rsid w:val="00C10598"/>
    <w:rsid w:val="00C77C82"/>
    <w:rsid w:val="00CC065D"/>
    <w:rsid w:val="00CC229D"/>
    <w:rsid w:val="00CE2ECA"/>
    <w:rsid w:val="00CE6BA1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B82D8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4</cp:revision>
  <cp:lastPrinted>2018-05-15T13:31:00Z</cp:lastPrinted>
  <dcterms:created xsi:type="dcterms:W3CDTF">2018-11-06T16:50:00Z</dcterms:created>
  <dcterms:modified xsi:type="dcterms:W3CDTF">2019-04-10T15:42:00Z</dcterms:modified>
</cp:coreProperties>
</file>