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0BF63" w14:textId="233D31DA" w:rsidR="00E80020" w:rsidRDefault="00F370EF" w:rsidP="00E80020">
      <w:pPr>
        <w:spacing w:after="0" w:line="240" w:lineRule="auto"/>
        <w:jc w:val="both"/>
        <w:rPr>
          <w:rFonts w:ascii="Century Gothic" w:eastAsia="Calibri" w:hAnsi="Century Gothic" w:cs="Times New Roman"/>
          <w:b/>
          <w:sz w:val="22"/>
          <w:szCs w:val="22"/>
          <w:lang w:val="es-SV"/>
        </w:rPr>
      </w:pPr>
      <w:r w:rsidRPr="00F370EF">
        <w:rPr>
          <w:rFonts w:ascii="Century Gothic" w:eastAsia="Calibri" w:hAnsi="Century Gothic" w:cs="Times New Roman"/>
          <w:b/>
          <w:sz w:val="22"/>
          <w:szCs w:val="22"/>
          <w:lang w:val="es-SV"/>
        </w:rPr>
        <w:t xml:space="preserve">Alcaldía Municipal de San Miguel, Unidad de Acceso a la Información Pública/OIR: En la ciudad de San Miguel, a las </w:t>
      </w:r>
      <w:r w:rsidR="0018745B">
        <w:rPr>
          <w:rFonts w:ascii="Century Gothic" w:eastAsia="Calibri" w:hAnsi="Century Gothic" w:cs="Times New Roman"/>
          <w:b/>
          <w:sz w:val="22"/>
          <w:szCs w:val="22"/>
          <w:lang w:val="es-SV"/>
        </w:rPr>
        <w:t>quince</w:t>
      </w:r>
      <w:r w:rsidR="00881364">
        <w:rPr>
          <w:rFonts w:ascii="Century Gothic" w:eastAsia="Calibri" w:hAnsi="Century Gothic" w:cs="Times New Roman"/>
          <w:b/>
          <w:sz w:val="22"/>
          <w:szCs w:val="22"/>
          <w:lang w:val="es-SV"/>
        </w:rPr>
        <w:t xml:space="preserve"> </w:t>
      </w:r>
      <w:r w:rsidR="00C01B2B">
        <w:rPr>
          <w:rFonts w:ascii="Century Gothic" w:eastAsia="Calibri" w:hAnsi="Century Gothic" w:cs="Times New Roman"/>
          <w:b/>
          <w:sz w:val="22"/>
          <w:szCs w:val="22"/>
          <w:lang w:val="es-SV"/>
        </w:rPr>
        <w:t>horas del</w:t>
      </w:r>
      <w:r w:rsidRPr="00F370EF">
        <w:rPr>
          <w:rFonts w:ascii="Century Gothic" w:eastAsia="Calibri" w:hAnsi="Century Gothic" w:cs="Times New Roman"/>
          <w:b/>
          <w:sz w:val="22"/>
          <w:szCs w:val="22"/>
          <w:lang w:val="es-SV"/>
        </w:rPr>
        <w:t xml:space="preserve"> día</w:t>
      </w:r>
      <w:r w:rsidR="00A16D05">
        <w:rPr>
          <w:rFonts w:ascii="Century Gothic" w:eastAsia="Calibri" w:hAnsi="Century Gothic" w:cs="Times New Roman"/>
          <w:b/>
          <w:sz w:val="22"/>
          <w:szCs w:val="22"/>
          <w:lang w:val="es-SV"/>
        </w:rPr>
        <w:t xml:space="preserve"> </w:t>
      </w:r>
      <w:r w:rsidR="0018745B">
        <w:rPr>
          <w:rFonts w:ascii="Century Gothic" w:eastAsia="Calibri" w:hAnsi="Century Gothic" w:cs="Times New Roman"/>
          <w:b/>
          <w:sz w:val="22"/>
          <w:szCs w:val="22"/>
          <w:lang w:val="es-SV"/>
        </w:rPr>
        <w:t>veintinueve</w:t>
      </w:r>
      <w:r w:rsidR="00E77949">
        <w:rPr>
          <w:rFonts w:ascii="Century Gothic" w:eastAsia="Calibri" w:hAnsi="Century Gothic" w:cs="Times New Roman"/>
          <w:b/>
          <w:sz w:val="22"/>
          <w:szCs w:val="22"/>
          <w:lang w:val="es-SV"/>
        </w:rPr>
        <w:t xml:space="preserve"> </w:t>
      </w:r>
      <w:r w:rsidR="00E77949" w:rsidRPr="00F370EF">
        <w:rPr>
          <w:rFonts w:ascii="Century Gothic" w:eastAsia="Calibri" w:hAnsi="Century Gothic" w:cs="Times New Roman"/>
          <w:b/>
          <w:sz w:val="22"/>
          <w:szCs w:val="22"/>
          <w:lang w:val="es-SV"/>
        </w:rPr>
        <w:t>de</w:t>
      </w:r>
      <w:r w:rsidRPr="00F370EF">
        <w:rPr>
          <w:rFonts w:ascii="Century Gothic" w:eastAsia="Calibri" w:hAnsi="Century Gothic" w:cs="Times New Roman"/>
          <w:b/>
          <w:sz w:val="22"/>
          <w:szCs w:val="22"/>
          <w:lang w:val="es-SV"/>
        </w:rPr>
        <w:t xml:space="preserve"> </w:t>
      </w:r>
      <w:r w:rsidR="003C5F52">
        <w:rPr>
          <w:rFonts w:ascii="Century Gothic" w:eastAsia="Calibri" w:hAnsi="Century Gothic" w:cs="Times New Roman"/>
          <w:b/>
          <w:sz w:val="22"/>
          <w:szCs w:val="22"/>
          <w:lang w:val="es-SV"/>
        </w:rPr>
        <w:t>octubre</w:t>
      </w:r>
      <w:r w:rsidRPr="00F370EF">
        <w:rPr>
          <w:rFonts w:ascii="Century Gothic" w:eastAsia="Calibri" w:hAnsi="Century Gothic" w:cs="Times New Roman"/>
          <w:b/>
          <w:sz w:val="22"/>
          <w:szCs w:val="22"/>
          <w:lang w:val="es-SV"/>
        </w:rPr>
        <w:t xml:space="preserve"> del año dos mil vei</w:t>
      </w:r>
      <w:r w:rsidR="002F4E28">
        <w:rPr>
          <w:rFonts w:ascii="Century Gothic" w:eastAsia="Calibri" w:hAnsi="Century Gothic" w:cs="Times New Roman"/>
          <w:b/>
          <w:sz w:val="22"/>
          <w:szCs w:val="22"/>
          <w:lang w:val="es-SV"/>
        </w:rPr>
        <w:t>nte.</w:t>
      </w:r>
    </w:p>
    <w:p w14:paraId="7DAE4298" w14:textId="77777777" w:rsidR="0018745B" w:rsidRPr="00F370EF" w:rsidRDefault="0018745B" w:rsidP="00E80020">
      <w:pPr>
        <w:spacing w:after="0" w:line="240" w:lineRule="auto"/>
        <w:jc w:val="both"/>
        <w:rPr>
          <w:rFonts w:ascii="Century Gothic" w:eastAsia="Calibri" w:hAnsi="Century Gothic" w:cs="Times New Roman"/>
          <w:b/>
          <w:sz w:val="22"/>
          <w:szCs w:val="22"/>
          <w:lang w:val="es-SV"/>
        </w:rPr>
      </w:pPr>
    </w:p>
    <w:p w14:paraId="0727C0EB" w14:textId="6025F102" w:rsidR="003C5F52" w:rsidRPr="00C3780F" w:rsidRDefault="00F370EF" w:rsidP="00C3780F">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Con vista de la solicitud de acceso a la información pública ingresada a través</w:t>
      </w:r>
      <w:r w:rsidRPr="00F370EF">
        <w:rPr>
          <w:rFonts w:ascii="Century Gothic" w:eastAsia="Calibri" w:hAnsi="Century Gothic" w:cs="Times New Roman"/>
          <w:sz w:val="22"/>
          <w:szCs w:val="22"/>
          <w:lang w:val="es-SV"/>
        </w:rPr>
        <w:t xml:space="preserve"> </w:t>
      </w:r>
      <w:r w:rsidRPr="00F370EF">
        <w:rPr>
          <w:rFonts w:ascii="Century Gothic" w:eastAsia="Calibri" w:hAnsi="Century Gothic" w:cs="Times New Roman"/>
          <w:bCs/>
          <w:sz w:val="22"/>
          <w:szCs w:val="22"/>
          <w:lang w:val="es-SV"/>
        </w:rPr>
        <w:t xml:space="preserve">del correo electrónico directo de esta unidad oir@sanmiguel.gob.sv, a la cual se les asigno los correlativo </w:t>
      </w:r>
      <w:r w:rsidRPr="00F370EF">
        <w:rPr>
          <w:rFonts w:ascii="Century Gothic" w:eastAsia="Calibri" w:hAnsi="Century Gothic" w:cs="Times New Roman"/>
          <w:b/>
          <w:sz w:val="22"/>
          <w:szCs w:val="22"/>
          <w:lang w:val="es-SV"/>
        </w:rPr>
        <w:t>ALC SM 2020-0</w:t>
      </w:r>
      <w:r w:rsidR="0018745B">
        <w:rPr>
          <w:rFonts w:ascii="Century Gothic" w:eastAsia="Calibri" w:hAnsi="Century Gothic" w:cs="Times New Roman"/>
          <w:b/>
          <w:sz w:val="22"/>
          <w:szCs w:val="22"/>
          <w:lang w:val="es-SV"/>
        </w:rPr>
        <w:t>6</w:t>
      </w:r>
      <w:r w:rsidR="00EA1D8F">
        <w:rPr>
          <w:rFonts w:ascii="Century Gothic" w:eastAsia="Calibri" w:hAnsi="Century Gothic" w:cs="Times New Roman"/>
          <w:b/>
          <w:sz w:val="22"/>
          <w:szCs w:val="22"/>
          <w:lang w:val="es-SV"/>
        </w:rPr>
        <w:t>1</w:t>
      </w:r>
      <w:r w:rsidRPr="00F370EF">
        <w:rPr>
          <w:rFonts w:ascii="Century Gothic" w:eastAsia="Calibri" w:hAnsi="Century Gothic" w:cs="Times New Roman"/>
          <w:b/>
          <w:sz w:val="22"/>
          <w:szCs w:val="22"/>
          <w:lang w:val="es-SV"/>
        </w:rPr>
        <w:t xml:space="preserve"> D</w:t>
      </w:r>
      <w:r w:rsidRPr="00F370EF">
        <w:rPr>
          <w:rFonts w:ascii="Century Gothic" w:eastAsia="Calibri" w:hAnsi="Century Gothic" w:cs="Times New Roman"/>
          <w:bCs/>
          <w:sz w:val="22"/>
          <w:szCs w:val="22"/>
          <w:lang w:val="es-SV"/>
        </w:rPr>
        <w:t xml:space="preserve">; </w:t>
      </w:r>
      <w:r w:rsidR="00E77949">
        <w:rPr>
          <w:rFonts w:ascii="Century Gothic" w:eastAsia="Calibri" w:hAnsi="Century Gothic" w:cs="Times New Roman"/>
          <w:bCs/>
          <w:sz w:val="22"/>
          <w:szCs w:val="22"/>
          <w:lang w:val="es-SV"/>
        </w:rPr>
        <w:t>recibida</w:t>
      </w:r>
      <w:r w:rsidR="00A16D05" w:rsidRPr="00A16D05">
        <w:rPr>
          <w:rFonts w:ascii="Century Gothic" w:eastAsia="Calibri" w:hAnsi="Century Gothic" w:cs="Times New Roman"/>
          <w:bCs/>
          <w:sz w:val="22"/>
          <w:szCs w:val="22"/>
          <w:lang w:val="es-SV"/>
        </w:rPr>
        <w:t xml:space="preserve"> el día </w:t>
      </w:r>
      <w:r w:rsidR="0018745B">
        <w:rPr>
          <w:rFonts w:ascii="Century Gothic" w:eastAsia="Calibri" w:hAnsi="Century Gothic" w:cs="Times New Roman"/>
          <w:bCs/>
          <w:sz w:val="22"/>
          <w:szCs w:val="22"/>
          <w:lang w:val="es-SV"/>
        </w:rPr>
        <w:t>16</w:t>
      </w:r>
      <w:r w:rsidR="004E5A73">
        <w:rPr>
          <w:rFonts w:ascii="Century Gothic" w:eastAsia="Calibri" w:hAnsi="Century Gothic" w:cs="Times New Roman"/>
          <w:bCs/>
          <w:sz w:val="22"/>
          <w:szCs w:val="22"/>
          <w:lang w:val="es-SV"/>
        </w:rPr>
        <w:t xml:space="preserve"> </w:t>
      </w:r>
      <w:r w:rsidR="00A16D05" w:rsidRPr="00A16D05">
        <w:rPr>
          <w:rFonts w:ascii="Century Gothic" w:eastAsia="Calibri" w:hAnsi="Century Gothic" w:cs="Times New Roman"/>
          <w:bCs/>
          <w:sz w:val="22"/>
          <w:szCs w:val="22"/>
          <w:lang w:val="es-SV"/>
        </w:rPr>
        <w:t xml:space="preserve">de </w:t>
      </w:r>
      <w:r w:rsidR="005271EA">
        <w:rPr>
          <w:rFonts w:ascii="Century Gothic" w:eastAsia="Calibri" w:hAnsi="Century Gothic" w:cs="Times New Roman"/>
          <w:bCs/>
          <w:sz w:val="22"/>
          <w:szCs w:val="22"/>
          <w:lang w:val="es-SV"/>
        </w:rPr>
        <w:t>octubre</w:t>
      </w:r>
      <w:r w:rsidR="00881364">
        <w:rPr>
          <w:rFonts w:ascii="Century Gothic" w:eastAsia="Calibri" w:hAnsi="Century Gothic" w:cs="Times New Roman"/>
          <w:bCs/>
          <w:sz w:val="22"/>
          <w:szCs w:val="22"/>
          <w:lang w:val="es-SV"/>
        </w:rPr>
        <w:t xml:space="preserve"> </w:t>
      </w:r>
      <w:r w:rsidR="00A16D05" w:rsidRPr="00A16D05">
        <w:rPr>
          <w:rFonts w:ascii="Century Gothic" w:eastAsia="Calibri" w:hAnsi="Century Gothic" w:cs="Times New Roman"/>
          <w:bCs/>
          <w:sz w:val="22"/>
          <w:szCs w:val="22"/>
          <w:lang w:val="es-SV"/>
        </w:rPr>
        <w:t>del corriente año, en la cual requiere:</w:t>
      </w:r>
    </w:p>
    <w:p w14:paraId="5FC8FAAE" w14:textId="77777777" w:rsidR="0018745B" w:rsidRDefault="0018745B" w:rsidP="00F370EF">
      <w:pPr>
        <w:spacing w:after="0" w:line="276" w:lineRule="auto"/>
        <w:jc w:val="both"/>
        <w:rPr>
          <w:rFonts w:ascii="Century Gothic" w:eastAsia="Calibri" w:hAnsi="Century Gothic" w:cs="Times New Roman"/>
          <w:b/>
          <w:bCs/>
          <w:sz w:val="22"/>
          <w:szCs w:val="22"/>
          <w:lang w:val="es-SV"/>
        </w:rPr>
      </w:pPr>
    </w:p>
    <w:p w14:paraId="080C3443" w14:textId="3770EEDF" w:rsidR="0018745B" w:rsidRDefault="0018745B" w:rsidP="0018745B">
      <w:pPr>
        <w:numPr>
          <w:ilvl w:val="0"/>
          <w:numId w:val="20"/>
        </w:numPr>
        <w:spacing w:after="0" w:line="276" w:lineRule="auto"/>
        <w:jc w:val="both"/>
        <w:rPr>
          <w:rFonts w:ascii="Century Gothic" w:eastAsia="Calibri" w:hAnsi="Century Gothic" w:cs="Times New Roman"/>
          <w:b/>
          <w:bCs/>
          <w:sz w:val="22"/>
          <w:szCs w:val="22"/>
          <w:lang w:val="es-SV"/>
        </w:rPr>
      </w:pPr>
      <w:r w:rsidRPr="0018745B">
        <w:rPr>
          <w:rFonts w:ascii="Century Gothic" w:eastAsia="Calibri" w:hAnsi="Century Gothic" w:cs="Times New Roman"/>
          <w:b/>
          <w:bCs/>
          <w:sz w:val="22"/>
          <w:szCs w:val="22"/>
          <w:lang w:val="es-SV"/>
        </w:rPr>
        <w:t>Copia de la Carpeta Técnica del Proyecto de Iluminación del Estadio Juan Francisco Barraza.</w:t>
      </w:r>
    </w:p>
    <w:p w14:paraId="0288AF2A" w14:textId="77777777" w:rsidR="0018745B" w:rsidRPr="0018745B" w:rsidRDefault="0018745B" w:rsidP="0018745B">
      <w:pPr>
        <w:spacing w:after="0" w:line="276" w:lineRule="auto"/>
        <w:ind w:left="720"/>
        <w:jc w:val="both"/>
        <w:rPr>
          <w:rFonts w:ascii="Century Gothic" w:eastAsia="Calibri" w:hAnsi="Century Gothic" w:cs="Times New Roman"/>
          <w:b/>
          <w:bCs/>
          <w:sz w:val="22"/>
          <w:szCs w:val="22"/>
          <w:lang w:val="es-SV"/>
        </w:rPr>
      </w:pPr>
    </w:p>
    <w:p w14:paraId="3CDFAD19" w14:textId="558EE99B" w:rsidR="0018745B" w:rsidRPr="0018745B" w:rsidRDefault="0018745B" w:rsidP="0018745B">
      <w:pPr>
        <w:numPr>
          <w:ilvl w:val="0"/>
          <w:numId w:val="20"/>
        </w:numPr>
        <w:spacing w:after="0" w:line="276" w:lineRule="auto"/>
        <w:jc w:val="both"/>
        <w:rPr>
          <w:rFonts w:ascii="Century Gothic" w:eastAsia="Calibri" w:hAnsi="Century Gothic" w:cs="Times New Roman"/>
          <w:b/>
          <w:bCs/>
          <w:sz w:val="22"/>
          <w:szCs w:val="22"/>
          <w:lang w:val="es-SV"/>
        </w:rPr>
      </w:pPr>
      <w:r w:rsidRPr="0018745B">
        <w:rPr>
          <w:rFonts w:ascii="Century Gothic" w:eastAsia="Calibri" w:hAnsi="Century Gothic" w:cs="Times New Roman"/>
          <w:b/>
          <w:bCs/>
          <w:sz w:val="22"/>
          <w:szCs w:val="22"/>
          <w:lang w:val="es-SV"/>
        </w:rPr>
        <w:t>Copia del Contrato inicial del Proyecto de Iluminación del Estadio Juan Francisco Barraza.</w:t>
      </w:r>
    </w:p>
    <w:p w14:paraId="7130CF35" w14:textId="77777777" w:rsidR="0018745B" w:rsidRPr="0018745B" w:rsidRDefault="0018745B" w:rsidP="0018745B">
      <w:pPr>
        <w:numPr>
          <w:ilvl w:val="0"/>
          <w:numId w:val="20"/>
        </w:numPr>
        <w:spacing w:after="0" w:line="276" w:lineRule="auto"/>
        <w:jc w:val="both"/>
        <w:rPr>
          <w:rFonts w:ascii="Century Gothic" w:eastAsia="Calibri" w:hAnsi="Century Gothic" w:cs="Times New Roman"/>
          <w:b/>
          <w:bCs/>
          <w:sz w:val="22"/>
          <w:szCs w:val="22"/>
          <w:lang w:val="es-SV"/>
        </w:rPr>
      </w:pPr>
      <w:r w:rsidRPr="0018745B">
        <w:rPr>
          <w:rFonts w:ascii="Century Gothic" w:eastAsia="Calibri" w:hAnsi="Century Gothic" w:cs="Times New Roman"/>
          <w:b/>
          <w:bCs/>
          <w:sz w:val="22"/>
          <w:szCs w:val="22"/>
          <w:lang w:val="es-SV"/>
        </w:rPr>
        <w:t>Copia Orden de Inicio del Proyecto Inicial de Iluminación del Estadio Juan Francisco Barraza.</w:t>
      </w:r>
    </w:p>
    <w:p w14:paraId="788A2953" w14:textId="77777777" w:rsidR="0018745B" w:rsidRPr="0018745B" w:rsidRDefault="0018745B" w:rsidP="0018745B">
      <w:pPr>
        <w:numPr>
          <w:ilvl w:val="0"/>
          <w:numId w:val="20"/>
        </w:numPr>
        <w:spacing w:after="0" w:line="276" w:lineRule="auto"/>
        <w:jc w:val="both"/>
        <w:rPr>
          <w:rFonts w:ascii="Century Gothic" w:eastAsia="Calibri" w:hAnsi="Century Gothic" w:cs="Times New Roman"/>
          <w:b/>
          <w:bCs/>
          <w:sz w:val="22"/>
          <w:szCs w:val="22"/>
          <w:lang w:val="es-SV"/>
        </w:rPr>
      </w:pPr>
      <w:r w:rsidRPr="0018745B">
        <w:rPr>
          <w:rFonts w:ascii="Century Gothic" w:eastAsia="Calibri" w:hAnsi="Century Gothic" w:cs="Times New Roman"/>
          <w:b/>
          <w:bCs/>
          <w:sz w:val="22"/>
          <w:szCs w:val="22"/>
          <w:lang w:val="es-SV"/>
        </w:rPr>
        <w:t>Copia Orden de Inicio del Proyecto de la Prorroga de Iluminación del Estadio Juan Francisco Barraza.</w:t>
      </w:r>
    </w:p>
    <w:p w14:paraId="676045C4" w14:textId="77777777" w:rsidR="0018745B" w:rsidRPr="0018745B" w:rsidRDefault="0018745B" w:rsidP="0018745B">
      <w:pPr>
        <w:numPr>
          <w:ilvl w:val="0"/>
          <w:numId w:val="20"/>
        </w:numPr>
        <w:spacing w:after="0" w:line="276" w:lineRule="auto"/>
        <w:jc w:val="both"/>
        <w:rPr>
          <w:rFonts w:ascii="Century Gothic" w:eastAsia="Calibri" w:hAnsi="Century Gothic" w:cs="Times New Roman"/>
          <w:b/>
          <w:bCs/>
          <w:sz w:val="22"/>
          <w:szCs w:val="22"/>
          <w:lang w:val="es-SV"/>
        </w:rPr>
      </w:pPr>
      <w:r w:rsidRPr="0018745B">
        <w:rPr>
          <w:rFonts w:ascii="Century Gothic" w:eastAsia="Calibri" w:hAnsi="Century Gothic" w:cs="Times New Roman"/>
          <w:b/>
          <w:bCs/>
          <w:sz w:val="22"/>
          <w:szCs w:val="22"/>
          <w:lang w:val="es-SV"/>
        </w:rPr>
        <w:t>Copia de la Constancia del anticipo entregado a la Empresa Constructora por parte de la Alcaldía Municipal de San Miguel.</w:t>
      </w:r>
    </w:p>
    <w:p w14:paraId="736170B4" w14:textId="77777777" w:rsidR="0018745B" w:rsidRPr="0018745B" w:rsidRDefault="0018745B" w:rsidP="0018745B">
      <w:pPr>
        <w:numPr>
          <w:ilvl w:val="0"/>
          <w:numId w:val="20"/>
        </w:numPr>
        <w:spacing w:after="0" w:line="276" w:lineRule="auto"/>
        <w:jc w:val="both"/>
        <w:rPr>
          <w:rFonts w:ascii="Century Gothic" w:eastAsia="Calibri" w:hAnsi="Century Gothic" w:cs="Times New Roman"/>
          <w:b/>
          <w:bCs/>
          <w:sz w:val="22"/>
          <w:szCs w:val="22"/>
          <w:lang w:val="es-SV"/>
        </w:rPr>
      </w:pPr>
      <w:r w:rsidRPr="0018745B">
        <w:rPr>
          <w:rFonts w:ascii="Century Gothic" w:eastAsia="Calibri" w:hAnsi="Century Gothic" w:cs="Times New Roman"/>
          <w:b/>
          <w:bCs/>
          <w:sz w:val="22"/>
          <w:szCs w:val="22"/>
          <w:lang w:val="es-SV"/>
        </w:rPr>
        <w:t>Copia de las facturas pagadas de las estimaciones del Proyecto de Iluminación del Estadio Juan Francisco Barraza a la Empresa Constructora.</w:t>
      </w:r>
    </w:p>
    <w:p w14:paraId="7C2D96EF" w14:textId="77777777" w:rsidR="0018745B" w:rsidRPr="0018745B" w:rsidRDefault="0018745B" w:rsidP="0018745B">
      <w:pPr>
        <w:numPr>
          <w:ilvl w:val="0"/>
          <w:numId w:val="20"/>
        </w:numPr>
        <w:spacing w:after="0" w:line="276" w:lineRule="auto"/>
        <w:jc w:val="both"/>
        <w:rPr>
          <w:rFonts w:ascii="Century Gothic" w:eastAsia="Calibri" w:hAnsi="Century Gothic" w:cs="Times New Roman"/>
          <w:b/>
          <w:bCs/>
          <w:sz w:val="22"/>
          <w:szCs w:val="22"/>
          <w:lang w:val="es-SV"/>
        </w:rPr>
      </w:pPr>
      <w:r w:rsidRPr="0018745B">
        <w:rPr>
          <w:rFonts w:ascii="Century Gothic" w:eastAsia="Calibri" w:hAnsi="Century Gothic" w:cs="Times New Roman"/>
          <w:b/>
          <w:bCs/>
          <w:sz w:val="22"/>
          <w:szCs w:val="22"/>
          <w:lang w:val="es-SV"/>
        </w:rPr>
        <w:t>Copia de las últimas bitácoras elaboradas en la Ejecución del Proyecto de la Prorroga a partir de julio de 2020.</w:t>
      </w:r>
    </w:p>
    <w:p w14:paraId="7C043E3D" w14:textId="77777777" w:rsidR="0018745B" w:rsidRPr="0018745B" w:rsidRDefault="0018745B" w:rsidP="0018745B">
      <w:pPr>
        <w:numPr>
          <w:ilvl w:val="0"/>
          <w:numId w:val="20"/>
        </w:numPr>
        <w:spacing w:after="0" w:line="276" w:lineRule="auto"/>
        <w:jc w:val="both"/>
        <w:rPr>
          <w:rFonts w:ascii="Century Gothic" w:eastAsia="Calibri" w:hAnsi="Century Gothic" w:cs="Times New Roman"/>
          <w:b/>
          <w:bCs/>
          <w:sz w:val="22"/>
          <w:szCs w:val="22"/>
          <w:lang w:val="es-SV"/>
        </w:rPr>
      </w:pPr>
      <w:r w:rsidRPr="0018745B">
        <w:rPr>
          <w:rFonts w:ascii="Century Gothic" w:eastAsia="Calibri" w:hAnsi="Century Gothic" w:cs="Times New Roman"/>
          <w:b/>
          <w:bCs/>
          <w:sz w:val="22"/>
          <w:szCs w:val="22"/>
          <w:lang w:val="es-SV"/>
        </w:rPr>
        <w:t>Certificación del Acuerdo de Adjudicación.</w:t>
      </w:r>
    </w:p>
    <w:p w14:paraId="49D4AE42" w14:textId="77777777" w:rsidR="0018745B" w:rsidRPr="0018745B" w:rsidRDefault="0018745B" w:rsidP="0018745B">
      <w:pPr>
        <w:numPr>
          <w:ilvl w:val="0"/>
          <w:numId w:val="20"/>
        </w:numPr>
        <w:spacing w:after="0" w:line="276" w:lineRule="auto"/>
        <w:jc w:val="both"/>
        <w:rPr>
          <w:rFonts w:ascii="Century Gothic" w:eastAsia="Calibri" w:hAnsi="Century Gothic" w:cs="Times New Roman"/>
          <w:b/>
          <w:bCs/>
          <w:sz w:val="22"/>
          <w:szCs w:val="22"/>
          <w:lang w:val="es-SV"/>
        </w:rPr>
      </w:pPr>
      <w:r w:rsidRPr="0018745B">
        <w:rPr>
          <w:rFonts w:ascii="Century Gothic" w:eastAsia="Calibri" w:hAnsi="Century Gothic" w:cs="Times New Roman"/>
          <w:b/>
          <w:bCs/>
          <w:sz w:val="22"/>
          <w:szCs w:val="22"/>
          <w:lang w:val="es-SV"/>
        </w:rPr>
        <w:t>Certificación del Acuerdo de Prorroga del Proyecto.</w:t>
      </w:r>
    </w:p>
    <w:p w14:paraId="7F2DFCCE" w14:textId="77777777" w:rsidR="0018745B" w:rsidRPr="0018745B" w:rsidRDefault="0018745B" w:rsidP="0018745B">
      <w:pPr>
        <w:numPr>
          <w:ilvl w:val="0"/>
          <w:numId w:val="20"/>
        </w:numPr>
        <w:spacing w:after="0" w:line="276" w:lineRule="auto"/>
        <w:jc w:val="both"/>
        <w:rPr>
          <w:rFonts w:ascii="Century Gothic" w:eastAsia="Calibri" w:hAnsi="Century Gothic" w:cs="Times New Roman"/>
          <w:b/>
          <w:bCs/>
          <w:sz w:val="22"/>
          <w:szCs w:val="22"/>
          <w:lang w:val="es-SV"/>
        </w:rPr>
      </w:pPr>
      <w:r w:rsidRPr="0018745B">
        <w:rPr>
          <w:rFonts w:ascii="Century Gothic" w:eastAsia="Calibri" w:hAnsi="Century Gothic" w:cs="Times New Roman"/>
          <w:b/>
          <w:bCs/>
          <w:sz w:val="22"/>
          <w:szCs w:val="22"/>
          <w:lang w:val="es-SV"/>
        </w:rPr>
        <w:t>Bitácora del ultimo avance de Ejecución de la obra con su porcentaje</w:t>
      </w:r>
    </w:p>
    <w:p w14:paraId="5EC9F8D6" w14:textId="77777777" w:rsidR="0018745B" w:rsidRDefault="0018745B" w:rsidP="00F370EF">
      <w:pPr>
        <w:spacing w:after="0" w:line="276" w:lineRule="auto"/>
        <w:jc w:val="both"/>
        <w:rPr>
          <w:rFonts w:ascii="Century Gothic" w:eastAsia="Calibri" w:hAnsi="Century Gothic" w:cs="Times New Roman"/>
          <w:b/>
          <w:bCs/>
          <w:sz w:val="22"/>
          <w:szCs w:val="22"/>
          <w:lang w:val="es-SV"/>
        </w:rPr>
      </w:pPr>
    </w:p>
    <w:p w14:paraId="37D3E7DA" w14:textId="213DCF96" w:rsidR="0018745B" w:rsidRDefault="0018745B" w:rsidP="00F370EF">
      <w:pPr>
        <w:spacing w:after="0" w:line="276" w:lineRule="auto"/>
        <w:jc w:val="both"/>
        <w:rPr>
          <w:rFonts w:ascii="Century Gothic" w:eastAsia="Calibri" w:hAnsi="Century Gothic" w:cs="Times New Roman"/>
          <w:b/>
          <w:bCs/>
          <w:sz w:val="22"/>
          <w:szCs w:val="22"/>
          <w:lang w:val="es-SV"/>
        </w:rPr>
      </w:pPr>
    </w:p>
    <w:p w14:paraId="5B516576" w14:textId="5CAE5401" w:rsidR="0018745B" w:rsidRDefault="0018745B" w:rsidP="00F370EF">
      <w:pPr>
        <w:spacing w:after="0" w:line="276" w:lineRule="auto"/>
        <w:jc w:val="both"/>
        <w:rPr>
          <w:rFonts w:ascii="Century Gothic" w:eastAsia="Calibri" w:hAnsi="Century Gothic" w:cs="Times New Roman"/>
          <w:b/>
          <w:bCs/>
          <w:sz w:val="22"/>
          <w:szCs w:val="22"/>
          <w:lang w:val="es-SV"/>
        </w:rPr>
      </w:pPr>
    </w:p>
    <w:p w14:paraId="26D99909" w14:textId="04D0AC9D" w:rsidR="0018745B" w:rsidRDefault="0018745B" w:rsidP="00F370EF">
      <w:pPr>
        <w:spacing w:after="0" w:line="276" w:lineRule="auto"/>
        <w:jc w:val="both"/>
        <w:rPr>
          <w:rFonts w:ascii="Century Gothic" w:eastAsia="Calibri" w:hAnsi="Century Gothic" w:cs="Times New Roman"/>
          <w:b/>
          <w:bCs/>
          <w:sz w:val="22"/>
          <w:szCs w:val="22"/>
          <w:lang w:val="es-SV"/>
        </w:rPr>
      </w:pPr>
    </w:p>
    <w:p w14:paraId="547ABB4E" w14:textId="037088FD" w:rsidR="0018745B" w:rsidRDefault="0018745B" w:rsidP="00F370EF">
      <w:pPr>
        <w:spacing w:after="0" w:line="276" w:lineRule="auto"/>
        <w:jc w:val="both"/>
        <w:rPr>
          <w:rFonts w:ascii="Century Gothic" w:eastAsia="Calibri" w:hAnsi="Century Gothic" w:cs="Times New Roman"/>
          <w:b/>
          <w:bCs/>
          <w:sz w:val="22"/>
          <w:szCs w:val="22"/>
          <w:lang w:val="es-SV"/>
        </w:rPr>
      </w:pPr>
    </w:p>
    <w:p w14:paraId="0F4409BC" w14:textId="40363123" w:rsidR="0018745B" w:rsidRDefault="0018745B" w:rsidP="00F370EF">
      <w:pPr>
        <w:spacing w:after="0" w:line="276" w:lineRule="auto"/>
        <w:jc w:val="both"/>
        <w:rPr>
          <w:rFonts w:ascii="Century Gothic" w:eastAsia="Calibri" w:hAnsi="Century Gothic" w:cs="Times New Roman"/>
          <w:b/>
          <w:bCs/>
          <w:sz w:val="22"/>
          <w:szCs w:val="22"/>
          <w:lang w:val="es-SV"/>
        </w:rPr>
      </w:pPr>
    </w:p>
    <w:p w14:paraId="7A07DC42" w14:textId="1A99DA4C" w:rsidR="0018745B" w:rsidRDefault="0018745B" w:rsidP="00F370EF">
      <w:pPr>
        <w:spacing w:after="0" w:line="276" w:lineRule="auto"/>
        <w:jc w:val="both"/>
        <w:rPr>
          <w:rFonts w:ascii="Century Gothic" w:eastAsia="Calibri" w:hAnsi="Century Gothic" w:cs="Times New Roman"/>
          <w:b/>
          <w:bCs/>
          <w:sz w:val="22"/>
          <w:szCs w:val="22"/>
          <w:lang w:val="es-SV"/>
        </w:rPr>
      </w:pPr>
    </w:p>
    <w:p w14:paraId="1B585514" w14:textId="26C48DF9" w:rsidR="0018745B" w:rsidRDefault="0018745B" w:rsidP="00F370EF">
      <w:pPr>
        <w:spacing w:after="0" w:line="276" w:lineRule="auto"/>
        <w:jc w:val="both"/>
        <w:rPr>
          <w:rFonts w:ascii="Century Gothic" w:eastAsia="Calibri" w:hAnsi="Century Gothic" w:cs="Times New Roman"/>
          <w:b/>
          <w:bCs/>
          <w:sz w:val="22"/>
          <w:szCs w:val="22"/>
          <w:lang w:val="es-SV"/>
        </w:rPr>
      </w:pPr>
    </w:p>
    <w:p w14:paraId="5D875BA7" w14:textId="2CD3F979" w:rsidR="0018745B" w:rsidRDefault="0018745B" w:rsidP="00F370EF">
      <w:pPr>
        <w:spacing w:after="0" w:line="276" w:lineRule="auto"/>
        <w:jc w:val="both"/>
        <w:rPr>
          <w:rFonts w:ascii="Century Gothic" w:eastAsia="Calibri" w:hAnsi="Century Gothic" w:cs="Times New Roman"/>
          <w:b/>
          <w:bCs/>
          <w:sz w:val="22"/>
          <w:szCs w:val="22"/>
          <w:lang w:val="es-SV"/>
        </w:rPr>
      </w:pPr>
    </w:p>
    <w:p w14:paraId="5B166EB2" w14:textId="06A19768" w:rsidR="0018745B" w:rsidRDefault="0018745B" w:rsidP="00F370EF">
      <w:pPr>
        <w:spacing w:after="0" w:line="276" w:lineRule="auto"/>
        <w:jc w:val="both"/>
        <w:rPr>
          <w:rFonts w:ascii="Century Gothic" w:eastAsia="Calibri" w:hAnsi="Century Gothic" w:cs="Times New Roman"/>
          <w:b/>
          <w:bCs/>
          <w:sz w:val="22"/>
          <w:szCs w:val="22"/>
          <w:lang w:val="es-SV"/>
        </w:rPr>
      </w:pPr>
    </w:p>
    <w:p w14:paraId="003A241D" w14:textId="518809E8" w:rsidR="0018745B" w:rsidRDefault="0018745B" w:rsidP="00F370EF">
      <w:pPr>
        <w:spacing w:after="0" w:line="276" w:lineRule="auto"/>
        <w:jc w:val="both"/>
        <w:rPr>
          <w:rFonts w:ascii="Century Gothic" w:eastAsia="Calibri" w:hAnsi="Century Gothic" w:cs="Times New Roman"/>
          <w:b/>
          <w:bCs/>
          <w:sz w:val="22"/>
          <w:szCs w:val="22"/>
          <w:lang w:val="es-SV"/>
        </w:rPr>
      </w:pPr>
    </w:p>
    <w:p w14:paraId="6AF0EAE9" w14:textId="77777777" w:rsidR="0018745B" w:rsidRDefault="0018745B" w:rsidP="00F370EF">
      <w:pPr>
        <w:spacing w:after="0" w:line="276" w:lineRule="auto"/>
        <w:jc w:val="both"/>
        <w:rPr>
          <w:rFonts w:ascii="Century Gothic" w:eastAsia="Calibri" w:hAnsi="Century Gothic" w:cs="Times New Roman"/>
          <w:b/>
          <w:bCs/>
          <w:sz w:val="22"/>
          <w:szCs w:val="22"/>
          <w:lang w:val="es-SV"/>
        </w:rPr>
      </w:pPr>
    </w:p>
    <w:p w14:paraId="6A1C3B7F" w14:textId="055C0FB9" w:rsidR="00C83573" w:rsidRDefault="00F370EF" w:rsidP="00F370EF">
      <w:pPr>
        <w:spacing w:after="0" w:line="276" w:lineRule="auto"/>
        <w:jc w:val="both"/>
        <w:rPr>
          <w:rFonts w:ascii="Century Gothic" w:eastAsia="Calibri" w:hAnsi="Century Gothic" w:cs="Times New Roman"/>
          <w:b/>
          <w:sz w:val="22"/>
          <w:szCs w:val="22"/>
          <w:lang w:val="es-SV"/>
        </w:rPr>
      </w:pPr>
      <w:r w:rsidRPr="00F370EF">
        <w:rPr>
          <w:rFonts w:ascii="Century Gothic" w:eastAsia="Calibri" w:hAnsi="Century Gothic" w:cs="Times New Roman"/>
          <w:b/>
          <w:sz w:val="22"/>
          <w:szCs w:val="22"/>
          <w:lang w:val="es-SV"/>
        </w:rPr>
        <w:t>Considerando:</w:t>
      </w:r>
    </w:p>
    <w:p w14:paraId="116F0867" w14:textId="66A4C79B" w:rsidR="00F14CDB" w:rsidRDefault="00E20B26" w:rsidP="00E20B26">
      <w:pPr>
        <w:spacing w:after="0" w:line="276" w:lineRule="auto"/>
        <w:jc w:val="both"/>
        <w:rPr>
          <w:rFonts w:ascii="Century Gothic" w:eastAsia="Calibri" w:hAnsi="Century Gothic" w:cs="Times New Roman"/>
          <w:sz w:val="22"/>
          <w:szCs w:val="22"/>
          <w:lang w:val="es-SV"/>
        </w:rPr>
      </w:pPr>
      <w:r w:rsidRPr="00E20B26">
        <w:rPr>
          <w:rFonts w:ascii="Century Gothic" w:eastAsia="Calibri" w:hAnsi="Century Gothic" w:cs="Times New Roman"/>
          <w:sz w:val="22"/>
          <w:szCs w:val="22"/>
          <w:lang w:val="es-SV"/>
        </w:rPr>
        <w:t>- Fue admitida la solicitud de información</w:t>
      </w:r>
      <w:r>
        <w:rPr>
          <w:rFonts w:ascii="Century Gothic" w:eastAsia="Calibri" w:hAnsi="Century Gothic" w:cs="Times New Roman"/>
          <w:sz w:val="22"/>
          <w:szCs w:val="22"/>
          <w:lang w:val="es-SV"/>
        </w:rPr>
        <w:t xml:space="preserve"> por cumplir los requisitos de ley establecidos en la norma pertinente</w:t>
      </w:r>
      <w:r w:rsidRPr="00E20B26">
        <w:rPr>
          <w:rFonts w:ascii="Century Gothic" w:eastAsia="Calibri" w:hAnsi="Century Gothic" w:cs="Times New Roman"/>
          <w:sz w:val="22"/>
          <w:szCs w:val="22"/>
          <w:lang w:val="es-SV"/>
        </w:rPr>
        <w:t xml:space="preserve"> y se realizó el requerimiento a la</w:t>
      </w:r>
      <w:r w:rsidR="003E6807">
        <w:rPr>
          <w:rFonts w:ascii="Century Gothic" w:eastAsia="Calibri" w:hAnsi="Century Gothic" w:cs="Times New Roman"/>
          <w:sz w:val="22"/>
          <w:szCs w:val="22"/>
          <w:lang w:val="es-SV"/>
        </w:rPr>
        <w:t>s</w:t>
      </w:r>
      <w:r w:rsidRPr="00E20B26">
        <w:rPr>
          <w:rFonts w:ascii="Century Gothic" w:eastAsia="Calibri" w:hAnsi="Century Gothic" w:cs="Times New Roman"/>
          <w:sz w:val="22"/>
          <w:szCs w:val="22"/>
          <w:lang w:val="es-SV"/>
        </w:rPr>
        <w:t xml:space="preserve"> unidad</w:t>
      </w:r>
      <w:r w:rsidR="003E6807">
        <w:rPr>
          <w:rFonts w:ascii="Century Gothic" w:eastAsia="Calibri" w:hAnsi="Century Gothic" w:cs="Times New Roman"/>
          <w:sz w:val="22"/>
          <w:szCs w:val="22"/>
          <w:lang w:val="es-SV"/>
        </w:rPr>
        <w:t>es</w:t>
      </w:r>
      <w:r w:rsidRPr="00E20B26">
        <w:rPr>
          <w:rFonts w:ascii="Century Gothic" w:eastAsia="Calibri" w:hAnsi="Century Gothic" w:cs="Times New Roman"/>
          <w:sz w:val="22"/>
          <w:szCs w:val="22"/>
          <w:lang w:val="es-SV"/>
        </w:rPr>
        <w:t xml:space="preserve"> administrativa</w:t>
      </w:r>
      <w:r w:rsidR="003E6807">
        <w:rPr>
          <w:rFonts w:ascii="Century Gothic" w:eastAsia="Calibri" w:hAnsi="Century Gothic" w:cs="Times New Roman"/>
          <w:sz w:val="22"/>
          <w:szCs w:val="22"/>
          <w:lang w:val="es-SV"/>
        </w:rPr>
        <w:t>s</w:t>
      </w:r>
      <w:r w:rsidRPr="00E20B26">
        <w:rPr>
          <w:rFonts w:ascii="Century Gothic" w:eastAsia="Calibri" w:hAnsi="Century Gothic" w:cs="Times New Roman"/>
          <w:sz w:val="22"/>
          <w:szCs w:val="22"/>
          <w:lang w:val="es-SV"/>
        </w:rPr>
        <w:t xml:space="preserve"> correspondiente</w:t>
      </w:r>
      <w:r w:rsidR="003E6807">
        <w:rPr>
          <w:rFonts w:ascii="Century Gothic" w:eastAsia="Calibri" w:hAnsi="Century Gothic" w:cs="Times New Roman"/>
          <w:sz w:val="22"/>
          <w:szCs w:val="22"/>
          <w:lang w:val="es-SV"/>
        </w:rPr>
        <w:t>s</w:t>
      </w:r>
      <w:r w:rsidRPr="00E20B26">
        <w:rPr>
          <w:rFonts w:ascii="Century Gothic" w:eastAsia="Calibri" w:hAnsi="Century Gothic" w:cs="Times New Roman"/>
          <w:sz w:val="22"/>
          <w:szCs w:val="22"/>
          <w:lang w:val="es-SV"/>
        </w:rPr>
        <w:t xml:space="preserve"> de la municipalidad encargada</w:t>
      </w:r>
      <w:r w:rsidR="00C01B2B">
        <w:rPr>
          <w:rFonts w:ascii="Century Gothic" w:eastAsia="Calibri" w:hAnsi="Century Gothic" w:cs="Times New Roman"/>
          <w:sz w:val="22"/>
          <w:szCs w:val="22"/>
          <w:lang w:val="es-SV"/>
        </w:rPr>
        <w:t>s</w:t>
      </w:r>
      <w:r w:rsidRPr="00E20B26">
        <w:rPr>
          <w:rFonts w:ascii="Century Gothic" w:eastAsia="Calibri" w:hAnsi="Century Gothic" w:cs="Times New Roman"/>
          <w:sz w:val="22"/>
          <w:szCs w:val="22"/>
          <w:lang w:val="es-SV"/>
        </w:rPr>
        <w:t xml:space="preserve"> de generar la información solicitada por </w:t>
      </w:r>
      <w:r w:rsidR="005271EA">
        <w:rPr>
          <w:rFonts w:ascii="Century Gothic" w:eastAsia="Calibri" w:hAnsi="Century Gothic" w:cs="Times New Roman"/>
          <w:sz w:val="22"/>
          <w:szCs w:val="22"/>
          <w:lang w:val="es-SV"/>
        </w:rPr>
        <w:t>el</w:t>
      </w:r>
      <w:r w:rsidRPr="00E20B26">
        <w:rPr>
          <w:rFonts w:ascii="Century Gothic" w:eastAsia="Calibri" w:hAnsi="Century Gothic" w:cs="Times New Roman"/>
          <w:sz w:val="22"/>
          <w:szCs w:val="22"/>
          <w:lang w:val="es-SV"/>
        </w:rPr>
        <w:t xml:space="preserve"> ciudadan</w:t>
      </w:r>
      <w:r w:rsidR="005271EA">
        <w:rPr>
          <w:rFonts w:ascii="Century Gothic" w:eastAsia="Calibri" w:hAnsi="Century Gothic" w:cs="Times New Roman"/>
          <w:sz w:val="22"/>
          <w:szCs w:val="22"/>
          <w:lang w:val="es-SV"/>
        </w:rPr>
        <w:t>o</w:t>
      </w:r>
      <w:r w:rsidRPr="00E20B26">
        <w:rPr>
          <w:rFonts w:ascii="Century Gothic" w:eastAsia="Calibri" w:hAnsi="Century Gothic" w:cs="Times New Roman"/>
          <w:sz w:val="22"/>
          <w:szCs w:val="22"/>
          <w:lang w:val="es-SV"/>
        </w:rPr>
        <w:t xml:space="preserve"> peticionari</w:t>
      </w:r>
      <w:r w:rsidR="005271EA">
        <w:rPr>
          <w:rFonts w:ascii="Century Gothic" w:eastAsia="Calibri" w:hAnsi="Century Gothic" w:cs="Times New Roman"/>
          <w:sz w:val="22"/>
          <w:szCs w:val="22"/>
          <w:lang w:val="es-SV"/>
        </w:rPr>
        <w:t>o</w:t>
      </w:r>
      <w:r w:rsidRPr="00E20B26">
        <w:rPr>
          <w:rFonts w:ascii="Century Gothic" w:eastAsia="Calibri" w:hAnsi="Century Gothic" w:cs="Times New Roman"/>
          <w:sz w:val="22"/>
          <w:szCs w:val="22"/>
          <w:lang w:val="es-SV"/>
        </w:rPr>
        <w:t>.</w:t>
      </w:r>
    </w:p>
    <w:p w14:paraId="5A8A7F84" w14:textId="77777777" w:rsidR="0018745B" w:rsidRDefault="0018745B" w:rsidP="00E20B26">
      <w:pPr>
        <w:spacing w:after="0" w:line="276" w:lineRule="auto"/>
        <w:jc w:val="both"/>
        <w:rPr>
          <w:rFonts w:ascii="Century Gothic" w:eastAsia="Calibri" w:hAnsi="Century Gothic" w:cs="Times New Roman"/>
          <w:sz w:val="22"/>
          <w:szCs w:val="22"/>
          <w:lang w:val="es-SV"/>
        </w:rPr>
      </w:pPr>
    </w:p>
    <w:p w14:paraId="6E777D74" w14:textId="13D3009E" w:rsidR="00A16D05" w:rsidRDefault="00A16D05" w:rsidP="00E20B26">
      <w:pPr>
        <w:spacing w:after="0" w:line="276" w:lineRule="auto"/>
        <w:jc w:val="both"/>
        <w:rPr>
          <w:rFonts w:ascii="Century Gothic" w:eastAsia="Calibri" w:hAnsi="Century Gothic" w:cs="Times New Roman"/>
          <w:sz w:val="22"/>
          <w:szCs w:val="22"/>
          <w:lang w:val="es-SV"/>
        </w:rPr>
      </w:pPr>
      <w:r>
        <w:rPr>
          <w:rFonts w:ascii="Century Gothic" w:eastAsia="Calibri" w:hAnsi="Century Gothic" w:cs="Times New Roman"/>
          <w:sz w:val="22"/>
          <w:szCs w:val="22"/>
          <w:lang w:val="es-SV"/>
        </w:rPr>
        <w:t xml:space="preserve">- </w:t>
      </w:r>
      <w:r w:rsidR="00E77949">
        <w:rPr>
          <w:rFonts w:ascii="Century Gothic" w:eastAsia="Calibri" w:hAnsi="Century Gothic" w:cs="Times New Roman"/>
          <w:sz w:val="22"/>
          <w:szCs w:val="22"/>
          <w:lang w:val="es-SV"/>
        </w:rPr>
        <w:t xml:space="preserve">Se recibió de parte de </w:t>
      </w:r>
      <w:r w:rsidR="0018745B">
        <w:rPr>
          <w:rFonts w:ascii="Century Gothic" w:eastAsia="Calibri" w:hAnsi="Century Gothic" w:cs="Times New Roman"/>
          <w:sz w:val="22"/>
          <w:szCs w:val="22"/>
          <w:lang w:val="es-SV"/>
        </w:rPr>
        <w:t xml:space="preserve">Secretaria municipal y la Unidad de </w:t>
      </w:r>
      <w:r w:rsidR="00EA1D8F">
        <w:rPr>
          <w:rFonts w:ascii="Century Gothic" w:eastAsia="Calibri" w:hAnsi="Century Gothic" w:cs="Times New Roman"/>
          <w:sz w:val="22"/>
          <w:szCs w:val="22"/>
          <w:lang w:val="es-SV"/>
        </w:rPr>
        <w:t>adquisiciones</w:t>
      </w:r>
      <w:r w:rsidR="0018745B">
        <w:rPr>
          <w:rFonts w:ascii="Century Gothic" w:eastAsia="Calibri" w:hAnsi="Century Gothic" w:cs="Times New Roman"/>
          <w:sz w:val="22"/>
          <w:szCs w:val="22"/>
          <w:lang w:val="es-SV"/>
        </w:rPr>
        <w:t xml:space="preserve"> y contrataciones Institucional que son </w:t>
      </w:r>
      <w:r w:rsidR="00E27DD7">
        <w:rPr>
          <w:rFonts w:ascii="Century Gothic" w:eastAsia="Calibri" w:hAnsi="Century Gothic" w:cs="Times New Roman"/>
          <w:sz w:val="22"/>
          <w:szCs w:val="22"/>
          <w:lang w:val="es-SV"/>
        </w:rPr>
        <w:t>la</w:t>
      </w:r>
      <w:r w:rsidR="003E6807">
        <w:rPr>
          <w:rFonts w:ascii="Century Gothic" w:eastAsia="Calibri" w:hAnsi="Century Gothic" w:cs="Times New Roman"/>
          <w:sz w:val="22"/>
          <w:szCs w:val="22"/>
          <w:lang w:val="es-SV"/>
        </w:rPr>
        <w:t>s</w:t>
      </w:r>
      <w:r w:rsidR="00E27DD7">
        <w:rPr>
          <w:rFonts w:ascii="Century Gothic" w:eastAsia="Calibri" w:hAnsi="Century Gothic" w:cs="Times New Roman"/>
          <w:sz w:val="22"/>
          <w:szCs w:val="22"/>
          <w:lang w:val="es-SV"/>
        </w:rPr>
        <w:t xml:space="preserve"> unidad</w:t>
      </w:r>
      <w:r w:rsidR="003E6807">
        <w:rPr>
          <w:rFonts w:ascii="Century Gothic" w:eastAsia="Calibri" w:hAnsi="Century Gothic" w:cs="Times New Roman"/>
          <w:sz w:val="22"/>
          <w:szCs w:val="22"/>
          <w:lang w:val="es-SV"/>
        </w:rPr>
        <w:t>es</w:t>
      </w:r>
      <w:r w:rsidR="00E27DD7">
        <w:rPr>
          <w:rFonts w:ascii="Century Gothic" w:eastAsia="Calibri" w:hAnsi="Century Gothic" w:cs="Times New Roman"/>
          <w:sz w:val="22"/>
          <w:szCs w:val="22"/>
          <w:lang w:val="es-SV"/>
        </w:rPr>
        <w:t xml:space="preserve"> administrativa</w:t>
      </w:r>
      <w:r w:rsidR="003E6807">
        <w:rPr>
          <w:rFonts w:ascii="Century Gothic" w:eastAsia="Calibri" w:hAnsi="Century Gothic" w:cs="Times New Roman"/>
          <w:sz w:val="22"/>
          <w:szCs w:val="22"/>
          <w:lang w:val="es-SV"/>
        </w:rPr>
        <w:t>s</w:t>
      </w:r>
      <w:r w:rsidR="00E27DD7">
        <w:rPr>
          <w:rFonts w:ascii="Century Gothic" w:eastAsia="Calibri" w:hAnsi="Century Gothic" w:cs="Times New Roman"/>
          <w:sz w:val="22"/>
          <w:szCs w:val="22"/>
          <w:lang w:val="es-SV"/>
        </w:rPr>
        <w:t xml:space="preserve"> </w:t>
      </w:r>
      <w:r w:rsidR="0018745B">
        <w:rPr>
          <w:rFonts w:ascii="Century Gothic" w:eastAsia="Calibri" w:hAnsi="Century Gothic" w:cs="Times New Roman"/>
          <w:sz w:val="22"/>
          <w:szCs w:val="22"/>
          <w:lang w:val="es-SV"/>
        </w:rPr>
        <w:t>responsables de la información incoada ,</w:t>
      </w:r>
      <w:r w:rsidR="00C83573">
        <w:rPr>
          <w:rFonts w:ascii="Century Gothic" w:eastAsia="Calibri" w:hAnsi="Century Gothic" w:cs="Times New Roman"/>
          <w:sz w:val="22"/>
          <w:szCs w:val="22"/>
          <w:lang w:val="es-SV"/>
        </w:rPr>
        <w:t xml:space="preserve"> en el plazo legal establecido</w:t>
      </w:r>
      <w:r w:rsidR="0018745B">
        <w:rPr>
          <w:rFonts w:ascii="Century Gothic" w:eastAsia="Calibri" w:hAnsi="Century Gothic" w:cs="Times New Roman"/>
          <w:sz w:val="22"/>
          <w:szCs w:val="22"/>
          <w:lang w:val="es-SV"/>
        </w:rPr>
        <w:t>; Ambas unidades manifiestan que la información solicitada es parte de un proceso</w:t>
      </w:r>
      <w:r w:rsidR="00EA1D8F">
        <w:rPr>
          <w:rFonts w:ascii="Century Gothic" w:eastAsia="Calibri" w:hAnsi="Century Gothic" w:cs="Times New Roman"/>
          <w:sz w:val="22"/>
          <w:szCs w:val="22"/>
          <w:lang w:val="es-SV"/>
        </w:rPr>
        <w:t xml:space="preserve"> judicial en el Juzgado Contencioso administrativo el cual todavía no existe una sentencia firme del caso, por lo que dicha información tiene carácter reservado ,esto hasta que finalice el proceso judicial mencionado anteriormente, Anexo a la presente ambos memorándum enviados por las respectivas unidades administrativas , probando lo relacionado en este párrafo.</w:t>
      </w:r>
    </w:p>
    <w:p w14:paraId="66E50079" w14:textId="77777777" w:rsidR="0018745B" w:rsidRDefault="0018745B" w:rsidP="00E20B26">
      <w:pPr>
        <w:spacing w:after="0" w:line="276" w:lineRule="auto"/>
        <w:jc w:val="both"/>
        <w:rPr>
          <w:rFonts w:ascii="Century Gothic" w:eastAsia="Calibri" w:hAnsi="Century Gothic" w:cs="Times New Roman"/>
          <w:sz w:val="22"/>
          <w:szCs w:val="22"/>
          <w:lang w:val="es-SV"/>
        </w:rPr>
      </w:pPr>
    </w:p>
    <w:p w14:paraId="43393D28" w14:textId="68494F22" w:rsidR="00C01B2B" w:rsidRDefault="00E20B26" w:rsidP="00F370EF">
      <w:pPr>
        <w:spacing w:after="0" w:line="276" w:lineRule="auto"/>
        <w:jc w:val="both"/>
        <w:rPr>
          <w:rFonts w:ascii="Century Gothic" w:eastAsia="Calibri" w:hAnsi="Century Gothic" w:cs="Times New Roman"/>
          <w:sz w:val="22"/>
          <w:szCs w:val="22"/>
          <w:lang w:val="es-SV"/>
        </w:rPr>
      </w:pPr>
      <w:r w:rsidRPr="00E20B26">
        <w:rPr>
          <w:rFonts w:ascii="Century Gothic" w:eastAsia="Calibri" w:hAnsi="Century Gothic" w:cs="Times New Roman"/>
          <w:sz w:val="22"/>
          <w:szCs w:val="22"/>
          <w:lang w:val="es-SV"/>
        </w:rPr>
        <w:t xml:space="preserve">- Se envía mediante correo electrónico la presente resolución, </w:t>
      </w:r>
      <w:r w:rsidR="00322BB8">
        <w:rPr>
          <w:rFonts w:ascii="Century Gothic" w:eastAsia="Calibri" w:hAnsi="Century Gothic" w:cs="Times New Roman"/>
          <w:sz w:val="22"/>
          <w:szCs w:val="22"/>
          <w:lang w:val="es-SV"/>
        </w:rPr>
        <w:t>para</w:t>
      </w:r>
      <w:r w:rsidRPr="00E20B26">
        <w:rPr>
          <w:rFonts w:ascii="Century Gothic" w:eastAsia="Calibri" w:hAnsi="Century Gothic" w:cs="Times New Roman"/>
          <w:sz w:val="22"/>
          <w:szCs w:val="22"/>
          <w:lang w:val="es-SV"/>
        </w:rPr>
        <w:t xml:space="preserve"> dar respuesta </w:t>
      </w:r>
      <w:r w:rsidR="005271EA" w:rsidRPr="00E20B26">
        <w:rPr>
          <w:rFonts w:ascii="Century Gothic" w:eastAsia="Calibri" w:hAnsi="Century Gothic" w:cs="Times New Roman"/>
          <w:sz w:val="22"/>
          <w:szCs w:val="22"/>
          <w:lang w:val="es-SV"/>
        </w:rPr>
        <w:t>a</w:t>
      </w:r>
      <w:r w:rsidR="00D26615">
        <w:rPr>
          <w:rFonts w:ascii="Century Gothic" w:eastAsia="Calibri" w:hAnsi="Century Gothic" w:cs="Times New Roman"/>
          <w:sz w:val="22"/>
          <w:szCs w:val="22"/>
          <w:lang w:val="es-SV"/>
        </w:rPr>
        <w:t xml:space="preserve">l </w:t>
      </w:r>
      <w:r w:rsidR="005271EA">
        <w:rPr>
          <w:rFonts w:ascii="Century Gothic" w:eastAsia="Calibri" w:hAnsi="Century Gothic" w:cs="Times New Roman"/>
          <w:sz w:val="22"/>
          <w:szCs w:val="22"/>
          <w:lang w:val="es-SV"/>
        </w:rPr>
        <w:t>ciudadan</w:t>
      </w:r>
      <w:r w:rsidR="00D26615">
        <w:rPr>
          <w:rFonts w:ascii="Century Gothic" w:eastAsia="Calibri" w:hAnsi="Century Gothic" w:cs="Times New Roman"/>
          <w:sz w:val="22"/>
          <w:szCs w:val="22"/>
          <w:lang w:val="es-SV"/>
        </w:rPr>
        <w:t>o</w:t>
      </w:r>
      <w:r w:rsidR="005271EA">
        <w:rPr>
          <w:rFonts w:ascii="Century Gothic" w:eastAsia="Calibri" w:hAnsi="Century Gothic" w:cs="Times New Roman"/>
          <w:sz w:val="22"/>
          <w:szCs w:val="22"/>
          <w:lang w:val="es-SV"/>
        </w:rPr>
        <w:t xml:space="preserve"> peticionario</w:t>
      </w:r>
      <w:r w:rsidR="003E6807">
        <w:rPr>
          <w:rFonts w:ascii="Century Gothic" w:eastAsia="Calibri" w:hAnsi="Century Gothic" w:cs="Times New Roman"/>
          <w:sz w:val="22"/>
          <w:szCs w:val="22"/>
          <w:lang w:val="es-SV"/>
        </w:rPr>
        <w:t>.</w:t>
      </w:r>
    </w:p>
    <w:p w14:paraId="331BB820" w14:textId="77777777" w:rsidR="005271EA" w:rsidRPr="00C83573" w:rsidRDefault="005271EA" w:rsidP="00F370EF">
      <w:pPr>
        <w:spacing w:after="0" w:line="276" w:lineRule="auto"/>
        <w:jc w:val="both"/>
        <w:rPr>
          <w:rFonts w:ascii="Century Gothic" w:eastAsia="Calibri" w:hAnsi="Century Gothic" w:cs="Times New Roman"/>
          <w:sz w:val="22"/>
          <w:szCs w:val="22"/>
          <w:lang w:val="es-SV"/>
        </w:rPr>
      </w:pPr>
    </w:p>
    <w:p w14:paraId="0347731C" w14:textId="6A938967" w:rsidR="00C01B2B" w:rsidRDefault="00F370EF" w:rsidP="00F370EF">
      <w:pPr>
        <w:spacing w:after="0" w:line="276"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
          <w:sz w:val="22"/>
          <w:szCs w:val="22"/>
          <w:lang w:val="es-SV"/>
        </w:rPr>
        <w:t xml:space="preserve"> POR TANTO</w:t>
      </w:r>
      <w:r w:rsidRPr="00F370EF">
        <w:rPr>
          <w:rFonts w:ascii="Century Gothic" w:eastAsia="Calibri" w:hAnsi="Century Gothic" w:cs="Times New Roman"/>
          <w:bCs/>
          <w:sz w:val="22"/>
          <w:szCs w:val="22"/>
          <w:lang w:val="es-SV"/>
        </w:rPr>
        <w:t>, de conformidad a los artículos 2, 3, 4, 6,</w:t>
      </w:r>
      <w:r w:rsidR="00EA1D8F">
        <w:rPr>
          <w:rFonts w:ascii="Century Gothic" w:eastAsia="Calibri" w:hAnsi="Century Gothic" w:cs="Times New Roman"/>
          <w:bCs/>
          <w:sz w:val="22"/>
          <w:szCs w:val="22"/>
          <w:lang w:val="es-SV"/>
        </w:rPr>
        <w:t>19 literal e y f,</w:t>
      </w:r>
      <w:r w:rsidR="00F14CDB">
        <w:rPr>
          <w:rFonts w:ascii="Century Gothic" w:eastAsia="Calibri" w:hAnsi="Century Gothic" w:cs="Times New Roman"/>
          <w:bCs/>
          <w:sz w:val="22"/>
          <w:szCs w:val="22"/>
          <w:lang w:val="es-SV"/>
        </w:rPr>
        <w:t>30,</w:t>
      </w:r>
      <w:r w:rsidRPr="00F370EF">
        <w:rPr>
          <w:rFonts w:ascii="Century Gothic" w:eastAsia="Calibri" w:hAnsi="Century Gothic" w:cs="Times New Roman"/>
          <w:bCs/>
          <w:sz w:val="22"/>
          <w:szCs w:val="22"/>
          <w:lang w:val="es-SV"/>
        </w:rPr>
        <w:t xml:space="preserve"> 65, 66, 69, 70, 71, 72 de la Ley de Acceso a la Información Pública, </w:t>
      </w:r>
      <w:r w:rsidR="00EA1D8F">
        <w:rPr>
          <w:rFonts w:ascii="Century Gothic" w:eastAsia="Calibri" w:hAnsi="Century Gothic" w:cs="Times New Roman"/>
          <w:bCs/>
          <w:sz w:val="22"/>
          <w:szCs w:val="22"/>
          <w:lang w:val="es-SV"/>
        </w:rPr>
        <w:t>y artículo 19 del Reglamento</w:t>
      </w:r>
      <w:r w:rsidR="00EA1D8F" w:rsidRPr="00EA1D8F">
        <w:rPr>
          <w:rFonts w:ascii="Century Gothic" w:eastAsia="Calibri" w:hAnsi="Century Gothic" w:cs="Times New Roman"/>
          <w:bCs/>
          <w:sz w:val="22"/>
          <w:szCs w:val="22"/>
          <w:lang w:val="es-SV"/>
        </w:rPr>
        <w:t xml:space="preserve"> de la Ley de Acceso a la Información Pública</w:t>
      </w:r>
      <w:r w:rsidR="00EA1D8F">
        <w:rPr>
          <w:rFonts w:ascii="Century Gothic" w:eastAsia="Calibri" w:hAnsi="Century Gothic" w:cs="Times New Roman"/>
          <w:bCs/>
          <w:sz w:val="22"/>
          <w:szCs w:val="22"/>
          <w:lang w:val="es-SV"/>
        </w:rPr>
        <w:t xml:space="preserve"> </w:t>
      </w:r>
      <w:r w:rsidRPr="00F370EF">
        <w:rPr>
          <w:rFonts w:ascii="Century Gothic" w:eastAsia="Calibri" w:hAnsi="Century Gothic" w:cs="Times New Roman"/>
          <w:bCs/>
          <w:sz w:val="22"/>
          <w:szCs w:val="22"/>
          <w:lang w:val="es-SV"/>
        </w:rPr>
        <w:t xml:space="preserve">el suscrito Oficial de Información </w:t>
      </w:r>
      <w:r w:rsidRPr="00F370EF">
        <w:rPr>
          <w:rFonts w:ascii="Century Gothic" w:eastAsia="Calibri" w:hAnsi="Century Gothic" w:cs="Times New Roman"/>
          <w:b/>
          <w:sz w:val="22"/>
          <w:szCs w:val="22"/>
          <w:lang w:val="es-SV"/>
        </w:rPr>
        <w:t>RESUELVE</w:t>
      </w:r>
      <w:r w:rsidRPr="00F370EF">
        <w:rPr>
          <w:rFonts w:ascii="Century Gothic" w:eastAsia="Calibri" w:hAnsi="Century Gothic" w:cs="Times New Roman"/>
          <w:bCs/>
          <w:sz w:val="22"/>
          <w:szCs w:val="22"/>
          <w:lang w:val="es-SV"/>
        </w:rPr>
        <w:t>:</w:t>
      </w:r>
    </w:p>
    <w:p w14:paraId="6EBFB620" w14:textId="77777777" w:rsidR="0018745B" w:rsidRPr="00F370EF" w:rsidRDefault="0018745B" w:rsidP="00F370EF">
      <w:pPr>
        <w:spacing w:after="0" w:line="276" w:lineRule="auto"/>
        <w:jc w:val="both"/>
        <w:rPr>
          <w:rFonts w:ascii="Century Gothic" w:eastAsia="Calibri" w:hAnsi="Century Gothic" w:cs="Times New Roman"/>
          <w:bCs/>
          <w:sz w:val="22"/>
          <w:szCs w:val="22"/>
          <w:lang w:val="es-SV"/>
        </w:rPr>
      </w:pPr>
    </w:p>
    <w:p w14:paraId="1C48A48C" w14:textId="7B9E6412" w:rsidR="00F370EF" w:rsidRDefault="00F370EF" w:rsidP="00DC482C">
      <w:pPr>
        <w:spacing w:after="0" w:line="276"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w:t>
      </w:r>
      <w:r w:rsidR="00EA1D8F">
        <w:rPr>
          <w:rFonts w:ascii="Century Gothic" w:eastAsia="Calibri" w:hAnsi="Century Gothic" w:cs="Times New Roman"/>
          <w:bCs/>
          <w:sz w:val="22"/>
          <w:szCs w:val="22"/>
          <w:lang w:val="es-SV"/>
        </w:rPr>
        <w:t>Declárese Reservada la información solicitada por las consideraciones relacionadas anteriormente, esta estará disponible al finalizar el proceso judicial correspondiente.</w:t>
      </w:r>
    </w:p>
    <w:p w14:paraId="2C711EF0" w14:textId="0A8BF6F4" w:rsidR="00F370EF" w:rsidRPr="00F370EF" w:rsidRDefault="00F370EF" w:rsidP="00DC482C">
      <w:pPr>
        <w:spacing w:after="0" w:line="276"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-Quedan a salvo los derechos de</w:t>
      </w:r>
      <w:r w:rsidR="008A2172">
        <w:rPr>
          <w:rFonts w:ascii="Century Gothic" w:eastAsia="Calibri" w:hAnsi="Century Gothic" w:cs="Times New Roman"/>
          <w:bCs/>
          <w:sz w:val="22"/>
          <w:szCs w:val="22"/>
          <w:lang w:val="es-SV"/>
        </w:rPr>
        <w:t>l ciudadano,</w:t>
      </w:r>
      <w:r w:rsidRPr="00F370EF">
        <w:rPr>
          <w:rFonts w:ascii="Century Gothic" w:eastAsia="Calibri" w:hAnsi="Century Gothic" w:cs="Times New Roman"/>
          <w:bCs/>
          <w:sz w:val="22"/>
          <w:szCs w:val="22"/>
          <w:lang w:val="es-SV"/>
        </w:rPr>
        <w:t xml:space="preserve"> establecidos en la Ley de Acceso a la Información Pública.</w:t>
      </w:r>
    </w:p>
    <w:p w14:paraId="47068D53" w14:textId="4BBADAD7" w:rsidR="00C01B2B" w:rsidRDefault="00F370EF" w:rsidP="00C3780F">
      <w:pPr>
        <w:spacing w:after="0" w:line="276"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-Notifíquese en legal forma a</w:t>
      </w:r>
      <w:r w:rsidR="005271EA">
        <w:rPr>
          <w:rFonts w:ascii="Century Gothic" w:eastAsia="Calibri" w:hAnsi="Century Gothic" w:cs="Times New Roman"/>
          <w:bCs/>
          <w:sz w:val="22"/>
          <w:szCs w:val="22"/>
          <w:lang w:val="es-SV"/>
        </w:rPr>
        <w:t>l</w:t>
      </w:r>
      <w:r w:rsidR="008A2172">
        <w:rPr>
          <w:rFonts w:ascii="Century Gothic" w:eastAsia="Calibri" w:hAnsi="Century Gothic" w:cs="Times New Roman"/>
          <w:bCs/>
          <w:sz w:val="22"/>
          <w:szCs w:val="22"/>
          <w:lang w:val="es-SV"/>
        </w:rPr>
        <w:t xml:space="preserve"> </w:t>
      </w:r>
      <w:r w:rsidRPr="00F370EF">
        <w:rPr>
          <w:rFonts w:ascii="Century Gothic" w:eastAsia="Calibri" w:hAnsi="Century Gothic" w:cs="Times New Roman"/>
          <w:bCs/>
          <w:sz w:val="22"/>
          <w:szCs w:val="22"/>
          <w:lang w:val="es-SV"/>
        </w:rPr>
        <w:t>solicitante por el medio dejado para tal efecto.</w:t>
      </w:r>
    </w:p>
    <w:p w14:paraId="5A6A55A0" w14:textId="3C63CE11" w:rsidR="0018745B" w:rsidRDefault="0018745B" w:rsidP="00C3780F">
      <w:pPr>
        <w:spacing w:after="0" w:line="276" w:lineRule="auto"/>
        <w:jc w:val="both"/>
        <w:rPr>
          <w:rFonts w:ascii="Century Gothic" w:eastAsia="Calibri" w:hAnsi="Century Gothic" w:cs="Times New Roman"/>
          <w:bCs/>
          <w:sz w:val="22"/>
          <w:szCs w:val="22"/>
          <w:lang w:val="es-SV"/>
        </w:rPr>
      </w:pPr>
    </w:p>
    <w:p w14:paraId="5BE52E14" w14:textId="02258F2F" w:rsidR="0018745B" w:rsidRDefault="0018745B" w:rsidP="00C3780F">
      <w:pPr>
        <w:spacing w:after="0" w:line="276" w:lineRule="auto"/>
        <w:jc w:val="both"/>
        <w:rPr>
          <w:rFonts w:ascii="Century Gothic" w:eastAsia="Calibri" w:hAnsi="Century Gothic" w:cs="Times New Roman"/>
          <w:bCs/>
          <w:sz w:val="22"/>
          <w:szCs w:val="22"/>
          <w:lang w:val="es-SV"/>
        </w:rPr>
      </w:pPr>
    </w:p>
    <w:p w14:paraId="75F2B059" w14:textId="77777777" w:rsidR="0018745B" w:rsidRDefault="0018745B" w:rsidP="00C3780F">
      <w:pPr>
        <w:spacing w:after="0" w:line="276" w:lineRule="auto"/>
        <w:jc w:val="both"/>
        <w:rPr>
          <w:rFonts w:ascii="Century Gothic" w:eastAsia="Calibri" w:hAnsi="Century Gothic" w:cs="Times New Roman"/>
          <w:bCs/>
          <w:sz w:val="22"/>
          <w:szCs w:val="22"/>
          <w:lang w:val="es-SV"/>
        </w:rPr>
      </w:pPr>
    </w:p>
    <w:p w14:paraId="6383C98D" w14:textId="77777777" w:rsidR="005271EA" w:rsidRDefault="005271EA" w:rsidP="00C3780F">
      <w:pPr>
        <w:spacing w:after="0" w:line="276" w:lineRule="auto"/>
        <w:jc w:val="both"/>
        <w:rPr>
          <w:rFonts w:ascii="Century Gothic" w:eastAsia="Calibri" w:hAnsi="Century Gothic" w:cs="Times New Roman"/>
          <w:bCs/>
          <w:sz w:val="22"/>
          <w:szCs w:val="22"/>
          <w:lang w:val="es-SV"/>
        </w:rPr>
      </w:pPr>
    </w:p>
    <w:p w14:paraId="74907D0F" w14:textId="77777777" w:rsidR="00F370EF" w:rsidRPr="00F370EF" w:rsidRDefault="00F370EF" w:rsidP="00F370EF">
      <w:pPr>
        <w:spacing w:after="0" w:line="276" w:lineRule="auto"/>
        <w:jc w:val="both"/>
        <w:rPr>
          <w:rFonts w:ascii="Century Gothic" w:eastAsia="Calibri" w:hAnsi="Century Gothic" w:cs="Times New Roman"/>
          <w:b/>
          <w:bCs/>
          <w:sz w:val="22"/>
          <w:szCs w:val="22"/>
          <w:lang w:val="es-SV"/>
        </w:rPr>
      </w:pPr>
      <w:r w:rsidRPr="00F370EF">
        <w:rPr>
          <w:rFonts w:ascii="Century Gothic" w:eastAsia="Calibri" w:hAnsi="Century Gothic" w:cs="Times New Roman"/>
          <w:b/>
          <w:bCs/>
          <w:sz w:val="22"/>
          <w:szCs w:val="22"/>
          <w:lang w:val="es-SV"/>
        </w:rPr>
        <w:t>Lic. Miguel Zelaya</w:t>
      </w:r>
    </w:p>
    <w:p w14:paraId="0DFD7D9C" w14:textId="089EAD9B" w:rsidR="00C74545" w:rsidRPr="009E73CC" w:rsidRDefault="00F370EF" w:rsidP="00A61420">
      <w:pPr>
        <w:spacing w:after="0" w:line="276" w:lineRule="auto"/>
        <w:jc w:val="both"/>
        <w:rPr>
          <w:rFonts w:ascii="Century Gothic" w:eastAsia="Calibri" w:hAnsi="Century Gothic" w:cs="Times New Roman"/>
          <w:b/>
          <w:bCs/>
          <w:sz w:val="22"/>
          <w:szCs w:val="22"/>
          <w:lang w:val="es-SV"/>
        </w:rPr>
      </w:pPr>
      <w:r w:rsidRPr="00F370EF">
        <w:rPr>
          <w:rFonts w:ascii="Century Gothic" w:eastAsia="Calibri" w:hAnsi="Century Gothic" w:cs="Times New Roman"/>
          <w:b/>
          <w:bCs/>
          <w:sz w:val="22"/>
          <w:szCs w:val="22"/>
          <w:lang w:val="es-SV"/>
        </w:rPr>
        <w:t>Oficial de Información</w:t>
      </w:r>
    </w:p>
    <w:sectPr w:rsidR="00C74545" w:rsidRPr="009E73CC" w:rsidSect="001B4902">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A586F" w14:textId="77777777" w:rsidR="00FA3EAD" w:rsidRDefault="00FA3EAD" w:rsidP="0053261A">
      <w:pPr>
        <w:spacing w:after="0" w:line="240" w:lineRule="auto"/>
      </w:pPr>
      <w:r>
        <w:separator/>
      </w:r>
    </w:p>
  </w:endnote>
  <w:endnote w:type="continuationSeparator" w:id="0">
    <w:p w14:paraId="31297BE7" w14:textId="77777777" w:rsidR="00FA3EAD" w:rsidRDefault="00FA3EAD"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FA3EAD"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71783" w14:textId="77777777" w:rsidR="00FA3EAD" w:rsidRDefault="00FA3EAD" w:rsidP="0053261A">
      <w:pPr>
        <w:spacing w:after="0" w:line="240" w:lineRule="auto"/>
      </w:pPr>
      <w:r>
        <w:separator/>
      </w:r>
    </w:p>
  </w:footnote>
  <w:footnote w:type="continuationSeparator" w:id="0">
    <w:p w14:paraId="618DB691" w14:textId="77777777" w:rsidR="00FA3EAD" w:rsidRDefault="00FA3EAD"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D52001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BE341CE"/>
    <w:multiLevelType w:val="multilevel"/>
    <w:tmpl w:val="82E8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5"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7"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48F0AF6"/>
    <w:multiLevelType w:val="multilevel"/>
    <w:tmpl w:val="5CD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12078"/>
    <w:multiLevelType w:val="multilevel"/>
    <w:tmpl w:val="C7D6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15:restartNumberingAfterBreak="0">
    <w:nsid w:val="50906314"/>
    <w:multiLevelType w:val="hybridMultilevel"/>
    <w:tmpl w:val="8FF657F6"/>
    <w:lvl w:ilvl="0" w:tplc="D2B4D67A">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EA74891"/>
    <w:multiLevelType w:val="multilevel"/>
    <w:tmpl w:val="6820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1"/>
  </w:num>
  <w:num w:numId="4">
    <w:abstractNumId w:val="11"/>
  </w:num>
  <w:num w:numId="5">
    <w:abstractNumId w:val="4"/>
  </w:num>
  <w:num w:numId="6">
    <w:abstractNumId w:val="6"/>
  </w:num>
  <w:num w:numId="7">
    <w:abstractNumId w:val="17"/>
  </w:num>
  <w:num w:numId="8">
    <w:abstractNumId w:val="13"/>
  </w:num>
  <w:num w:numId="9">
    <w:abstractNumId w:val="10"/>
  </w:num>
  <w:num w:numId="10">
    <w:abstractNumId w:val="3"/>
  </w:num>
  <w:num w:numId="11">
    <w:abstractNumId w:val="15"/>
  </w:num>
  <w:num w:numId="12">
    <w:abstractNumId w:val="16"/>
  </w:num>
  <w:num w:numId="13">
    <w:abstractNumId w:val="18"/>
  </w:num>
  <w:num w:numId="14">
    <w:abstractNumId w:val="12"/>
  </w:num>
  <w:num w:numId="15">
    <w:abstractNumId w:val="14"/>
  </w:num>
  <w:num w:numId="16">
    <w:abstractNumId w:val="2"/>
  </w:num>
  <w:num w:numId="17">
    <w:abstractNumId w:val="8"/>
  </w:num>
  <w:num w:numId="18">
    <w:abstractNumId w:val="9"/>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216A4"/>
    <w:rsid w:val="00025A8C"/>
    <w:rsid w:val="00030862"/>
    <w:rsid w:val="000347B9"/>
    <w:rsid w:val="00042726"/>
    <w:rsid w:val="000622D4"/>
    <w:rsid w:val="000658B7"/>
    <w:rsid w:val="00073C55"/>
    <w:rsid w:val="00096B42"/>
    <w:rsid w:val="000A1759"/>
    <w:rsid w:val="000B77CD"/>
    <w:rsid w:val="000D6FA4"/>
    <w:rsid w:val="000E3815"/>
    <w:rsid w:val="0010667A"/>
    <w:rsid w:val="00152CFC"/>
    <w:rsid w:val="001672CB"/>
    <w:rsid w:val="00186257"/>
    <w:rsid w:val="0018745B"/>
    <w:rsid w:val="001875ED"/>
    <w:rsid w:val="001A3125"/>
    <w:rsid w:val="001B0E2A"/>
    <w:rsid w:val="001B4902"/>
    <w:rsid w:val="001F512A"/>
    <w:rsid w:val="00201C5A"/>
    <w:rsid w:val="00221BE6"/>
    <w:rsid w:val="002749F1"/>
    <w:rsid w:val="002767F7"/>
    <w:rsid w:val="002864FE"/>
    <w:rsid w:val="002F4E28"/>
    <w:rsid w:val="002F6666"/>
    <w:rsid w:val="00322BB8"/>
    <w:rsid w:val="00326174"/>
    <w:rsid w:val="003639E0"/>
    <w:rsid w:val="00397EF8"/>
    <w:rsid w:val="003A1CB8"/>
    <w:rsid w:val="003B7A71"/>
    <w:rsid w:val="003C5F52"/>
    <w:rsid w:val="003E05AC"/>
    <w:rsid w:val="003E114F"/>
    <w:rsid w:val="003E6807"/>
    <w:rsid w:val="003F4066"/>
    <w:rsid w:val="004155C9"/>
    <w:rsid w:val="004177FA"/>
    <w:rsid w:val="00423A36"/>
    <w:rsid w:val="00432676"/>
    <w:rsid w:val="0045739F"/>
    <w:rsid w:val="004730C9"/>
    <w:rsid w:val="004769B4"/>
    <w:rsid w:val="0048549F"/>
    <w:rsid w:val="004B0F83"/>
    <w:rsid w:val="004E1D20"/>
    <w:rsid w:val="004E5A73"/>
    <w:rsid w:val="00510A24"/>
    <w:rsid w:val="0052454C"/>
    <w:rsid w:val="005271EA"/>
    <w:rsid w:val="0053261A"/>
    <w:rsid w:val="00576A0A"/>
    <w:rsid w:val="0057792D"/>
    <w:rsid w:val="005952CB"/>
    <w:rsid w:val="005C0E5A"/>
    <w:rsid w:val="005D45E9"/>
    <w:rsid w:val="00625240"/>
    <w:rsid w:val="00646FAA"/>
    <w:rsid w:val="006931BD"/>
    <w:rsid w:val="006D2117"/>
    <w:rsid w:val="007145EA"/>
    <w:rsid w:val="00714D49"/>
    <w:rsid w:val="00726974"/>
    <w:rsid w:val="00746C19"/>
    <w:rsid w:val="0075332A"/>
    <w:rsid w:val="00774F32"/>
    <w:rsid w:val="007C694E"/>
    <w:rsid w:val="007E274B"/>
    <w:rsid w:val="00845FD3"/>
    <w:rsid w:val="00860341"/>
    <w:rsid w:val="00864045"/>
    <w:rsid w:val="00881364"/>
    <w:rsid w:val="008867D7"/>
    <w:rsid w:val="00895BDE"/>
    <w:rsid w:val="008A2172"/>
    <w:rsid w:val="008E4BE2"/>
    <w:rsid w:val="008F54A7"/>
    <w:rsid w:val="008F71C0"/>
    <w:rsid w:val="00944CE7"/>
    <w:rsid w:val="00966207"/>
    <w:rsid w:val="00982DA9"/>
    <w:rsid w:val="00992E50"/>
    <w:rsid w:val="009B1B9F"/>
    <w:rsid w:val="009B528E"/>
    <w:rsid w:val="009E73CC"/>
    <w:rsid w:val="00A16D05"/>
    <w:rsid w:val="00A300CC"/>
    <w:rsid w:val="00A335A5"/>
    <w:rsid w:val="00A61420"/>
    <w:rsid w:val="00A65A8B"/>
    <w:rsid w:val="00A86912"/>
    <w:rsid w:val="00A87A2D"/>
    <w:rsid w:val="00AB059C"/>
    <w:rsid w:val="00AB3FE1"/>
    <w:rsid w:val="00AC4B37"/>
    <w:rsid w:val="00AF7ECC"/>
    <w:rsid w:val="00B001A7"/>
    <w:rsid w:val="00B06D03"/>
    <w:rsid w:val="00B2243D"/>
    <w:rsid w:val="00B40198"/>
    <w:rsid w:val="00B55737"/>
    <w:rsid w:val="00B6026E"/>
    <w:rsid w:val="00B62DAB"/>
    <w:rsid w:val="00B73B37"/>
    <w:rsid w:val="00B8550E"/>
    <w:rsid w:val="00B877BA"/>
    <w:rsid w:val="00B87FCF"/>
    <w:rsid w:val="00BA3D7F"/>
    <w:rsid w:val="00BB7430"/>
    <w:rsid w:val="00BD637A"/>
    <w:rsid w:val="00BD68B4"/>
    <w:rsid w:val="00BE0FD0"/>
    <w:rsid w:val="00C01B2B"/>
    <w:rsid w:val="00C16578"/>
    <w:rsid w:val="00C30BC2"/>
    <w:rsid w:val="00C3780F"/>
    <w:rsid w:val="00C474B3"/>
    <w:rsid w:val="00C51F61"/>
    <w:rsid w:val="00C74545"/>
    <w:rsid w:val="00C83573"/>
    <w:rsid w:val="00C8605A"/>
    <w:rsid w:val="00CA6FA3"/>
    <w:rsid w:val="00CA7659"/>
    <w:rsid w:val="00CC2810"/>
    <w:rsid w:val="00CD0045"/>
    <w:rsid w:val="00CE6792"/>
    <w:rsid w:val="00D26615"/>
    <w:rsid w:val="00D33980"/>
    <w:rsid w:val="00D463A9"/>
    <w:rsid w:val="00D856FB"/>
    <w:rsid w:val="00D87D37"/>
    <w:rsid w:val="00D96411"/>
    <w:rsid w:val="00DC4415"/>
    <w:rsid w:val="00DC482C"/>
    <w:rsid w:val="00DE05C6"/>
    <w:rsid w:val="00E00EC3"/>
    <w:rsid w:val="00E03C24"/>
    <w:rsid w:val="00E05EF0"/>
    <w:rsid w:val="00E20B26"/>
    <w:rsid w:val="00E27DD7"/>
    <w:rsid w:val="00E42666"/>
    <w:rsid w:val="00E75012"/>
    <w:rsid w:val="00E77949"/>
    <w:rsid w:val="00E80020"/>
    <w:rsid w:val="00E814B5"/>
    <w:rsid w:val="00E843D1"/>
    <w:rsid w:val="00E94E3E"/>
    <w:rsid w:val="00EA1D8F"/>
    <w:rsid w:val="00EB7A97"/>
    <w:rsid w:val="00EC0B94"/>
    <w:rsid w:val="00EE13CE"/>
    <w:rsid w:val="00EF1E16"/>
    <w:rsid w:val="00F05FFA"/>
    <w:rsid w:val="00F1388D"/>
    <w:rsid w:val="00F14CDB"/>
    <w:rsid w:val="00F3132F"/>
    <w:rsid w:val="00F370EF"/>
    <w:rsid w:val="00F50036"/>
    <w:rsid w:val="00FA3EAD"/>
    <w:rsid w:val="00FA4530"/>
    <w:rsid w:val="00FC1465"/>
    <w:rsid w:val="00FC1D6B"/>
    <w:rsid w:val="00FC77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8F54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4A7"/>
    <w:rPr>
      <w:rFonts w:ascii="Segoe UI" w:hAnsi="Segoe UI" w:cs="Segoe UI"/>
      <w:sz w:val="18"/>
      <w:szCs w:val="18"/>
    </w:rPr>
  </w:style>
  <w:style w:type="paragraph" w:styleId="Lista">
    <w:name w:val="List"/>
    <w:basedOn w:val="Normal"/>
    <w:uiPriority w:val="99"/>
    <w:unhideWhenUsed/>
    <w:rsid w:val="005271EA"/>
    <w:pPr>
      <w:ind w:left="283" w:hanging="283"/>
      <w:contextualSpacing/>
    </w:pPr>
  </w:style>
  <w:style w:type="paragraph" w:styleId="Listaconvietas">
    <w:name w:val="List Bullet"/>
    <w:basedOn w:val="Normal"/>
    <w:uiPriority w:val="99"/>
    <w:unhideWhenUsed/>
    <w:rsid w:val="005271EA"/>
    <w:pPr>
      <w:numPr>
        <w:numId w:val="19"/>
      </w:numPr>
      <w:contextualSpacing/>
    </w:pPr>
  </w:style>
  <w:style w:type="paragraph" w:styleId="Textoindependiente">
    <w:name w:val="Body Text"/>
    <w:basedOn w:val="Normal"/>
    <w:link w:val="TextoindependienteCar"/>
    <w:uiPriority w:val="99"/>
    <w:unhideWhenUsed/>
    <w:rsid w:val="005271EA"/>
    <w:pPr>
      <w:spacing w:after="120"/>
    </w:pPr>
  </w:style>
  <w:style w:type="character" w:customStyle="1" w:styleId="TextoindependienteCar">
    <w:name w:val="Texto independiente Car"/>
    <w:basedOn w:val="Fuentedeprrafopredeter"/>
    <w:link w:val="Textoindependiente"/>
    <w:uiPriority w:val="99"/>
    <w:rsid w:val="00527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56995">
      <w:bodyDiv w:val="1"/>
      <w:marLeft w:val="0"/>
      <w:marRight w:val="0"/>
      <w:marTop w:val="0"/>
      <w:marBottom w:val="0"/>
      <w:divBdr>
        <w:top w:val="none" w:sz="0" w:space="0" w:color="auto"/>
        <w:left w:val="none" w:sz="0" w:space="0" w:color="auto"/>
        <w:bottom w:val="none" w:sz="0" w:space="0" w:color="auto"/>
        <w:right w:val="none" w:sz="0" w:space="0" w:color="auto"/>
      </w:divBdr>
    </w:div>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264073418">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 w:id="1425373351">
      <w:bodyDiv w:val="1"/>
      <w:marLeft w:val="0"/>
      <w:marRight w:val="0"/>
      <w:marTop w:val="0"/>
      <w:marBottom w:val="0"/>
      <w:divBdr>
        <w:top w:val="none" w:sz="0" w:space="0" w:color="auto"/>
        <w:left w:val="none" w:sz="0" w:space="0" w:color="auto"/>
        <w:bottom w:val="none" w:sz="0" w:space="0" w:color="auto"/>
        <w:right w:val="none" w:sz="0" w:space="0" w:color="auto"/>
      </w:divBdr>
      <w:divsChild>
        <w:div w:id="1123958945">
          <w:marLeft w:val="0"/>
          <w:marRight w:val="0"/>
          <w:marTop w:val="0"/>
          <w:marBottom w:val="0"/>
          <w:divBdr>
            <w:top w:val="none" w:sz="0" w:space="0" w:color="auto"/>
            <w:left w:val="none" w:sz="0" w:space="0" w:color="auto"/>
            <w:bottom w:val="none" w:sz="0" w:space="0" w:color="auto"/>
            <w:right w:val="none" w:sz="0" w:space="0" w:color="auto"/>
          </w:divBdr>
        </w:div>
        <w:div w:id="86671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1</Pages>
  <Words>482</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115</cp:revision>
  <cp:lastPrinted>2020-10-29T22:27:00Z</cp:lastPrinted>
  <dcterms:created xsi:type="dcterms:W3CDTF">2019-02-18T19:32:00Z</dcterms:created>
  <dcterms:modified xsi:type="dcterms:W3CDTF">2020-10-29T22:28:00Z</dcterms:modified>
</cp:coreProperties>
</file>