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7BFC89B2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treinta minutos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2C417F45" w14:textId="4DC1CAEB" w:rsidR="000D1767" w:rsidRPr="001048E5" w:rsidRDefault="00A61420" w:rsidP="000D1767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ALC SM-2020-</w:t>
      </w:r>
      <w:r w:rsidR="00F25E11"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04</w:t>
      </w:r>
      <w:r w:rsidR="001048E5"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9</w:t>
      </w:r>
      <w:r w:rsidR="00F25E11"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D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, recibida e</w:t>
      </w:r>
      <w:r w:rsidR="0022448E" w:rsidRPr="001048E5">
        <w:rPr>
          <w:rFonts w:ascii="Century Gothic" w:eastAsia="Calibri" w:hAnsi="Century Gothic" w:cs="Times New Roman"/>
          <w:sz w:val="20"/>
          <w:szCs w:val="20"/>
          <w:lang w:val="es-SV"/>
        </w:rPr>
        <w:t>l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día</w:t>
      </w:r>
      <w:r w:rsidR="0022448E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</w:t>
      </w:r>
      <w:r w:rsidR="000D1767" w:rsidRPr="001048E5">
        <w:rPr>
          <w:rFonts w:ascii="Century Gothic" w:eastAsia="Calibri" w:hAnsi="Century Gothic" w:cs="Times New Roman"/>
          <w:sz w:val="20"/>
          <w:szCs w:val="20"/>
          <w:lang w:val="es-SV"/>
        </w:rPr>
        <w:t>1</w:t>
      </w:r>
      <w:r w:rsidR="001048E5" w:rsidRPr="001048E5">
        <w:rPr>
          <w:rFonts w:ascii="Century Gothic" w:eastAsia="Calibri" w:hAnsi="Century Gothic" w:cs="Times New Roman"/>
          <w:sz w:val="20"/>
          <w:szCs w:val="20"/>
          <w:lang w:val="es-SV"/>
        </w:rPr>
        <w:t>4</w:t>
      </w:r>
      <w:r w:rsidR="0022448E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de</w:t>
      </w:r>
      <w:r w:rsidR="00EB4062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</w:t>
      </w:r>
      <w:r w:rsidR="001048E5" w:rsidRPr="001048E5">
        <w:rPr>
          <w:rFonts w:ascii="Century Gothic" w:eastAsia="Calibri" w:hAnsi="Century Gothic" w:cs="Times New Roman"/>
          <w:sz w:val="20"/>
          <w:szCs w:val="20"/>
          <w:lang w:val="es-SV"/>
        </w:rPr>
        <w:t>septiembre</w:t>
      </w:r>
      <w:r w:rsidR="00EB4062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del corriente año</w:t>
      </w:r>
      <w:r w:rsidR="0022448E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en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la cual requiere:</w:t>
      </w:r>
    </w:p>
    <w:p w14:paraId="4EFA2BFD" w14:textId="72FFF3C7" w:rsidR="001048E5" w:rsidRPr="001048E5" w:rsidRDefault="001048E5" w:rsidP="001048E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1. Copia simple de contrato de servicio telefónico institucional de los teléfonos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de línea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fija y celular del año 2018 y 2019.</w:t>
      </w:r>
    </w:p>
    <w:p w14:paraId="13DF9BE6" w14:textId="7C553FB3" w:rsidR="001048E5" w:rsidRPr="001048E5" w:rsidRDefault="001048E5" w:rsidP="001048E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2. Información financiera de fiestas patronales realizadas por su municipalidad en el 2018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y 2019 que incluya: fecha de realización, monto destinado para compra de pólvora y factura que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compruebe dicho costo, además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cualquier 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detalle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de todos los costos que conllevó dicha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celebración.</w:t>
      </w:r>
    </w:p>
    <w:p w14:paraId="4F9561F5" w14:textId="638D2B00" w:rsidR="001048E5" w:rsidRPr="001048E5" w:rsidRDefault="001048E5" w:rsidP="001048E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3. Copia simple de bitácora de uso de todos los vehículos institucionales del 19 de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diciembre al 31 de diciembre del 2019.</w:t>
      </w:r>
    </w:p>
    <w:p w14:paraId="48C11514" w14:textId="5415C30E" w:rsidR="000A61B6" w:rsidRPr="000A61B6" w:rsidRDefault="001048E5" w:rsidP="001048E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4. Copia simple del acuerdo de nombramiento de la persona encargada de la gestión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documental y archivos, si no tienen, favor indicármelo. Aclaro que hago referencia al oficial de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gestión documental y archivos. Asimismo, solicito el acuerdo de nombramiento del Oficial de</w:t>
      </w:r>
      <w:r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Información vigente.</w:t>
      </w:r>
    </w:p>
    <w:p w14:paraId="4543236A" w14:textId="4560717F" w:rsidR="00A61420" w:rsidRPr="000A61B6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0A61B6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EB4062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EB4062">
        <w:rPr>
          <w:rFonts w:ascii="Century Gothic" w:eastAsia="Calibri" w:hAnsi="Century Gothic" w:cs="Times New Roman"/>
          <w:sz w:val="20"/>
          <w:szCs w:val="20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67DBC72C" w:rsidR="00A61420" w:rsidRPr="00EB4062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EB4062">
        <w:rPr>
          <w:rFonts w:ascii="Century Gothic" w:eastAsia="Calibri" w:hAnsi="Century Gothic" w:cs="Times New Roman"/>
          <w:sz w:val="20"/>
          <w:szCs w:val="20"/>
          <w:lang w:val="es-SV"/>
        </w:rPr>
        <w:t>-Se gestionará lo solicitado mediante memorándum dirigidos a las unidades administrativas pertinentes de la municipalidad</w:t>
      </w:r>
      <w:r w:rsidR="001048E5">
        <w:rPr>
          <w:rFonts w:ascii="Century Gothic" w:eastAsia="Calibri" w:hAnsi="Century Gothic" w:cs="Times New Roman"/>
          <w:sz w:val="20"/>
          <w:szCs w:val="20"/>
          <w:lang w:val="es-SV"/>
        </w:rPr>
        <w:t>, respecto al punto sobre acuerdo municipal de nombramiento del suscrito Oficial de Información anexo el Link correspondiente donde puede acceder a dicho acuerdo de forma instantánea.</w:t>
      </w:r>
    </w:p>
    <w:p w14:paraId="4B4FF230" w14:textId="2B24710C" w:rsidR="00DA2837" w:rsidRPr="00EB4062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EB4062">
        <w:rPr>
          <w:rFonts w:ascii="Century Gothic" w:eastAsia="Calibri" w:hAnsi="Century Gothic" w:cs="Times New Roman"/>
          <w:sz w:val="20"/>
          <w:szCs w:val="20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01375F81" w14:textId="77777777" w:rsid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POR TANTO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, de conformidad a los artículos 2,6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lit.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C ,50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lits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. d, g, h, i, k, 65, 66, 69, 70, 71, </w:t>
      </w:r>
      <w:bookmarkStart w:id="0" w:name="_Hlk3421197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72 de la Ley de Acceso a la Información Pública </w:t>
      </w:r>
      <w:bookmarkEnd w:id="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y 53,54,55 y 56 del Reglamento de la Ley de Acceso a la Información Pública, el suscrito Oficial de Información </w:t>
      </w: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RESUELVE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:</w:t>
      </w:r>
    </w:p>
    <w:p w14:paraId="0E11F65A" w14:textId="7A3292D1" w:rsidR="00A61420" w:rsidRP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-Admítase la presente </w:t>
      </w:r>
      <w:r w:rsidR="000D1767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solicitud, 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se otorga un plazo inicial ordinario de 10 hábiles para dar respuesta a la solicitud.</w:t>
      </w:r>
    </w:p>
    <w:p w14:paraId="62249C8E" w14:textId="77777777" w:rsidR="00A61420" w:rsidRP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-Girar los memorándums necesarios para localizar la información solicitada.</w:t>
      </w:r>
    </w:p>
    <w:p w14:paraId="6B5B0234" w14:textId="610790EC" w:rsidR="00DA2837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-Notifíquese al solicitante, por el medio dejado para tal efecto.</w:t>
      </w: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0BBD8" w14:textId="77777777" w:rsidR="004913D4" w:rsidRDefault="004913D4" w:rsidP="0053261A">
      <w:pPr>
        <w:spacing w:after="0" w:line="240" w:lineRule="auto"/>
      </w:pPr>
      <w:r>
        <w:separator/>
      </w:r>
    </w:p>
  </w:endnote>
  <w:endnote w:type="continuationSeparator" w:id="0">
    <w:p w14:paraId="681B3A19" w14:textId="77777777" w:rsidR="004913D4" w:rsidRDefault="004913D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4913D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E13D0" w14:textId="77777777" w:rsidR="004913D4" w:rsidRDefault="004913D4" w:rsidP="0053261A">
      <w:pPr>
        <w:spacing w:after="0" w:line="240" w:lineRule="auto"/>
      </w:pPr>
      <w:r>
        <w:separator/>
      </w:r>
    </w:p>
  </w:footnote>
  <w:footnote w:type="continuationSeparator" w:id="0">
    <w:p w14:paraId="02EB238B" w14:textId="77777777" w:rsidR="004913D4" w:rsidRDefault="004913D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47B9"/>
    <w:rsid w:val="00042726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37F46"/>
    <w:rsid w:val="00860341"/>
    <w:rsid w:val="00895BDE"/>
    <w:rsid w:val="008F71C0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74545"/>
    <w:rsid w:val="00C8605A"/>
    <w:rsid w:val="00C87FD3"/>
    <w:rsid w:val="00CA6FA3"/>
    <w:rsid w:val="00CA7659"/>
    <w:rsid w:val="00CC2810"/>
    <w:rsid w:val="00CD0045"/>
    <w:rsid w:val="00CE6792"/>
    <w:rsid w:val="00D33980"/>
    <w:rsid w:val="00D447AE"/>
    <w:rsid w:val="00D463A9"/>
    <w:rsid w:val="00D856FB"/>
    <w:rsid w:val="00D87D37"/>
    <w:rsid w:val="00DA28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79</cp:revision>
  <cp:lastPrinted>2020-09-16T15:34:00Z</cp:lastPrinted>
  <dcterms:created xsi:type="dcterms:W3CDTF">2019-02-18T19:32:00Z</dcterms:created>
  <dcterms:modified xsi:type="dcterms:W3CDTF">2020-09-16T15:37:00Z</dcterms:modified>
</cp:coreProperties>
</file>