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222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B32B28">
        <w:rPr>
          <w:rFonts w:ascii="Century Gothic" w:hAnsi="Century Gothic" w:cs="Courier New"/>
          <w:b/>
          <w:sz w:val="23"/>
          <w:szCs w:val="23"/>
        </w:rPr>
        <w:t>dieciocho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925AFA">
        <w:rPr>
          <w:rFonts w:ascii="Century Gothic" w:hAnsi="Century Gothic" w:cs="Courier New"/>
          <w:b/>
          <w:sz w:val="23"/>
          <w:szCs w:val="23"/>
        </w:rPr>
        <w:t>febrero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P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B222F0">
        <w:rPr>
          <w:rFonts w:ascii="Helvetica" w:hAnsi="Helvetica" w:cs="Helvetica"/>
          <w:b/>
          <w:color w:val="333333"/>
          <w:shd w:val="clear" w:color="auto" w:fill="FFFFFF"/>
        </w:rPr>
        <w:t>4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bookmarkStart w:id="0" w:name="_GoBack"/>
      <w:bookmarkEnd w:id="0"/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670279">
        <w:rPr>
          <w:rFonts w:ascii="Century Gothic" w:hAnsi="Century Gothic" w:cs="Calibri"/>
        </w:rPr>
        <w:t>e</w:t>
      </w:r>
      <w:r w:rsidR="00F2034E">
        <w:rPr>
          <w:rFonts w:ascii="Century Gothic" w:hAnsi="Century Gothic" w:cs="Calibri"/>
        </w:rPr>
        <w:t>l</w:t>
      </w:r>
      <w:r w:rsidR="00670279">
        <w:rPr>
          <w:rFonts w:ascii="Century Gothic" w:hAnsi="Century Gothic" w:cs="Calibri"/>
        </w:rPr>
        <w:t xml:space="preserve"> día</w:t>
      </w:r>
      <w:r w:rsidR="00F2034E">
        <w:rPr>
          <w:rFonts w:ascii="Century Gothic" w:hAnsi="Century Gothic" w:cs="Calibri"/>
        </w:rPr>
        <w:t xml:space="preserve"> </w:t>
      </w:r>
      <w:r w:rsidR="00731AEA">
        <w:rPr>
          <w:rFonts w:ascii="Century Gothic" w:hAnsi="Century Gothic" w:cs="Calibri"/>
        </w:rPr>
        <w:t>1</w:t>
      </w:r>
      <w:r w:rsidR="00B222F0">
        <w:rPr>
          <w:rFonts w:ascii="Century Gothic" w:hAnsi="Century Gothic" w:cs="Calibri"/>
        </w:rPr>
        <w:t>5</w:t>
      </w:r>
      <w:r w:rsidR="00F2034E">
        <w:rPr>
          <w:rFonts w:ascii="Century Gothic" w:hAnsi="Century Gothic" w:cs="Calibri"/>
        </w:rPr>
        <w:t xml:space="preserve"> de los corrientes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B222F0" w:rsidRPr="00110B16" w:rsidRDefault="00B222F0" w:rsidP="00110B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110B16">
        <w:rPr>
          <w:rFonts w:ascii="Century Gothic" w:hAnsi="Century Gothic" w:cs="Calibri"/>
        </w:rPr>
        <w:t>Registro de misiones oficiales concedidas al personal de la alcaldía de San Miguel, durante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el periodo comprendido entre mayo de 2018 hasta el 14 de febrero de 2019. Detallar el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costo del boleto o pasaje (si hubo), la cantidad de viáticos asignados (si hubo); si el viaje fue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pagado por un agente externo, hacerlo constar.</w:t>
      </w:r>
    </w:p>
    <w:p w:rsidR="00B222F0" w:rsidRPr="00110B16" w:rsidRDefault="00B222F0" w:rsidP="00110B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110B16">
        <w:rPr>
          <w:rFonts w:ascii="Century Gothic" w:hAnsi="Century Gothic" w:cs="Calibri"/>
        </w:rPr>
        <w:t>Totalidad de informes de auditoría interna finales del periodo 2016, 2017, 2018 y 2019(hasta el 14 de febrero).</w:t>
      </w:r>
    </w:p>
    <w:p w:rsidR="00B222F0" w:rsidRPr="00110B16" w:rsidRDefault="00B222F0" w:rsidP="00B222F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110B16">
        <w:rPr>
          <w:rFonts w:ascii="Century Gothic" w:hAnsi="Century Gothic" w:cs="Calibri"/>
        </w:rPr>
        <w:t>Registro o listado de erogaciones del o los fondos circulantes que existieren dentro de la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municipalidad. Indicar el funcionario que autorizó el uso del fondo, la cantidad erogada, la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descripción del uso del dinero (material comprado, por ejemplo) y fecha en que se autorizó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su uso, así como a la persona natural o jurídica a la que se canceló con el dinero del fondo</w:t>
      </w:r>
      <w:r w:rsid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 xml:space="preserve">circulante. </w:t>
      </w:r>
      <w:r w:rsidRPr="00110B16">
        <w:rPr>
          <w:rFonts w:ascii="Century Gothic" w:hAnsi="Century Gothic" w:cs="Calibri"/>
        </w:rPr>
        <w:t>Además,</w:t>
      </w:r>
      <w:r w:rsidRPr="00110B16">
        <w:rPr>
          <w:rFonts w:ascii="Century Gothic" w:hAnsi="Century Gothic" w:cs="Calibri"/>
        </w:rPr>
        <w:t xml:space="preserve"> o en ausencia de un registro unificado, remitir las respectivas hojas en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que se autoriza el uso del fondo por la autoridad o autoridades competentes.</w:t>
      </w:r>
    </w:p>
    <w:p w:rsidR="00B222F0" w:rsidRPr="00110B16" w:rsidRDefault="00B222F0" w:rsidP="00110B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110B16">
        <w:rPr>
          <w:rFonts w:ascii="Century Gothic" w:hAnsi="Century Gothic" w:cs="Calibri"/>
        </w:rPr>
        <w:t xml:space="preserve">La totalidad de correspondencia recibida por el </w:t>
      </w:r>
      <w:r w:rsidRPr="00110B16">
        <w:rPr>
          <w:rFonts w:ascii="Century Gothic" w:hAnsi="Century Gothic" w:cs="Calibri"/>
        </w:rPr>
        <w:t>secretario</w:t>
      </w:r>
      <w:r w:rsidRPr="00110B16">
        <w:rPr>
          <w:rFonts w:ascii="Century Gothic" w:hAnsi="Century Gothic" w:cs="Calibri"/>
        </w:rPr>
        <w:t xml:space="preserve"> del Concejo Municipal y el Alcalde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Municipal durante los años 2019, 2018, 2017 y 2016. Incluir copia de cada uno de estos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documentos.</w:t>
      </w:r>
    </w:p>
    <w:p w:rsidR="00B222F0" w:rsidRPr="00110B16" w:rsidRDefault="00B222F0" w:rsidP="00110B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110B16">
        <w:rPr>
          <w:rFonts w:ascii="Century Gothic" w:hAnsi="Century Gothic" w:cs="Calibri"/>
        </w:rPr>
        <w:t>Total, de solicitudes de desembolso para celebración de fiestas patronales de San Miguel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recibidas por el Concejo Municipal durante los años 2019, 2018, 2017, 2016. Incluir copia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de los documentos u escritos en que consten estas solicitudes.</w:t>
      </w:r>
    </w:p>
    <w:p w:rsidR="00B222F0" w:rsidRPr="00110B16" w:rsidRDefault="00B222F0" w:rsidP="00110B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110B16">
        <w:rPr>
          <w:rFonts w:ascii="Century Gothic" w:hAnsi="Century Gothic" w:cs="Calibri"/>
        </w:rPr>
        <w:t>Bitácora de actividades, Reportes y/o solicitudes elaboradas por el personal de la UNIDADDE COMUNICACIONES Y PRENSA de la alcaldía de San Miguel durante los años 2019, 2018,2017 y 2016 en lo relativo a los eventos celebrados por la municipalidad.</w:t>
      </w:r>
    </w:p>
    <w:p w:rsidR="00731AEA" w:rsidRPr="00110B16" w:rsidRDefault="00B222F0" w:rsidP="00110B1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110B16">
        <w:rPr>
          <w:rFonts w:ascii="Century Gothic" w:hAnsi="Century Gothic" w:cs="Calibri"/>
        </w:rPr>
        <w:t>Listado de asistencia de los miembros del concejo municipal a cada una de las sesiones del</w:t>
      </w:r>
      <w:r w:rsidRPr="00110B16">
        <w:rPr>
          <w:rFonts w:ascii="Century Gothic" w:hAnsi="Century Gothic" w:cs="Calibri"/>
        </w:rPr>
        <w:t xml:space="preserve"> </w:t>
      </w:r>
      <w:r w:rsidRPr="00110B16">
        <w:rPr>
          <w:rFonts w:ascii="Century Gothic" w:hAnsi="Century Gothic" w:cs="Calibri"/>
        </w:rPr>
        <w:t>concejo entre 2016, 2017, 2018 y 2019.</w:t>
      </w:r>
    </w:p>
    <w:p w:rsidR="00B222F0" w:rsidRDefault="00B222F0" w:rsidP="00B222F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110B16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lastRenderedPageBreak/>
        <w:t>-En cuanto al punto numero 1 se le previene en referencia a las misiones oficiales ya que no menciona si se refiere a misiones oficiales dentro del territorio o en el exterior de la Republica, tiene 5 días hábiles para subsanar este punto de acuerdo a la Ley de Acceso a la Información Pública, mientras no subsane se suspende el plazo de entrega de la información en lo pertinente.</w:t>
      </w:r>
    </w:p>
    <w:p w:rsidR="00110B16" w:rsidRDefault="00110B16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-En referencia al punto 3 se le previene en el sentido de que no menciona el periodo de tiempo del que solicita </w:t>
      </w:r>
      <w:r w:rsidR="00B32B28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as erogaciones del fondo circulante favor subsanar lo incoado mencionando dicho periodo tal como lo ha hecho en los demás puntos de su </w:t>
      </w:r>
      <w:r w:rsidR="00B32B28">
        <w:rPr>
          <w:rFonts w:ascii="Century Gothic" w:hAnsi="Century Gothic" w:cs="Calibri"/>
        </w:rPr>
        <w:t>solicitud, de</w:t>
      </w:r>
      <w:r>
        <w:rPr>
          <w:rFonts w:ascii="Century Gothic" w:hAnsi="Century Gothic" w:cs="Calibri"/>
        </w:rPr>
        <w:t xml:space="preserve"> igual forma se interrumpe el plazo de entrega en lo pertinente hasta que subsane dicha situación</w:t>
      </w:r>
      <w:r w:rsidR="00B32B28">
        <w:rPr>
          <w:rFonts w:ascii="Century Gothic" w:hAnsi="Century Gothic" w:cs="Calibri"/>
        </w:rPr>
        <w:t xml:space="preserve"> en 5 días hábiles tal como lo establece la Ley de Acceso a la Información pública</w:t>
      </w:r>
      <w:r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con las consideraciones relacionadas anteriormente</w:t>
      </w:r>
      <w:r w:rsidR="00DB52E4">
        <w:rPr>
          <w:rFonts w:ascii="Century Gothic" w:hAnsi="Century Gothic" w:cs="Calibri"/>
        </w:rPr>
        <w:t xml:space="preserve"> 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B32B28" w:rsidRDefault="00B32B28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le requiere al ciudadano peticionario subsane los puntos 1 y 3 de su solicitud con la finalidad de responder de forma clara y precisa.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B32B28" w:rsidRDefault="00B32B28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32B28" w:rsidRDefault="00B32B28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B32B28" w:rsidRDefault="00B32B28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DE7" w:rsidRDefault="00660DE7" w:rsidP="00AE625E">
      <w:pPr>
        <w:spacing w:after="0" w:line="240" w:lineRule="auto"/>
      </w:pPr>
      <w:r>
        <w:separator/>
      </w:r>
    </w:p>
  </w:endnote>
  <w:endnote w:type="continuationSeparator" w:id="0">
    <w:p w:rsidR="00660DE7" w:rsidRDefault="00660DE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DE7" w:rsidRDefault="00660DE7" w:rsidP="00AE625E">
      <w:pPr>
        <w:spacing w:after="0" w:line="240" w:lineRule="auto"/>
      </w:pPr>
      <w:r>
        <w:separator/>
      </w:r>
    </w:p>
  </w:footnote>
  <w:footnote w:type="continuationSeparator" w:id="0">
    <w:p w:rsidR="00660DE7" w:rsidRDefault="00660DE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3487"/>
    <w:rsid w:val="003D0A8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916C7"/>
    <w:rsid w:val="00997366"/>
    <w:rsid w:val="009C1A84"/>
    <w:rsid w:val="009D0B3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3DF15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B122-0BD9-4A5C-97EC-D28807AC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110</cp:revision>
  <cp:lastPrinted>2019-02-18T16:27:00Z</cp:lastPrinted>
  <dcterms:created xsi:type="dcterms:W3CDTF">2016-03-09T17:16:00Z</dcterms:created>
  <dcterms:modified xsi:type="dcterms:W3CDTF">2019-02-18T16:51:00Z</dcterms:modified>
</cp:coreProperties>
</file>