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CCF" w:rsidRDefault="00D54CCF"/>
    <w:p w:rsidR="00E70044" w:rsidRDefault="00D54CCF" w:rsidP="00CC378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C3780">
        <w:rPr>
          <w:rFonts w:ascii="Arial" w:hAnsi="Arial" w:cs="Arial"/>
          <w:b/>
          <w:sz w:val="28"/>
          <w:szCs w:val="28"/>
          <w:u w:val="single"/>
        </w:rPr>
        <w:t>Unidad de Niñez</w:t>
      </w:r>
      <w:r w:rsidR="00E62429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5A7985" w:rsidRDefault="00E62429" w:rsidP="00CC378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(Centros de Bienestar Infantiles de Santiago de María</w:t>
      </w:r>
      <w:r w:rsidR="00E70044">
        <w:rPr>
          <w:rFonts w:ascii="Arial" w:hAnsi="Arial" w:cs="Arial"/>
          <w:b/>
          <w:sz w:val="28"/>
          <w:szCs w:val="28"/>
          <w:u w:val="single"/>
        </w:rPr>
        <w:t>)</w:t>
      </w:r>
    </w:p>
    <w:p w:rsidR="00B13502" w:rsidRPr="00CC3780" w:rsidRDefault="00B13502" w:rsidP="00CC3780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495F8A" w:rsidRPr="00E76659" w:rsidRDefault="00E76659" w:rsidP="005A79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5A7985" w:rsidRPr="005A7985">
        <w:rPr>
          <w:rFonts w:ascii="Arial" w:hAnsi="Arial" w:cs="Arial"/>
          <w:sz w:val="24"/>
          <w:szCs w:val="24"/>
        </w:rPr>
        <w:t>iños y ni</w:t>
      </w:r>
      <w:r w:rsidR="00495F8A">
        <w:rPr>
          <w:rFonts w:ascii="Arial" w:hAnsi="Arial" w:cs="Arial"/>
          <w:sz w:val="24"/>
          <w:szCs w:val="24"/>
        </w:rPr>
        <w:t xml:space="preserve">ñas que son beneficiados en el </w:t>
      </w:r>
      <w:r w:rsidRPr="00E76659">
        <w:rPr>
          <w:rFonts w:ascii="Arial" w:hAnsi="Arial" w:cs="Arial"/>
          <w:b/>
          <w:sz w:val="24"/>
          <w:szCs w:val="24"/>
        </w:rPr>
        <w:t>Centros de Bi</w:t>
      </w:r>
      <w:r w:rsidR="005A7985" w:rsidRPr="00E76659">
        <w:rPr>
          <w:rFonts w:ascii="Arial" w:hAnsi="Arial" w:cs="Arial"/>
          <w:b/>
          <w:sz w:val="24"/>
          <w:szCs w:val="24"/>
        </w:rPr>
        <w:t>en</w:t>
      </w:r>
      <w:r w:rsidRPr="00E76659">
        <w:rPr>
          <w:rFonts w:ascii="Arial" w:hAnsi="Arial" w:cs="Arial"/>
          <w:b/>
          <w:sz w:val="24"/>
          <w:szCs w:val="24"/>
        </w:rPr>
        <w:t xml:space="preserve">estar Infantil </w:t>
      </w:r>
      <w:r w:rsidR="005A7985" w:rsidRPr="00E76659">
        <w:rPr>
          <w:rFonts w:ascii="Arial" w:hAnsi="Arial" w:cs="Arial"/>
          <w:b/>
          <w:sz w:val="24"/>
          <w:szCs w:val="24"/>
        </w:rPr>
        <w:t>Mercedes Llach</w:t>
      </w:r>
      <w:r w:rsidR="00495F8A" w:rsidRPr="00E76659">
        <w:rPr>
          <w:rFonts w:ascii="Arial" w:hAnsi="Arial" w:cs="Arial"/>
          <w:b/>
          <w:sz w:val="24"/>
          <w:szCs w:val="24"/>
        </w:rPr>
        <w:t>.</w:t>
      </w:r>
    </w:p>
    <w:p w:rsidR="00495F8A" w:rsidRPr="00E76659" w:rsidRDefault="00495F8A" w:rsidP="005A79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SV" w:eastAsia="es-SV"/>
        </w:rPr>
        <w:drawing>
          <wp:inline distT="0" distB="0" distL="0" distR="0">
            <wp:extent cx="5638800" cy="3150235"/>
            <wp:effectExtent l="0" t="0" r="0" b="12065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5A7985" w:rsidRDefault="005A7985" w:rsidP="005A7985">
      <w:pPr>
        <w:jc w:val="both"/>
        <w:rPr>
          <w:rFonts w:ascii="Arial" w:hAnsi="Arial" w:cs="Arial"/>
          <w:noProof/>
          <w:sz w:val="24"/>
          <w:szCs w:val="24"/>
          <w:lang w:val="es-SV" w:eastAsia="es-SV"/>
        </w:rPr>
      </w:pPr>
    </w:p>
    <w:p w:rsidR="00495F8A" w:rsidRDefault="00495F8A" w:rsidP="005A7985">
      <w:pPr>
        <w:jc w:val="both"/>
        <w:rPr>
          <w:rFonts w:ascii="Arial" w:hAnsi="Arial" w:cs="Arial"/>
          <w:noProof/>
          <w:sz w:val="24"/>
          <w:szCs w:val="24"/>
          <w:lang w:val="es-SV" w:eastAsia="es-SV"/>
        </w:rPr>
      </w:pPr>
    </w:p>
    <w:p w:rsidR="00495F8A" w:rsidRPr="00E76659" w:rsidRDefault="00766BBA" w:rsidP="005A79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la gráfica se muestran los niños y niñas que si so</w:t>
      </w:r>
      <w:r w:rsidR="00E62429">
        <w:rPr>
          <w:rFonts w:ascii="Arial" w:hAnsi="Arial" w:cs="Arial"/>
          <w:sz w:val="24"/>
          <w:szCs w:val="24"/>
        </w:rPr>
        <w:t xml:space="preserve">n beneficiados en el </w:t>
      </w:r>
      <w:r w:rsidR="00E62429" w:rsidRPr="00E76659">
        <w:rPr>
          <w:rFonts w:ascii="Arial" w:hAnsi="Arial" w:cs="Arial"/>
          <w:b/>
          <w:sz w:val="24"/>
          <w:szCs w:val="24"/>
        </w:rPr>
        <w:t>Centro de B</w:t>
      </w:r>
      <w:r w:rsidRPr="00E76659">
        <w:rPr>
          <w:rFonts w:ascii="Arial" w:hAnsi="Arial" w:cs="Arial"/>
          <w:b/>
          <w:sz w:val="24"/>
          <w:szCs w:val="24"/>
        </w:rPr>
        <w:t>ienestar Infantil Santiago de María.</w:t>
      </w:r>
    </w:p>
    <w:p w:rsidR="00766BBA" w:rsidRDefault="00600E3D" w:rsidP="005A79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SV" w:eastAsia="es-SV"/>
        </w:rPr>
        <w:lastRenderedPageBreak/>
        <w:drawing>
          <wp:inline distT="0" distB="0" distL="0" distR="0" wp14:anchorId="155C53D2" wp14:editId="120862BA">
            <wp:extent cx="5400040" cy="3016847"/>
            <wp:effectExtent l="0" t="0" r="10160" b="1270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40B9D" w:rsidRDefault="00540B9D" w:rsidP="005A7985">
      <w:pPr>
        <w:jc w:val="both"/>
        <w:rPr>
          <w:rFonts w:ascii="Arial" w:hAnsi="Arial" w:cs="Arial"/>
          <w:sz w:val="24"/>
          <w:szCs w:val="24"/>
        </w:rPr>
      </w:pPr>
    </w:p>
    <w:p w:rsidR="00E76659" w:rsidRDefault="00E76659" w:rsidP="005A7985">
      <w:pPr>
        <w:jc w:val="both"/>
        <w:rPr>
          <w:rFonts w:ascii="Arial" w:hAnsi="Arial" w:cs="Arial"/>
          <w:sz w:val="24"/>
          <w:szCs w:val="24"/>
        </w:rPr>
      </w:pPr>
    </w:p>
    <w:p w:rsidR="00E76659" w:rsidRDefault="00E76659" w:rsidP="005A7985">
      <w:pPr>
        <w:jc w:val="both"/>
        <w:rPr>
          <w:rFonts w:ascii="Arial" w:hAnsi="Arial" w:cs="Arial"/>
          <w:sz w:val="24"/>
          <w:szCs w:val="24"/>
        </w:rPr>
      </w:pPr>
    </w:p>
    <w:p w:rsidR="00540B9D" w:rsidRDefault="00540B9D" w:rsidP="005A79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la siguiente grafica se muestran los niños y niñas que son beneficiarios del </w:t>
      </w:r>
      <w:r w:rsidRPr="00C563C9">
        <w:rPr>
          <w:rFonts w:ascii="Arial" w:hAnsi="Arial" w:cs="Arial"/>
          <w:b/>
          <w:sz w:val="24"/>
          <w:szCs w:val="24"/>
        </w:rPr>
        <w:t>Centro de Bienestar Infantil Marquezado</w:t>
      </w:r>
      <w:r>
        <w:rPr>
          <w:rFonts w:ascii="Arial" w:hAnsi="Arial" w:cs="Arial"/>
          <w:sz w:val="24"/>
          <w:szCs w:val="24"/>
        </w:rPr>
        <w:t>.</w:t>
      </w:r>
    </w:p>
    <w:p w:rsidR="00C563C9" w:rsidRDefault="00C563C9" w:rsidP="005A7985">
      <w:pPr>
        <w:jc w:val="both"/>
        <w:rPr>
          <w:rFonts w:ascii="Arial" w:hAnsi="Arial" w:cs="Arial"/>
          <w:sz w:val="24"/>
          <w:szCs w:val="24"/>
        </w:rPr>
      </w:pPr>
    </w:p>
    <w:p w:rsidR="00766BBA" w:rsidRDefault="00540B9D" w:rsidP="005A7985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noProof/>
          <w:sz w:val="24"/>
          <w:szCs w:val="24"/>
          <w:lang w:val="es-SV" w:eastAsia="es-SV"/>
        </w:rPr>
        <w:drawing>
          <wp:inline distT="0" distB="0" distL="0" distR="0" wp14:anchorId="1ECA5FB2" wp14:editId="54C5FB0A">
            <wp:extent cx="5552440" cy="3016250"/>
            <wp:effectExtent l="0" t="0" r="10160" b="1270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</w:p>
    <w:p w:rsidR="00CC3780" w:rsidRDefault="00CC3780" w:rsidP="005A7985">
      <w:pPr>
        <w:jc w:val="both"/>
        <w:rPr>
          <w:rFonts w:ascii="Arial" w:hAnsi="Arial" w:cs="Arial"/>
          <w:sz w:val="24"/>
          <w:szCs w:val="24"/>
        </w:rPr>
      </w:pPr>
    </w:p>
    <w:p w:rsidR="00E70044" w:rsidRDefault="00E70044" w:rsidP="005A7985">
      <w:pPr>
        <w:jc w:val="both"/>
        <w:rPr>
          <w:rFonts w:ascii="Arial" w:hAnsi="Arial" w:cs="Arial"/>
          <w:sz w:val="24"/>
          <w:szCs w:val="24"/>
        </w:rPr>
      </w:pPr>
    </w:p>
    <w:p w:rsidR="007E5A7C" w:rsidRDefault="007E5A7C" w:rsidP="005A7985">
      <w:pPr>
        <w:jc w:val="both"/>
        <w:rPr>
          <w:rFonts w:ascii="Arial" w:hAnsi="Arial" w:cs="Arial"/>
          <w:sz w:val="24"/>
          <w:szCs w:val="24"/>
        </w:rPr>
      </w:pPr>
    </w:p>
    <w:p w:rsidR="00387154" w:rsidRDefault="00387154" w:rsidP="005A7985">
      <w:pPr>
        <w:jc w:val="both"/>
        <w:rPr>
          <w:rFonts w:ascii="Arial" w:hAnsi="Arial" w:cs="Arial"/>
          <w:sz w:val="24"/>
          <w:szCs w:val="24"/>
        </w:rPr>
      </w:pPr>
    </w:p>
    <w:p w:rsidR="00387154" w:rsidRDefault="00387154" w:rsidP="005A7985">
      <w:pPr>
        <w:jc w:val="both"/>
        <w:rPr>
          <w:rFonts w:ascii="Arial" w:hAnsi="Arial" w:cs="Arial"/>
          <w:sz w:val="24"/>
          <w:szCs w:val="24"/>
        </w:rPr>
      </w:pPr>
      <w:r w:rsidRPr="00387154">
        <w:rPr>
          <w:rFonts w:ascii="Arial" w:hAnsi="Arial" w:cs="Arial"/>
          <w:sz w:val="24"/>
          <w:szCs w:val="24"/>
        </w:rPr>
        <w:t>Niños y niñas que han recibido Estimulación Temprana y han superado sus riesgos del Desa</w:t>
      </w:r>
      <w:r>
        <w:rPr>
          <w:rFonts w:ascii="Arial" w:hAnsi="Arial" w:cs="Arial"/>
          <w:sz w:val="24"/>
          <w:szCs w:val="24"/>
        </w:rPr>
        <w:t>rrollo de los Centros de Atención Infantil</w:t>
      </w:r>
    </w:p>
    <w:p w:rsidR="00B853C8" w:rsidRDefault="00B853C8" w:rsidP="005A7985">
      <w:pPr>
        <w:jc w:val="both"/>
        <w:rPr>
          <w:rFonts w:ascii="Arial" w:hAnsi="Arial" w:cs="Arial"/>
          <w:sz w:val="24"/>
          <w:szCs w:val="24"/>
        </w:rPr>
      </w:pPr>
    </w:p>
    <w:p w:rsidR="00B853C8" w:rsidRDefault="00387154" w:rsidP="005A79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SV" w:eastAsia="es-SV"/>
        </w:rPr>
        <w:drawing>
          <wp:inline distT="0" distB="0" distL="0" distR="0" wp14:anchorId="156D020C" wp14:editId="11F43AE3">
            <wp:extent cx="5400040" cy="3150235"/>
            <wp:effectExtent l="0" t="0" r="10160" b="12065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C3780" w:rsidRDefault="00CC3780" w:rsidP="005A7985">
      <w:pPr>
        <w:jc w:val="both"/>
        <w:rPr>
          <w:rFonts w:ascii="Arial" w:hAnsi="Arial" w:cs="Arial"/>
          <w:sz w:val="24"/>
          <w:szCs w:val="24"/>
        </w:rPr>
      </w:pPr>
    </w:p>
    <w:p w:rsidR="005A7985" w:rsidRDefault="005A7985" w:rsidP="005A7985">
      <w:pPr>
        <w:jc w:val="both"/>
        <w:rPr>
          <w:rFonts w:ascii="Arial" w:hAnsi="Arial" w:cs="Arial"/>
          <w:sz w:val="24"/>
          <w:szCs w:val="24"/>
        </w:rPr>
      </w:pPr>
    </w:p>
    <w:p w:rsidR="00CC3780" w:rsidRPr="005A7985" w:rsidRDefault="00CC3780" w:rsidP="005A7985">
      <w:pPr>
        <w:jc w:val="both"/>
        <w:rPr>
          <w:rFonts w:ascii="Arial" w:hAnsi="Arial" w:cs="Arial"/>
          <w:sz w:val="24"/>
          <w:szCs w:val="24"/>
        </w:rPr>
      </w:pPr>
    </w:p>
    <w:p w:rsidR="005A7985" w:rsidRPr="00D54CCF" w:rsidRDefault="005A7985" w:rsidP="0035450A">
      <w:pPr>
        <w:jc w:val="both"/>
        <w:rPr>
          <w:rFonts w:ascii="Arial" w:hAnsi="Arial" w:cs="Arial"/>
          <w:sz w:val="28"/>
          <w:szCs w:val="28"/>
        </w:rPr>
      </w:pPr>
    </w:p>
    <w:sectPr w:rsidR="005A7985" w:rsidRPr="00D54C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CCF"/>
    <w:rsid w:val="0035450A"/>
    <w:rsid w:val="00371F6F"/>
    <w:rsid w:val="00387154"/>
    <w:rsid w:val="00495F8A"/>
    <w:rsid w:val="005245BE"/>
    <w:rsid w:val="00540B9D"/>
    <w:rsid w:val="00565AFF"/>
    <w:rsid w:val="00573F69"/>
    <w:rsid w:val="005A7985"/>
    <w:rsid w:val="00600E3D"/>
    <w:rsid w:val="0075016E"/>
    <w:rsid w:val="00766BBA"/>
    <w:rsid w:val="007E5A7C"/>
    <w:rsid w:val="00B13502"/>
    <w:rsid w:val="00B343DE"/>
    <w:rsid w:val="00B853C8"/>
    <w:rsid w:val="00C563C9"/>
    <w:rsid w:val="00C75F25"/>
    <w:rsid w:val="00CC3780"/>
    <w:rsid w:val="00D54CCF"/>
    <w:rsid w:val="00E62429"/>
    <w:rsid w:val="00E70044"/>
    <w:rsid w:val="00E76659"/>
    <w:rsid w:val="00F9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E2A5D9-3F3F-4AAD-9636-F5EC08CA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b="1">
                <a:solidFill>
                  <a:sysClr val="windowText" lastClr="000000"/>
                </a:solidFill>
              </a:rPr>
              <a:t>Asistencias </a:t>
            </a:r>
          </a:p>
          <a:p>
            <a:pPr>
              <a:defRPr/>
            </a:pPr>
            <a:r>
              <a:rPr lang="es-SV" b="1">
                <a:solidFill>
                  <a:sysClr val="windowText" lastClr="000000"/>
                </a:solidFill>
              </a:rPr>
              <a:t>Mercedes Llach</a:t>
            </a:r>
          </a:p>
        </c:rich>
      </c:tx>
      <c:layout>
        <c:manualLayout>
          <c:xMode val="edge"/>
          <c:yMode val="edge"/>
          <c:x val="0.3874661275448677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6371434285671956E-2"/>
          <c:y val="0.14952630518040719"/>
          <c:w val="0.90599921482063095"/>
          <c:h val="0.664731361311140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Abril</c:v>
                </c:pt>
              </c:strCache>
            </c:strRef>
          </c:tx>
          <c:spPr>
            <a:solidFill>
              <a:schemeClr val="accent2">
                <a:shade val="65000"/>
              </a:schemeClr>
            </a:solidFill>
            <a:ln>
              <a:solidFill>
                <a:schemeClr val="tx1"/>
              </a:solidFill>
            </a:ln>
            <a:effectLst/>
            <a:sp3d>
              <a:contourClr>
                <a:schemeClr val="tx1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2"/>
                <c:pt idx="0">
                  <c:v>Presencial</c:v>
                </c:pt>
                <c:pt idx="1">
                  <c:v>Virtual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21</c:v>
                </c:pt>
                <c:pt idx="1">
                  <c:v>19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Mayo</c:v>
                </c:pt>
              </c:strCache>
            </c:strRef>
          </c:tx>
          <c:spPr>
            <a:solidFill>
              <a:schemeClr val="accent2"/>
            </a:solidFill>
            <a:ln>
              <a:solidFill>
                <a:schemeClr val="tx1"/>
              </a:solidFill>
            </a:ln>
            <a:effectLst/>
            <a:sp3d>
              <a:contourClr>
                <a:schemeClr val="tx1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2"/>
                <c:pt idx="0">
                  <c:v>Presencial</c:v>
                </c:pt>
                <c:pt idx="1">
                  <c:v>Virtual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21</c:v>
                </c:pt>
                <c:pt idx="1">
                  <c:v>19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Junio</c:v>
                </c:pt>
              </c:strCache>
            </c:strRef>
          </c:tx>
          <c:spPr>
            <a:solidFill>
              <a:schemeClr val="accent2">
                <a:tint val="65000"/>
              </a:schemeClr>
            </a:solidFill>
            <a:ln>
              <a:solidFill>
                <a:schemeClr val="tx1"/>
              </a:solidFill>
            </a:ln>
            <a:effectLst/>
            <a:sp3d>
              <a:contourClr>
                <a:schemeClr val="tx1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Hoja1!$A$2:$A$5</c:f>
              <c:strCache>
                <c:ptCount val="2"/>
                <c:pt idx="0">
                  <c:v>Presencial</c:v>
                </c:pt>
                <c:pt idx="1">
                  <c:v>Virtual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23</c:v>
                </c:pt>
                <c:pt idx="1">
                  <c:v>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shape val="box"/>
        <c:axId val="232194832"/>
        <c:axId val="232073744"/>
        <c:axId val="0"/>
      </c:bar3DChart>
      <c:catAx>
        <c:axId val="232194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32073744"/>
        <c:crosses val="autoZero"/>
        <c:auto val="1"/>
        <c:lblAlgn val="ctr"/>
        <c:lblOffset val="100"/>
        <c:noMultiLvlLbl val="0"/>
      </c:catAx>
      <c:valAx>
        <c:axId val="2320737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32194832"/>
        <c:crosses val="autoZero"/>
        <c:crossBetween val="between"/>
      </c:valAx>
      <c:spPr>
        <a:solidFill>
          <a:schemeClr val="accent4">
            <a:lumMod val="20000"/>
            <a:lumOff val="80000"/>
          </a:schemeClr>
        </a:solidFill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b="1">
                <a:solidFill>
                  <a:sysClr val="windowText" lastClr="000000"/>
                </a:solidFill>
              </a:rPr>
              <a:t>Asistencias </a:t>
            </a:r>
          </a:p>
          <a:p>
            <a:pPr>
              <a:defRPr/>
            </a:pPr>
            <a:r>
              <a:rPr lang="es-SV" b="1">
                <a:solidFill>
                  <a:sysClr val="windowText" lastClr="000000"/>
                </a:solidFill>
              </a:rPr>
              <a:t>Santiago</a:t>
            </a:r>
            <a:r>
              <a:rPr lang="es-SV" b="1" baseline="0">
                <a:solidFill>
                  <a:sysClr val="windowText" lastClr="000000"/>
                </a:solidFill>
              </a:rPr>
              <a:t> de Maria</a:t>
            </a:r>
            <a:endParaRPr lang="es-SV" b="1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0.3874661275448677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6371434285671956E-2"/>
          <c:y val="0.14952630518040719"/>
          <c:w val="0.90599921482063095"/>
          <c:h val="0.664731361311140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Abril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>
              <a:solidFill>
                <a:schemeClr val="tx1"/>
              </a:solidFill>
            </a:ln>
            <a:effectLst/>
            <a:sp3d>
              <a:contourClr>
                <a:schemeClr val="tx1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2"/>
                <c:pt idx="0">
                  <c:v>Presencial</c:v>
                </c:pt>
                <c:pt idx="1">
                  <c:v>Virtual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21</c:v>
                </c:pt>
                <c:pt idx="1">
                  <c:v>19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Mayo</c:v>
                </c:pt>
              </c:strCache>
            </c:strRef>
          </c:tx>
          <c:spPr>
            <a:solidFill>
              <a:schemeClr val="accent2"/>
            </a:solidFill>
            <a:ln>
              <a:solidFill>
                <a:schemeClr val="tx1"/>
              </a:solidFill>
            </a:ln>
            <a:effectLst/>
            <a:sp3d>
              <a:contourClr>
                <a:schemeClr val="tx1"/>
              </a:contourClr>
            </a:sp3d>
          </c:spPr>
          <c:invertIfNegative val="0"/>
          <c:dPt>
            <c:idx val="0"/>
            <c:invertIfNegative val="0"/>
            <c:bubble3D val="0"/>
            <c:spPr>
              <a:solidFill>
                <a:schemeClr val="accent4"/>
              </a:solidFill>
              <a:ln>
                <a:solidFill>
                  <a:schemeClr val="tx1"/>
                </a:solidFill>
              </a:ln>
              <a:effectLst/>
              <a:sp3d>
                <a:contourClr>
                  <a:schemeClr val="tx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2"/>
                <c:pt idx="0">
                  <c:v>Presencial</c:v>
                </c:pt>
                <c:pt idx="1">
                  <c:v>Virtual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21</c:v>
                </c:pt>
                <c:pt idx="1">
                  <c:v>19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Junio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chemeClr val="tx1"/>
              </a:solidFill>
            </a:ln>
            <a:effectLst/>
            <a:sp3d>
              <a:contourClr>
                <a:schemeClr val="tx1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Hoja1!$A$2:$A$5</c:f>
              <c:strCache>
                <c:ptCount val="2"/>
                <c:pt idx="0">
                  <c:v>Presencial</c:v>
                </c:pt>
                <c:pt idx="1">
                  <c:v>Virtual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21</c:v>
                </c:pt>
                <c:pt idx="1">
                  <c:v>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shape val="box"/>
        <c:axId val="286926848"/>
        <c:axId val="286927632"/>
        <c:axId val="0"/>
      </c:bar3DChart>
      <c:catAx>
        <c:axId val="2869268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86927632"/>
        <c:crosses val="autoZero"/>
        <c:auto val="1"/>
        <c:lblAlgn val="ctr"/>
        <c:lblOffset val="100"/>
        <c:noMultiLvlLbl val="0"/>
      </c:catAx>
      <c:valAx>
        <c:axId val="286927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86926848"/>
        <c:crosses val="autoZero"/>
        <c:crossBetween val="between"/>
      </c:valAx>
      <c:spPr>
        <a:solidFill>
          <a:schemeClr val="accent6">
            <a:lumMod val="40000"/>
            <a:lumOff val="60000"/>
          </a:schemeClr>
        </a:solidFill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b="1">
                <a:solidFill>
                  <a:sysClr val="windowText" lastClr="000000"/>
                </a:solidFill>
              </a:rPr>
              <a:t>Asistencia</a:t>
            </a:r>
          </a:p>
          <a:p>
            <a:pPr>
              <a:defRPr/>
            </a:pPr>
            <a:r>
              <a:rPr lang="es-SV" b="1">
                <a:solidFill>
                  <a:sysClr val="windowText" lastClr="000000"/>
                </a:solidFill>
              </a:rPr>
              <a:t>Marquezado</a:t>
            </a:r>
          </a:p>
        </c:rich>
      </c:tx>
      <c:layout>
        <c:manualLayout>
          <c:xMode val="edge"/>
          <c:yMode val="edge"/>
          <c:x val="0.38746569075937787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5.6371434285671956E-2"/>
          <c:y val="0.14952630518040719"/>
          <c:w val="0.90599921482063095"/>
          <c:h val="0.664731361311140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Abril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2"/>
                <c:pt idx="0">
                  <c:v>presencial</c:v>
                </c:pt>
                <c:pt idx="1">
                  <c:v>virtual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13</c:v>
                </c:pt>
                <c:pt idx="1">
                  <c:v>12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Mayo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2"/>
                <c:pt idx="0">
                  <c:v>presencial</c:v>
                </c:pt>
                <c:pt idx="1">
                  <c:v>virtual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13</c:v>
                </c:pt>
                <c:pt idx="1">
                  <c:v>12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Junio</c:v>
                </c:pt>
              </c:strCache>
            </c:strRef>
          </c:tx>
          <c:spPr>
            <a:solidFill>
              <a:schemeClr val="accent4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dLbl>
              <c:idx val="0"/>
              <c:layout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2"/>
                <c:pt idx="0">
                  <c:v>presencial</c:v>
                </c:pt>
                <c:pt idx="1">
                  <c:v>virtual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14</c:v>
                </c:pt>
                <c:pt idx="1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233196592"/>
        <c:axId val="233196976"/>
      </c:barChart>
      <c:catAx>
        <c:axId val="2331965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33196976"/>
        <c:crosses val="autoZero"/>
        <c:auto val="1"/>
        <c:lblAlgn val="ctr"/>
        <c:lblOffset val="100"/>
        <c:noMultiLvlLbl val="0"/>
      </c:catAx>
      <c:valAx>
        <c:axId val="2331969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33196592"/>
        <c:crosses val="autoZero"/>
        <c:crossBetween val="between"/>
      </c:valAx>
      <c:spPr>
        <a:solidFill>
          <a:schemeClr val="accent2">
            <a:lumMod val="60000"/>
            <a:lumOff val="40000"/>
          </a:schemeClr>
        </a:solidFill>
        <a:ln>
          <a:solidFill>
            <a:schemeClr val="tx1"/>
          </a:solidFill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alpha val="90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 b="1">
                <a:solidFill>
                  <a:sysClr val="windowText" lastClr="000000"/>
                </a:solidFill>
              </a:rPr>
              <a:t>NIños</a:t>
            </a:r>
            <a:r>
              <a:rPr lang="es-ES" b="1" baseline="0">
                <a:solidFill>
                  <a:sysClr val="windowText" lastClr="000000"/>
                </a:solidFill>
              </a:rPr>
              <a:t> Niñas en Riesgo del Desarrollo</a:t>
            </a:r>
            <a:endParaRPr lang="es-ES" b="1">
              <a:solidFill>
                <a:sysClr val="windowText" lastClr="000000"/>
              </a:solidFill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4.9315930993103753E-2"/>
          <c:y val="0.14952630518040719"/>
          <c:w val="0.9177583869749113"/>
          <c:h val="0.6647313613111403"/>
        </c:manualLayout>
      </c:layout>
      <c:lineChart>
        <c:grouping val="standar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Niños</c:v>
                </c:pt>
              </c:strCache>
            </c:strRef>
          </c:tx>
          <c:spPr>
            <a:ln w="28575" cap="rnd">
              <a:solidFill>
                <a:srgbClr val="7030A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6"/>
              </a:solidFill>
              <a:ln w="9525">
                <a:solidFill>
                  <a:srgbClr val="7030A0"/>
                </a:solidFill>
              </a:ln>
              <a:effectLst/>
            </c:spPr>
          </c:marker>
          <c:cat>
            <c:strRef>
              <c:f>Hoja1!$A$2:$A$5</c:f>
              <c:strCache>
                <c:ptCount val="3"/>
                <c:pt idx="0">
                  <c:v>CBI Santiago de Maria</c:v>
                </c:pt>
                <c:pt idx="1">
                  <c:v>CBI Marquezado</c:v>
                </c:pt>
                <c:pt idx="2">
                  <c:v>CBI Mercedes Llach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4</c:v>
                </c:pt>
                <c:pt idx="1">
                  <c:v>5</c:v>
                </c:pt>
                <c:pt idx="2">
                  <c:v>12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Niñas</c:v>
                </c:pt>
              </c:strCache>
            </c:strRef>
          </c:tx>
          <c:spPr>
            <a:ln w="28575" cap="rnd">
              <a:solidFill>
                <a:srgbClr val="00B0F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B050"/>
              </a:solidFill>
              <a:ln w="9525">
                <a:solidFill>
                  <a:srgbClr val="00B0F0"/>
                </a:solidFill>
              </a:ln>
              <a:effectLst/>
            </c:spPr>
          </c:marker>
          <c:cat>
            <c:strRef>
              <c:f>Hoja1!$A$2:$A$5</c:f>
              <c:strCache>
                <c:ptCount val="3"/>
                <c:pt idx="0">
                  <c:v>CBI Santiago de Maria</c:v>
                </c:pt>
                <c:pt idx="1">
                  <c:v>CBI Marquezado</c:v>
                </c:pt>
                <c:pt idx="2">
                  <c:v>CBI Mercedes Llach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3</c:v>
                </c:pt>
                <c:pt idx="1">
                  <c:v>2</c:v>
                </c:pt>
                <c:pt idx="2">
                  <c:v>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Columna1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Hoja1!$A$2:$A$5</c:f>
              <c:strCache>
                <c:ptCount val="3"/>
                <c:pt idx="0">
                  <c:v>CBI Santiago de Maria</c:v>
                </c:pt>
                <c:pt idx="1">
                  <c:v>CBI Marquezado</c:v>
                </c:pt>
                <c:pt idx="2">
                  <c:v>CBI Mercedes Llach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2759504"/>
        <c:axId val="232759896"/>
      </c:lineChart>
      <c:catAx>
        <c:axId val="232759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32759896"/>
        <c:crosses val="autoZero"/>
        <c:auto val="1"/>
        <c:lblAlgn val="ctr"/>
        <c:lblOffset val="100"/>
        <c:noMultiLvlLbl val="0"/>
      </c:catAx>
      <c:valAx>
        <c:axId val="232759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327595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2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3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DELL</cp:lastModifiedBy>
  <cp:revision>3</cp:revision>
  <dcterms:created xsi:type="dcterms:W3CDTF">2021-07-07T19:56:00Z</dcterms:created>
  <dcterms:modified xsi:type="dcterms:W3CDTF">2021-07-07T20:00:00Z</dcterms:modified>
</cp:coreProperties>
</file>