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89" w:rsidRPr="001E6CE2" w:rsidRDefault="00523BA9" w:rsidP="00884782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-321310</wp:posOffset>
            </wp:positionV>
            <wp:extent cx="6740525" cy="8181975"/>
            <wp:effectExtent l="19050" t="0" r="3175" b="0"/>
            <wp:wrapNone/>
            <wp:docPr id="14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CCE">
        <w:rPr>
          <w:noProof/>
        </w:rPr>
        <w:t xml:space="preserve"> </w:t>
      </w:r>
      <w:r w:rsidR="008E7D89" w:rsidRPr="00C40C4A">
        <w:rPr>
          <w:rFonts w:ascii="Arial" w:hAnsi="Arial" w:cs="Arial"/>
          <w:sz w:val="20"/>
          <w:szCs w:val="20"/>
        </w:rPr>
        <w:t>RESOLUCIÓN</w:t>
      </w:r>
    </w:p>
    <w:p w:rsidR="008E7D89" w:rsidRPr="009F07D2" w:rsidRDefault="008E7D89" w:rsidP="008E7D89">
      <w:pPr>
        <w:spacing w:after="0" w:line="240" w:lineRule="auto"/>
        <w:jc w:val="both"/>
        <w:rPr>
          <w:sz w:val="20"/>
          <w:szCs w:val="20"/>
        </w:rPr>
      </w:pPr>
    </w:p>
    <w:p w:rsidR="008E7D89" w:rsidRPr="009F07D2" w:rsidRDefault="008E7D89" w:rsidP="008E7D89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9F07D2">
        <w:rPr>
          <w:rFonts w:ascii="Century Gothic" w:eastAsia="Times New Roman" w:hAnsi="Century Gothic" w:cs="Arial"/>
          <w:sz w:val="20"/>
          <w:szCs w:val="20"/>
        </w:rPr>
        <w:t>ALCALDIA MUNICIPAL DESAN LUIS LA HERRADURA: UNIDAD DE ACCESO A LA INFORMACIÓN PÚBLICA. En Villa Sa</w:t>
      </w:r>
      <w:r w:rsidR="009D797D">
        <w:rPr>
          <w:rFonts w:ascii="Century Gothic" w:eastAsia="Times New Roman" w:hAnsi="Century Gothic" w:cs="Arial"/>
          <w:sz w:val="20"/>
          <w:szCs w:val="20"/>
        </w:rPr>
        <w:t>n L</w:t>
      </w:r>
      <w:r w:rsidR="009E039D">
        <w:rPr>
          <w:rFonts w:ascii="Century Gothic" w:eastAsia="Times New Roman" w:hAnsi="Century Gothic" w:cs="Arial"/>
          <w:sz w:val="20"/>
          <w:szCs w:val="20"/>
        </w:rPr>
        <w:t>uis La Herradura, a las</w:t>
      </w:r>
      <w:r w:rsidR="008E5BE3">
        <w:rPr>
          <w:rFonts w:ascii="Century Gothic" w:eastAsia="Times New Roman" w:hAnsi="Century Gothic" w:cs="Arial"/>
          <w:sz w:val="20"/>
          <w:szCs w:val="20"/>
        </w:rPr>
        <w:t xml:space="preserve"> dos</w:t>
      </w:r>
      <w:r w:rsidR="009E039D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8E5BE3">
        <w:rPr>
          <w:rFonts w:ascii="Century Gothic" w:eastAsia="Times New Roman" w:hAnsi="Century Gothic" w:cs="Arial"/>
          <w:sz w:val="20"/>
          <w:szCs w:val="20"/>
        </w:rPr>
        <w:t xml:space="preserve"> horas con diez 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 minutos del día</w:t>
      </w:r>
      <w:r w:rsidR="008E5BE3">
        <w:rPr>
          <w:rFonts w:ascii="Century Gothic" w:eastAsia="Times New Roman" w:hAnsi="Century Gothic" w:cs="Arial"/>
          <w:sz w:val="20"/>
          <w:szCs w:val="20"/>
        </w:rPr>
        <w:t xml:space="preserve"> miércoles diecinueve </w:t>
      </w:r>
      <w:r w:rsidR="00523BA9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FC446D">
        <w:rPr>
          <w:rFonts w:ascii="Century Gothic" w:eastAsia="Times New Roman" w:hAnsi="Century Gothic" w:cs="Arial"/>
          <w:sz w:val="20"/>
          <w:szCs w:val="20"/>
        </w:rPr>
        <w:t xml:space="preserve">de junio </w:t>
      </w:r>
      <w:r>
        <w:rPr>
          <w:rFonts w:ascii="Century Gothic" w:eastAsia="Times New Roman" w:hAnsi="Century Gothic" w:cs="Arial"/>
          <w:sz w:val="20"/>
          <w:szCs w:val="20"/>
        </w:rPr>
        <w:t xml:space="preserve">de dos mil </w:t>
      </w:r>
      <w:r w:rsidR="00523BA9">
        <w:rPr>
          <w:rFonts w:ascii="Century Gothic" w:eastAsia="Times New Roman" w:hAnsi="Century Gothic" w:cs="Arial"/>
          <w:sz w:val="20"/>
          <w:szCs w:val="20"/>
        </w:rPr>
        <w:t>diecinueve</w:t>
      </w:r>
      <w:r w:rsidRPr="009F07D2">
        <w:rPr>
          <w:rFonts w:ascii="Century Gothic" w:eastAsia="Times New Roman" w:hAnsi="Century Gothic" w:cs="Arial"/>
          <w:sz w:val="20"/>
          <w:szCs w:val="20"/>
        </w:rPr>
        <w:t>.</w:t>
      </w:r>
    </w:p>
    <w:p w:rsidR="008E7D89" w:rsidRPr="009F07D2" w:rsidRDefault="008E7D89" w:rsidP="008E7D89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8E7D89" w:rsidRPr="009F07D2" w:rsidRDefault="008E7D89" w:rsidP="008E7D89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9F07D2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8E7D89" w:rsidRDefault="008E7D89" w:rsidP="008E7D8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F07D2">
        <w:rPr>
          <w:rFonts w:ascii="Century Gothic" w:hAnsi="Century Gothic"/>
          <w:color w:val="000000"/>
          <w:sz w:val="20"/>
          <w:szCs w:val="20"/>
        </w:rPr>
        <w:t>A</w:t>
      </w:r>
      <w:r w:rsidR="00523BA9">
        <w:rPr>
          <w:rFonts w:ascii="Century Gothic" w:eastAsia="Times New Roman" w:hAnsi="Century Gothic" w:cs="Arial"/>
          <w:sz w:val="20"/>
          <w:szCs w:val="20"/>
        </w:rPr>
        <w:t xml:space="preserve"> las dos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523BA9">
        <w:rPr>
          <w:rFonts w:ascii="Century Gothic" w:eastAsia="Times New Roman" w:hAnsi="Century Gothic" w:cs="Arial"/>
          <w:sz w:val="20"/>
          <w:szCs w:val="20"/>
        </w:rPr>
        <w:t xml:space="preserve"> horas con cinco 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 w:rsidR="00523BA9">
        <w:rPr>
          <w:rFonts w:ascii="Century Gothic" w:eastAsia="Times New Roman" w:hAnsi="Century Gothic" w:cs="Arial"/>
          <w:sz w:val="20"/>
          <w:szCs w:val="20"/>
        </w:rPr>
        <w:t xml:space="preserve">miércoles cinco 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523BA9">
        <w:rPr>
          <w:rFonts w:ascii="Century Gothic" w:eastAsia="Times New Roman" w:hAnsi="Century Gothic" w:cs="Arial"/>
          <w:sz w:val="20"/>
          <w:szCs w:val="20"/>
        </w:rPr>
        <w:t>junio  de dos mil diecinueve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9F07D2">
        <w:rPr>
          <w:rFonts w:ascii="Century Gothic" w:hAnsi="Century Gothic"/>
          <w:color w:val="000000"/>
          <w:sz w:val="20"/>
          <w:szCs w:val="20"/>
        </w:rPr>
        <w:t xml:space="preserve">se recibió </w:t>
      </w:r>
      <w:r w:rsidR="00523BA9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9F07D2">
        <w:rPr>
          <w:rFonts w:ascii="Century Gothic" w:hAnsi="Century Gothic"/>
          <w:color w:val="000000"/>
          <w:sz w:val="20"/>
          <w:szCs w:val="20"/>
        </w:rPr>
        <w:t>Solicitud de Acceso de Información,</w:t>
      </w:r>
      <w:r w:rsidRPr="00AD66F6">
        <w:rPr>
          <w:rFonts w:ascii="Century Gothic" w:hAnsi="Century Gothic" w:cs="Calibri"/>
          <w:sz w:val="20"/>
          <w:szCs w:val="20"/>
        </w:rPr>
        <w:t xml:space="preserve"> </w:t>
      </w:r>
      <w:r w:rsidRPr="00311CDC">
        <w:rPr>
          <w:rFonts w:ascii="Century Gothic" w:hAnsi="Century Gothic" w:cs="Calibri"/>
          <w:sz w:val="20"/>
          <w:szCs w:val="20"/>
        </w:rPr>
        <w:t>vía Presencial, por el s</w:t>
      </w:r>
      <w:r w:rsidRPr="00311CDC">
        <w:rPr>
          <w:rFonts w:ascii="Century Gothic" w:hAnsi="Century Gothic"/>
          <w:color w:val="000000" w:themeColor="text1"/>
          <w:sz w:val="20"/>
          <w:szCs w:val="20"/>
        </w:rPr>
        <w:t>eñor</w:t>
      </w:r>
      <w:r w:rsidR="00D71CCE">
        <w:rPr>
          <w:rFonts w:ascii="Century Gothic" w:hAnsi="Century Gothic"/>
          <w:color w:val="000000" w:themeColor="text1"/>
          <w:sz w:val="20"/>
          <w:szCs w:val="20"/>
        </w:rPr>
        <w:t xml:space="preserve"> xxxxxxxxxxxxxxxxxxxxxxxxxxxxxx</w:t>
      </w:r>
      <w:r w:rsidR="00A179B5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Pr="00311CDC">
        <w:rPr>
          <w:rFonts w:ascii="Century Gothic" w:hAnsi="Century Gothic"/>
          <w:sz w:val="20"/>
          <w:szCs w:val="20"/>
        </w:rPr>
        <w:t>de Nacionalidad Salvadoreño, portador de su Documento Único de identidad</w:t>
      </w:r>
      <w:r w:rsidR="00D71CCE" w:rsidRPr="00D71CCE">
        <w:t xml:space="preserve"> xxxxxxxxxxxxxxxxxxxxxxxxxxxxx</w:t>
      </w:r>
      <w:r w:rsidRPr="00311CDC">
        <w:rPr>
          <w:rFonts w:ascii="Century Gothic" w:hAnsi="Century Gothic" w:cs="Calibri"/>
          <w:sz w:val="20"/>
          <w:szCs w:val="20"/>
        </w:rPr>
        <w:t xml:space="preserve">, </w:t>
      </w:r>
      <w:r w:rsidRPr="009F07D2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9F07D2">
        <w:rPr>
          <w:rFonts w:ascii="Century Gothic" w:hAnsi="Century Gothic"/>
          <w:sz w:val="20"/>
          <w:szCs w:val="20"/>
        </w:rPr>
        <w:t>me solicitó la información siguiente</w:t>
      </w:r>
      <w:r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523BA9" w:rsidRDefault="00523BA9" w:rsidP="008E7D8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523BA9" w:rsidRDefault="00523BA9" w:rsidP="00523BA9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Presupuesto municipal del año 2018 y 2019 completo.</w:t>
      </w:r>
    </w:p>
    <w:p w:rsidR="00523BA9" w:rsidRDefault="00523BA9" w:rsidP="00BB010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Planilla de pago de todos los empleados eventuales y per</w:t>
      </w:r>
      <w:r w:rsidR="00CC2B03">
        <w:rPr>
          <w:rFonts w:ascii="Century Gothic" w:hAnsi="Century Gothic"/>
          <w:color w:val="000000" w:themeColor="text1"/>
          <w:sz w:val="20"/>
          <w:szCs w:val="20"/>
        </w:rPr>
        <w:t>manentes de los años 2018 y 20</w:t>
      </w:r>
      <w:r w:rsidR="00FF130A">
        <w:rPr>
          <w:rFonts w:ascii="Century Gothic" w:hAnsi="Century Gothic"/>
          <w:color w:val="000000" w:themeColor="text1"/>
          <w:sz w:val="20"/>
          <w:szCs w:val="20"/>
        </w:rPr>
        <w:t>1</w:t>
      </w:r>
      <w:r w:rsidR="00BB010C">
        <w:rPr>
          <w:rFonts w:ascii="Century Gothic" w:hAnsi="Century Gothic"/>
          <w:color w:val="000000" w:themeColor="text1"/>
          <w:sz w:val="20"/>
          <w:szCs w:val="20"/>
        </w:rPr>
        <w:t>9</w:t>
      </w:r>
      <w:r w:rsidR="0065766C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:rsidR="0065766C" w:rsidRPr="0065766C" w:rsidRDefault="0065766C" w:rsidP="0065766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t>Manuales de la LCAM.</w:t>
      </w:r>
    </w:p>
    <w:p w:rsidR="00523BA9" w:rsidRDefault="00523BA9" w:rsidP="00523BA9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Plan Operativo de la administración Municipal 2018- 2019 (POAM)</w:t>
      </w:r>
    </w:p>
    <w:p w:rsidR="00523BA9" w:rsidRDefault="00523BA9" w:rsidP="00523BA9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Plan Operativo Anual de la Municipalidad (POA)</w:t>
      </w:r>
    </w:p>
    <w:p w:rsidR="00523BA9" w:rsidRPr="00681E4F" w:rsidRDefault="00523BA9" w:rsidP="00681E4F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Plan Estr</w:t>
      </w:r>
      <w:r w:rsidR="00681E4F">
        <w:rPr>
          <w:rFonts w:ascii="Century Gothic" w:hAnsi="Century Gothic"/>
          <w:color w:val="000000" w:themeColor="text1"/>
          <w:sz w:val="20"/>
          <w:szCs w:val="20"/>
        </w:rPr>
        <w:t>atégico de Inversión 2018 – 202</w:t>
      </w:r>
      <w:r w:rsidR="00622B07">
        <w:rPr>
          <w:rFonts w:ascii="Century Gothic" w:hAnsi="Century Gothic"/>
          <w:color w:val="000000" w:themeColor="text1"/>
          <w:sz w:val="20"/>
          <w:szCs w:val="20"/>
        </w:rPr>
        <w:t>1.</w:t>
      </w:r>
    </w:p>
    <w:p w:rsidR="008E7D89" w:rsidRPr="00523BA9" w:rsidRDefault="008E7D89" w:rsidP="00523BA9">
      <w:pPr>
        <w:spacing w:after="0" w:line="240" w:lineRule="auto"/>
        <w:jc w:val="both"/>
        <w:rPr>
          <w:sz w:val="24"/>
          <w:szCs w:val="24"/>
        </w:rPr>
      </w:pPr>
    </w:p>
    <w:p w:rsidR="008E7D89" w:rsidRPr="009F07D2" w:rsidRDefault="008E7D89" w:rsidP="008E7D8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F07D2">
        <w:rPr>
          <w:sz w:val="24"/>
          <w:szCs w:val="24"/>
        </w:rPr>
        <w:t>PROCEDIMIENTO DE ACCESO</w:t>
      </w:r>
      <w:r w:rsidR="005B1083">
        <w:rPr>
          <w:sz w:val="24"/>
          <w:szCs w:val="24"/>
        </w:rPr>
        <w:t>.</w:t>
      </w:r>
    </w:p>
    <w:p w:rsidR="008E7D89" w:rsidRPr="009F07D2" w:rsidRDefault="008E7D89" w:rsidP="008E7D8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8E7D89" w:rsidRPr="009F07D2" w:rsidRDefault="008E7D89" w:rsidP="008E7D89">
      <w:pPr>
        <w:spacing w:after="0" w:line="240" w:lineRule="auto"/>
        <w:jc w:val="both"/>
      </w:pPr>
      <w:r w:rsidRPr="009F07D2">
        <w:t xml:space="preserve"> •  A las </w:t>
      </w:r>
      <w:r>
        <w:t>nueve</w:t>
      </w:r>
      <w:r w:rsidRPr="009F07D2">
        <w:t xml:space="preserve"> horas con </w:t>
      </w:r>
      <w:r w:rsidR="00523BA9">
        <w:rPr>
          <w:rFonts w:ascii="Century Gothic" w:eastAsia="Times New Roman" w:hAnsi="Century Gothic" w:cs="Arial"/>
          <w:sz w:val="20"/>
          <w:szCs w:val="20"/>
        </w:rPr>
        <w:t xml:space="preserve">treinta </w:t>
      </w:r>
      <w:r w:rsidRPr="009F07D2">
        <w:t xml:space="preserve">minutos del </w:t>
      </w:r>
      <w:r w:rsidR="00523BA9">
        <w:t>día viernes siete de junio de</w:t>
      </w:r>
      <w:r>
        <w:t xml:space="preserve">  de </w:t>
      </w:r>
      <w:r w:rsidRPr="009F07D2">
        <w:t xml:space="preserve">dos </w:t>
      </w:r>
      <w:r w:rsidR="00523BA9">
        <w:t>mil diecinueve</w:t>
      </w:r>
      <w:r w:rsidRPr="009F07D2">
        <w:t>, el suscrito oficial d</w:t>
      </w:r>
      <w:r>
        <w:t>e información habiendo analizado</w:t>
      </w:r>
      <w:r w:rsidRPr="009F07D2">
        <w:t xml:space="preserve"> 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8E7D89" w:rsidRPr="009F07D2" w:rsidRDefault="008E7D89" w:rsidP="008E7D89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8E7D89" w:rsidRPr="009F07D2" w:rsidRDefault="008E7D89" w:rsidP="008E7D89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F07D2">
        <w:t xml:space="preserve"> •  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8E7D89" w:rsidRPr="009F07D2" w:rsidRDefault="008E7D89" w:rsidP="008E7D89">
      <w:pPr>
        <w:spacing w:after="0" w:line="240" w:lineRule="auto"/>
        <w:jc w:val="both"/>
        <w:rPr>
          <w:lang w:eastAsia="en-US"/>
        </w:rPr>
      </w:pPr>
    </w:p>
    <w:p w:rsidR="008E7D89" w:rsidRDefault="008E7D89" w:rsidP="008E7D89">
      <w:pPr>
        <w:spacing w:after="0" w:line="240" w:lineRule="auto"/>
        <w:jc w:val="both"/>
      </w:pPr>
      <w:r w:rsidRPr="009F07D2">
        <w:t>•  Por tanto, es de aclarar que el Oficial de Información es el vínculo entre el ente obligado y el solicitante, realizando las gestiones necesarias, para facilitar el acceso a la información de una manera oportuna y veraz.</w:t>
      </w:r>
    </w:p>
    <w:p w:rsidR="00681E4F" w:rsidRDefault="00681E4F" w:rsidP="008E7D89">
      <w:pPr>
        <w:spacing w:after="0" w:line="240" w:lineRule="auto"/>
        <w:jc w:val="both"/>
      </w:pPr>
    </w:p>
    <w:p w:rsidR="008E7D89" w:rsidRPr="009F07D2" w:rsidRDefault="008E7D89" w:rsidP="008E7D89">
      <w:pPr>
        <w:spacing w:after="0" w:line="240" w:lineRule="auto"/>
        <w:jc w:val="both"/>
      </w:pPr>
    </w:p>
    <w:p w:rsidR="008E7D89" w:rsidRPr="009F07D2" w:rsidRDefault="006B6AB6" w:rsidP="008E7D89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-273685</wp:posOffset>
            </wp:positionV>
            <wp:extent cx="6496050" cy="7981950"/>
            <wp:effectExtent l="19050" t="0" r="0" b="0"/>
            <wp:wrapNone/>
            <wp:docPr id="1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D89" w:rsidRPr="009F07D2">
        <w:rPr>
          <w:sz w:val="24"/>
          <w:szCs w:val="24"/>
        </w:rPr>
        <w:t>FUNDAMENTACIÓN:</w:t>
      </w:r>
    </w:p>
    <w:p w:rsidR="008E7D89" w:rsidRPr="009F07D2" w:rsidRDefault="008E7D89" w:rsidP="008E7D8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8E7D89" w:rsidRPr="009F07D2" w:rsidRDefault="008E7D89" w:rsidP="008E7D89">
      <w:pPr>
        <w:spacing w:after="0" w:line="240" w:lineRule="auto"/>
        <w:jc w:val="both"/>
      </w:pPr>
      <w:r w:rsidRPr="009F07D2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8E7D89" w:rsidRPr="009F07D2" w:rsidRDefault="008E7D89" w:rsidP="008E7D89">
      <w:pPr>
        <w:spacing w:after="0" w:line="240" w:lineRule="auto"/>
        <w:jc w:val="both"/>
        <w:rPr>
          <w:sz w:val="18"/>
          <w:szCs w:val="18"/>
        </w:rPr>
      </w:pPr>
    </w:p>
    <w:p w:rsidR="008E7D89" w:rsidRPr="009F07D2" w:rsidRDefault="008E7D89" w:rsidP="008E7D89">
      <w:pPr>
        <w:spacing w:after="0" w:line="240" w:lineRule="auto"/>
        <w:jc w:val="both"/>
      </w:pPr>
      <w:r w:rsidRPr="009F07D2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8E7D89" w:rsidRPr="009F07D2" w:rsidRDefault="008E7D89" w:rsidP="008E7D89">
      <w:pPr>
        <w:spacing w:after="0" w:line="240" w:lineRule="auto"/>
        <w:jc w:val="both"/>
      </w:pPr>
    </w:p>
    <w:p w:rsidR="00FF130A" w:rsidRDefault="008E7D89" w:rsidP="008E7D89">
      <w:pPr>
        <w:spacing w:after="0" w:line="240" w:lineRule="auto"/>
        <w:jc w:val="both"/>
      </w:pPr>
      <w:r w:rsidRPr="009F07D2">
        <w:t xml:space="preserve"> 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FF130A" w:rsidRPr="009F07D2" w:rsidRDefault="00FF130A" w:rsidP="008E7D89">
      <w:pPr>
        <w:spacing w:after="0" w:line="240" w:lineRule="auto"/>
        <w:jc w:val="both"/>
      </w:pPr>
    </w:p>
    <w:p w:rsidR="008E7D89" w:rsidRDefault="003E2C8C" w:rsidP="008E7D89">
      <w:pPr>
        <w:spacing w:after="0" w:line="240" w:lineRule="auto"/>
        <w:jc w:val="both"/>
      </w:pPr>
      <w:r>
        <w:t xml:space="preserve">Se </w:t>
      </w:r>
      <w:r w:rsidR="00FF130A">
        <w:t>tramito la información a la</w:t>
      </w:r>
      <w:r>
        <w:t xml:space="preserve">s diferentes </w:t>
      </w:r>
      <w:r w:rsidR="00FF130A">
        <w:t xml:space="preserve"> Unidad</w:t>
      </w:r>
      <w:r>
        <w:t>es  Administrativas</w:t>
      </w:r>
      <w:r w:rsidR="008B0C96">
        <w:t xml:space="preserve"> correspondiente</w:t>
      </w:r>
      <w:r w:rsidR="00EA491D">
        <w:t>s</w:t>
      </w:r>
      <w:r w:rsidR="008B0C96">
        <w:t xml:space="preserve"> </w:t>
      </w:r>
      <w:r w:rsidR="008E7D89" w:rsidRPr="00FD1FA9">
        <w:t xml:space="preserve">concerniente </w:t>
      </w:r>
      <w:r w:rsidR="00EA491D" w:rsidRPr="00FD1FA9">
        <w:t>a</w:t>
      </w:r>
      <w:r w:rsidR="008E7D89" w:rsidRPr="00FD1FA9">
        <w:t>:</w:t>
      </w:r>
    </w:p>
    <w:p w:rsidR="00535FAA" w:rsidRDefault="00535FAA" w:rsidP="008E7D89">
      <w:pPr>
        <w:spacing w:after="0" w:line="240" w:lineRule="auto"/>
        <w:jc w:val="both"/>
      </w:pPr>
    </w:p>
    <w:p w:rsidR="00EA491D" w:rsidRDefault="00EA491D" w:rsidP="00EA491D">
      <w:pPr>
        <w:pStyle w:val="Prrafodelista"/>
        <w:numPr>
          <w:ilvl w:val="0"/>
          <w:numId w:val="43"/>
        </w:numPr>
        <w:spacing w:after="0" w:line="240" w:lineRule="auto"/>
        <w:jc w:val="both"/>
      </w:pPr>
      <w:r>
        <w:t>Manuales de la LCAM.</w:t>
      </w:r>
    </w:p>
    <w:p w:rsidR="00EA491D" w:rsidRDefault="00EA491D" w:rsidP="008E7D89">
      <w:pPr>
        <w:spacing w:after="0" w:line="240" w:lineRule="auto"/>
        <w:jc w:val="both"/>
      </w:pPr>
    </w:p>
    <w:p w:rsidR="00EA491D" w:rsidRDefault="00EA491D" w:rsidP="00EA491D">
      <w:pPr>
        <w:spacing w:after="0" w:line="240" w:lineRule="auto"/>
        <w:jc w:val="both"/>
      </w:pPr>
      <w:r w:rsidRPr="000D006F">
        <w:t>Ante tal requerimiento se recibió la respuesta de</w:t>
      </w:r>
      <w:r w:rsidR="003E2C8C">
        <w:t xml:space="preserve"> la Unidad Administrativa correspondientes, </w:t>
      </w:r>
      <w:r w:rsidRPr="000D006F">
        <w:t>remite la respuesta siguiente:</w:t>
      </w:r>
    </w:p>
    <w:p w:rsidR="003E2C8C" w:rsidRPr="000D006F" w:rsidRDefault="003E2C8C" w:rsidP="00EA491D">
      <w:pPr>
        <w:spacing w:after="0" w:line="240" w:lineRule="auto"/>
        <w:jc w:val="both"/>
      </w:pPr>
      <w:r>
        <w:t xml:space="preserve">Con el debido respeto que su persona merece, le manifiesto que necesito saber el nombre del Manuales de la LCAM que necesita, </w:t>
      </w:r>
      <w:r w:rsidR="00BC597C">
        <w:t>así</w:t>
      </w:r>
      <w:r>
        <w:t xml:space="preserve"> como la versión del manual que necesita, si  me hace referencia a eso con gusto verificare el archivo para brindarle la información poseída. </w:t>
      </w:r>
    </w:p>
    <w:p w:rsidR="00EA491D" w:rsidRPr="000D006F" w:rsidRDefault="00EA491D" w:rsidP="00EA491D">
      <w:pPr>
        <w:pStyle w:val="Textosinformato"/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8E7D89" w:rsidRPr="009F07D2" w:rsidRDefault="008E7D89" w:rsidP="008E7D89">
      <w:pPr>
        <w:spacing w:after="0"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  <w:r w:rsidRPr="009F07D2">
        <w:t>Ante tal requerimiento</w:t>
      </w:r>
      <w:r w:rsidR="00F6333A">
        <w:t xml:space="preserve"> se recibió la respuesta de la Unidad Administrativa entregando la información solicitada.</w:t>
      </w:r>
    </w:p>
    <w:p w:rsidR="00F6333A" w:rsidRPr="009F07D2" w:rsidRDefault="00F6333A" w:rsidP="008E7D89">
      <w:pPr>
        <w:spacing w:after="0" w:line="240" w:lineRule="auto"/>
        <w:jc w:val="both"/>
      </w:pPr>
    </w:p>
    <w:p w:rsidR="00F6333A" w:rsidRPr="00F6333A" w:rsidRDefault="00F6333A" w:rsidP="00F6333A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6333A">
        <w:rPr>
          <w:rFonts w:ascii="Century Gothic" w:hAnsi="Century Gothic"/>
          <w:color w:val="000000" w:themeColor="text1"/>
          <w:sz w:val="20"/>
          <w:szCs w:val="20"/>
        </w:rPr>
        <w:t>Presupuesto municipal del año 2018 y 2019 completo.</w:t>
      </w:r>
    </w:p>
    <w:p w:rsidR="008E0A9D" w:rsidRDefault="00F6333A" w:rsidP="008E0A9D">
      <w:pPr>
        <w:pStyle w:val="Textosinformat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Planilla de pago de todos los empleados eventuales y per</w:t>
      </w:r>
      <w:r w:rsidR="009D797D">
        <w:rPr>
          <w:rFonts w:ascii="Century Gothic" w:hAnsi="Century Gothic"/>
          <w:color w:val="000000" w:themeColor="text1"/>
          <w:sz w:val="20"/>
          <w:szCs w:val="20"/>
        </w:rPr>
        <w:t>manentes de los años 2018 y 2019</w:t>
      </w:r>
      <w:r>
        <w:rPr>
          <w:rFonts w:ascii="Century Gothic" w:hAnsi="Century Gothic"/>
          <w:color w:val="000000" w:themeColor="text1"/>
          <w:sz w:val="20"/>
          <w:szCs w:val="20"/>
          <w:lang w:eastAsia="es-SV"/>
        </w:rPr>
        <w:t>.</w:t>
      </w:r>
    </w:p>
    <w:p w:rsidR="009E039D" w:rsidRDefault="009E039D" w:rsidP="009E039D">
      <w:pPr>
        <w:pStyle w:val="Textosinformato"/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9E039D" w:rsidRDefault="009E039D" w:rsidP="009E039D">
      <w:pPr>
        <w:pStyle w:val="Textosinformato"/>
        <w:spacing w:line="360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0534A8" w:rsidRDefault="000534A8" w:rsidP="008E0A9D">
      <w:p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n-US"/>
        </w:rPr>
      </w:pPr>
    </w:p>
    <w:p w:rsidR="00210465" w:rsidRDefault="00210465" w:rsidP="008E0A9D">
      <w:p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n-US"/>
        </w:rPr>
      </w:pPr>
    </w:p>
    <w:p w:rsidR="00034902" w:rsidRDefault="00034902" w:rsidP="008E0A9D">
      <w:p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n-US"/>
        </w:rPr>
      </w:pPr>
    </w:p>
    <w:p w:rsidR="008E0A9D" w:rsidRPr="008F3998" w:rsidRDefault="00681E4F" w:rsidP="008E0A9D">
      <w:pPr>
        <w:spacing w:after="0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-321310</wp:posOffset>
            </wp:positionV>
            <wp:extent cx="6302375" cy="7705725"/>
            <wp:effectExtent l="19050" t="0" r="3175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A9D" w:rsidRPr="000D006F">
        <w:rPr>
          <w:sz w:val="24"/>
          <w:szCs w:val="24"/>
        </w:rPr>
        <w:t>RESOLUCIÓN.</w:t>
      </w:r>
    </w:p>
    <w:p w:rsidR="008E0A9D" w:rsidRPr="00773B17" w:rsidRDefault="008E0A9D" w:rsidP="008E0A9D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731FF8" w:rsidRDefault="008E0A9D" w:rsidP="008E0A9D">
      <w:pPr>
        <w:spacing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0D006F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el suscrito Oficial de Información</w:t>
      </w:r>
      <w:r w:rsidR="008F3998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731FF8" w:rsidRPr="00EC5D27" w:rsidRDefault="00731FF8" w:rsidP="00731FF8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EC5D27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731FF8" w:rsidRDefault="00731FF8" w:rsidP="00731FF8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D006F">
        <w:t>CONFIRMAR LA INEXISTENCIA de la información solicitada relativa.</w:t>
      </w:r>
      <w:r w:rsidRPr="00C01162">
        <w:rPr>
          <w:rFonts w:cs="Arial"/>
          <w:b/>
          <w:sz w:val="24"/>
          <w:szCs w:val="24"/>
        </w:rPr>
        <w:t xml:space="preserve"> </w:t>
      </w:r>
    </w:p>
    <w:p w:rsidR="00731FF8" w:rsidRPr="00731FF8" w:rsidRDefault="00731FF8" w:rsidP="00731FF8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789C" w:rsidRDefault="007A789C" w:rsidP="007A789C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432461">
        <w:rPr>
          <w:rFonts w:ascii="Century Gothic" w:hAnsi="Century Gothic"/>
          <w:color w:val="000000" w:themeColor="text1"/>
          <w:sz w:val="20"/>
          <w:szCs w:val="20"/>
        </w:rPr>
        <w:t xml:space="preserve">Plan Operativo de la administración Municipal 2018 - 2021 (POAM) </w:t>
      </w:r>
    </w:p>
    <w:p w:rsidR="007A789C" w:rsidRPr="007A789C" w:rsidRDefault="007A789C" w:rsidP="007A789C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Plan Operativo Anual de la Municipalidad (POA)</w:t>
      </w:r>
    </w:p>
    <w:p w:rsidR="007A789C" w:rsidRDefault="007A789C" w:rsidP="007A789C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</w:pPr>
      <w:r w:rsidRPr="007A789C">
        <w:rPr>
          <w:rFonts w:ascii="Century Gothic" w:hAnsi="Century Gothic"/>
          <w:color w:val="000000" w:themeColor="text1"/>
          <w:sz w:val="20"/>
          <w:szCs w:val="20"/>
        </w:rPr>
        <w:t>Plan Estratégico de Inversión 2018 – 2021</w:t>
      </w:r>
      <w:r>
        <w:t>.</w:t>
      </w:r>
    </w:p>
    <w:p w:rsidR="00EF3D8A" w:rsidRPr="008C1923" w:rsidRDefault="00EF3D8A" w:rsidP="00A74D2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B963B4" w:rsidRPr="008C1923" w:rsidRDefault="005328C2" w:rsidP="00B963B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C1923">
        <w:rPr>
          <w:rFonts w:ascii="Century Gothic" w:hAnsi="Century Gothic"/>
          <w:color w:val="000000" w:themeColor="text1"/>
          <w:sz w:val="20"/>
          <w:szCs w:val="20"/>
        </w:rPr>
        <w:t xml:space="preserve">Respecto a la información siguiente debe solicitarse con claridad y precisión </w:t>
      </w:r>
      <w:r w:rsidR="00B963B4" w:rsidRPr="008C1923">
        <w:rPr>
          <w:rFonts w:ascii="Century Gothic" w:hAnsi="Century Gothic"/>
          <w:color w:val="000000" w:themeColor="text1"/>
          <w:sz w:val="20"/>
          <w:szCs w:val="20"/>
        </w:rPr>
        <w:t xml:space="preserve">según el art. 66 literal b. </w:t>
      </w:r>
      <w:r w:rsidR="000309DD" w:rsidRPr="008C1923">
        <w:rPr>
          <w:rFonts w:ascii="Century Gothic" w:hAnsi="Century Gothic"/>
          <w:color w:val="000000" w:themeColor="text1"/>
          <w:sz w:val="20"/>
          <w:szCs w:val="20"/>
        </w:rPr>
        <w:t>de la LAIP.</w:t>
      </w:r>
    </w:p>
    <w:p w:rsidR="00465B93" w:rsidRPr="00911203" w:rsidRDefault="00465B93" w:rsidP="001342AF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C1923">
        <w:rPr>
          <w:rFonts w:ascii="Century Gothic" w:hAnsi="Century Gothic"/>
          <w:color w:val="000000" w:themeColor="text1"/>
          <w:sz w:val="20"/>
          <w:szCs w:val="20"/>
        </w:rPr>
        <w:t xml:space="preserve">Es imprecisa la información que solicita no </w:t>
      </w:r>
      <w:r w:rsidR="00731AA1" w:rsidRPr="008C1923">
        <w:rPr>
          <w:rFonts w:ascii="Century Gothic" w:hAnsi="Century Gothic"/>
          <w:color w:val="000000" w:themeColor="text1"/>
          <w:sz w:val="20"/>
          <w:szCs w:val="20"/>
        </w:rPr>
        <w:t>específica</w:t>
      </w:r>
      <w:r w:rsidRPr="008C1923">
        <w:rPr>
          <w:rFonts w:ascii="Century Gothic" w:hAnsi="Century Gothic"/>
          <w:color w:val="000000" w:themeColor="text1"/>
          <w:sz w:val="20"/>
          <w:szCs w:val="20"/>
        </w:rPr>
        <w:t xml:space="preserve"> qué tipo de planilla </w:t>
      </w:r>
      <w:r w:rsidR="00403BE9" w:rsidRPr="008C1923">
        <w:rPr>
          <w:rFonts w:ascii="Century Gothic" w:hAnsi="Century Gothic"/>
          <w:color w:val="000000" w:themeColor="text1"/>
          <w:sz w:val="20"/>
          <w:szCs w:val="20"/>
        </w:rPr>
        <w:t xml:space="preserve">requiere, planilla de pago de seguro, planilla de </w:t>
      </w:r>
      <w:r w:rsidR="00C12817">
        <w:rPr>
          <w:rFonts w:ascii="Century Gothic" w:hAnsi="Century Gothic"/>
          <w:color w:val="000000" w:themeColor="text1"/>
          <w:sz w:val="20"/>
          <w:szCs w:val="20"/>
        </w:rPr>
        <w:t>pago de AFP o planilla salarial,</w:t>
      </w:r>
      <w:r w:rsidR="001342AF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E84B85">
        <w:rPr>
          <w:rFonts w:ascii="Century Gothic" w:hAnsi="Century Gothic"/>
          <w:color w:val="000000" w:themeColor="text1"/>
          <w:sz w:val="20"/>
          <w:szCs w:val="20"/>
        </w:rPr>
        <w:t>se le</w:t>
      </w:r>
      <w:r w:rsidR="001342AF">
        <w:rPr>
          <w:rFonts w:ascii="Century Gothic" w:hAnsi="Century Gothic"/>
          <w:color w:val="000000" w:themeColor="text1"/>
          <w:sz w:val="20"/>
          <w:szCs w:val="20"/>
        </w:rPr>
        <w:t xml:space="preserve"> notifica al solicitante que elabore una solicitud que especifique de la información que requiere, </w:t>
      </w:r>
      <w:r w:rsidR="00911203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17681" w:rsidRPr="00911203">
        <w:rPr>
          <w:rFonts w:ascii="Century Gothic" w:hAnsi="Century Gothic"/>
          <w:color w:val="000000" w:themeColor="text1"/>
          <w:sz w:val="20"/>
          <w:szCs w:val="20"/>
        </w:rPr>
        <w:t>entrego</w:t>
      </w:r>
      <w:r w:rsidR="00403BE9" w:rsidRPr="00911203">
        <w:rPr>
          <w:rFonts w:ascii="Century Gothic" w:hAnsi="Century Gothic"/>
          <w:color w:val="000000" w:themeColor="text1"/>
          <w:sz w:val="20"/>
          <w:szCs w:val="20"/>
        </w:rPr>
        <w:t xml:space="preserve"> la información según las unidades me la entregaron. </w:t>
      </w:r>
      <w:r w:rsidRPr="00911203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:rsidR="00BC597C" w:rsidRPr="00731AA1" w:rsidRDefault="00BC597C" w:rsidP="00731A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BC597C" w:rsidRPr="00465B93" w:rsidRDefault="00BC597C" w:rsidP="00F1784E">
      <w:pPr>
        <w:pStyle w:val="Textosinformato"/>
        <w:numPr>
          <w:ilvl w:val="0"/>
          <w:numId w:val="3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Planilla de pago de todos los empleados eventuales y permanentes de los años 2018 y 2019</w:t>
      </w:r>
      <w:r w:rsidR="009C68F5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:rsidR="00465B93" w:rsidRPr="00465B93" w:rsidRDefault="00465B93" w:rsidP="00465B93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6333A">
        <w:rPr>
          <w:rFonts w:ascii="Century Gothic" w:hAnsi="Century Gothic"/>
          <w:color w:val="000000" w:themeColor="text1"/>
          <w:sz w:val="20"/>
          <w:szCs w:val="20"/>
        </w:rPr>
        <w:t>Presupuesto municipal del año 2018 y 2019 completo.</w:t>
      </w:r>
    </w:p>
    <w:p w:rsidR="00B963B4" w:rsidRDefault="00EF3D8A" w:rsidP="00BC597C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E022FB" w:rsidRDefault="00E022FB" w:rsidP="00E022FB">
      <w:pPr>
        <w:pStyle w:val="Textosinformato"/>
        <w:ind w:left="720"/>
        <w:jc w:val="both"/>
        <w:rPr>
          <w:rFonts w:asciiTheme="minorHAnsi" w:hAnsiTheme="minorHAnsi"/>
          <w:sz w:val="24"/>
          <w:szCs w:val="24"/>
        </w:rPr>
      </w:pPr>
      <w:r w:rsidRPr="00E022FB">
        <w:rPr>
          <w:rFonts w:asciiTheme="minorHAnsi" w:hAnsiTheme="minorHAnsi"/>
          <w:color w:val="000000" w:themeColor="text1"/>
          <w:sz w:val="24"/>
          <w:szCs w:val="24"/>
        </w:rPr>
        <w:t xml:space="preserve">a). </w:t>
      </w:r>
      <w:r w:rsidRPr="008534D8">
        <w:rPr>
          <w:rFonts w:asciiTheme="minorHAnsi" w:hAnsiTheme="minorHAnsi"/>
          <w:color w:val="000000" w:themeColor="text1"/>
          <w:sz w:val="24"/>
          <w:szCs w:val="24"/>
        </w:rPr>
        <w:t>Se Hace la entrega</w:t>
      </w:r>
      <w:r w:rsidR="00DB1BA0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9D797D" w:rsidRPr="008534D8">
        <w:rPr>
          <w:rFonts w:asciiTheme="minorHAnsi" w:hAnsiTheme="minorHAnsi"/>
          <w:sz w:val="24"/>
          <w:szCs w:val="24"/>
        </w:rPr>
        <w:t>Establecidos en el Art. 62 de la Ley de Acceso a la Informació</w:t>
      </w:r>
      <w:r w:rsidR="008534D8" w:rsidRPr="008534D8">
        <w:rPr>
          <w:rFonts w:asciiTheme="minorHAnsi" w:hAnsiTheme="minorHAnsi"/>
          <w:sz w:val="24"/>
          <w:szCs w:val="24"/>
        </w:rPr>
        <w:t>n Pública (LAIP) y</w:t>
      </w:r>
      <w:r w:rsidR="009D797D" w:rsidRPr="008534D8">
        <w:rPr>
          <w:rFonts w:asciiTheme="minorHAnsi" w:hAnsiTheme="minorHAnsi"/>
          <w:sz w:val="24"/>
          <w:szCs w:val="24"/>
        </w:rPr>
        <w:t xml:space="preserve"> art. 54 literal d) del Reglamento de la Ley de Acceso a la Información Pública.</w:t>
      </w:r>
      <w:r w:rsidR="000534A8">
        <w:rPr>
          <w:rFonts w:asciiTheme="minorHAnsi" w:hAnsiTheme="minorHAnsi"/>
          <w:sz w:val="24"/>
          <w:szCs w:val="24"/>
        </w:rPr>
        <w:t xml:space="preserve"> </w:t>
      </w:r>
    </w:p>
    <w:p w:rsidR="00622B07" w:rsidRPr="008534D8" w:rsidRDefault="00E022FB" w:rsidP="00E022FB">
      <w:pPr>
        <w:pStyle w:val="Textosinformato"/>
        <w:ind w:left="720"/>
        <w:jc w:val="both"/>
        <w:rPr>
          <w:rFonts w:asciiTheme="minorHAnsi" w:hAnsiTheme="minorHAnsi"/>
          <w:color w:val="000000" w:themeColor="text1"/>
          <w:sz w:val="24"/>
          <w:szCs w:val="24"/>
          <w:lang w:eastAsia="es-SV"/>
        </w:rPr>
      </w:pPr>
      <w:r w:rsidRPr="008534D8">
        <w:rPr>
          <w:rFonts w:asciiTheme="minorHAnsi" w:hAnsiTheme="minorHAnsi"/>
          <w:sz w:val="24"/>
          <w:szCs w:val="24"/>
        </w:rPr>
        <w:t xml:space="preserve">b.  </w:t>
      </w:r>
      <w:r w:rsidR="00622B07" w:rsidRPr="008534D8">
        <w:rPr>
          <w:rFonts w:asciiTheme="minorHAnsi" w:hAnsiTheme="minorHAnsi"/>
          <w:sz w:val="24"/>
          <w:szCs w:val="24"/>
        </w:rPr>
        <w:t xml:space="preserve">Entréguese, la Resolución correspondiente (Art.65 y 72 de LAIP) </w:t>
      </w:r>
    </w:p>
    <w:p w:rsidR="00622B07" w:rsidRPr="008534D8" w:rsidRDefault="00622B07" w:rsidP="009D797D">
      <w:pPr>
        <w:pStyle w:val="Textosinformato"/>
        <w:ind w:left="720"/>
        <w:rPr>
          <w:rFonts w:asciiTheme="minorHAnsi" w:hAnsiTheme="minorHAnsi"/>
          <w:color w:val="000000" w:themeColor="text1"/>
          <w:sz w:val="24"/>
          <w:szCs w:val="24"/>
          <w:lang w:eastAsia="es-SV"/>
        </w:rPr>
      </w:pPr>
      <w:r w:rsidRPr="008534D8">
        <w:rPr>
          <w:rFonts w:asciiTheme="minorHAnsi" w:hAnsiTheme="minorHAnsi"/>
          <w:sz w:val="24"/>
          <w:szCs w:val="24"/>
        </w:rPr>
        <w:t xml:space="preserve">c) Notifíquese, al solicitante por el medio señalado para tal efecto. </w:t>
      </w:r>
      <w:r w:rsidR="00E022FB" w:rsidRPr="008534D8">
        <w:rPr>
          <w:rFonts w:asciiTheme="minorHAnsi" w:hAnsiTheme="minorHAnsi"/>
          <w:sz w:val="24"/>
          <w:szCs w:val="24"/>
        </w:rPr>
        <w:t>Además</w:t>
      </w:r>
      <w:r w:rsidRPr="008534D8">
        <w:rPr>
          <w:rFonts w:asciiTheme="minorHAnsi" w:hAnsiTheme="minorHAnsi"/>
          <w:sz w:val="24"/>
          <w:szCs w:val="24"/>
        </w:rPr>
        <w:t xml:space="preserve"> se indica el link donde puede encontrar la información que solicita ya que por ser de carácter oficioso</w:t>
      </w:r>
      <w:r w:rsidR="009D797D" w:rsidRPr="008534D8">
        <w:rPr>
          <w:rFonts w:asciiTheme="minorHAnsi" w:hAnsiTheme="minorHAnsi"/>
          <w:sz w:val="24"/>
          <w:szCs w:val="24"/>
        </w:rPr>
        <w:t xml:space="preserve"> esta publicado en el portal de transparencia. </w:t>
      </w:r>
      <w:hyperlink r:id="rId9" w:history="1">
        <w:r w:rsidR="00E022FB" w:rsidRPr="008534D8">
          <w:rPr>
            <w:rStyle w:val="Hipervnculo"/>
            <w:rFonts w:asciiTheme="minorHAnsi" w:hAnsiTheme="minorHAnsi"/>
            <w:sz w:val="24"/>
            <w:szCs w:val="24"/>
          </w:rPr>
          <w:t>https://www.transparencia.gob.sv/institutions/alc-san-luis-herra/documents/manuales-basicos-de-organizacion</w:t>
        </w:r>
      </w:hyperlink>
      <w:r w:rsidR="005D6975">
        <w:rPr>
          <w:rFonts w:asciiTheme="minorHAnsi" w:hAnsiTheme="minorHAnsi"/>
          <w:sz w:val="24"/>
          <w:szCs w:val="24"/>
        </w:rPr>
        <w:t>.</w:t>
      </w:r>
    </w:p>
    <w:p w:rsidR="00622B07" w:rsidRPr="008534D8" w:rsidRDefault="00E022FB" w:rsidP="00E022FB">
      <w:pPr>
        <w:pStyle w:val="Textosinformato"/>
        <w:rPr>
          <w:rFonts w:asciiTheme="minorHAnsi" w:hAnsiTheme="minorHAnsi"/>
          <w:color w:val="000000" w:themeColor="text1"/>
          <w:sz w:val="24"/>
          <w:szCs w:val="24"/>
          <w:lang w:eastAsia="es-SV"/>
        </w:rPr>
      </w:pPr>
      <w:r w:rsidRPr="008534D8">
        <w:rPr>
          <w:rFonts w:asciiTheme="minorHAnsi" w:hAnsiTheme="minorHAnsi"/>
          <w:b/>
          <w:bCs/>
          <w:sz w:val="24"/>
          <w:szCs w:val="24"/>
        </w:rPr>
        <w:t xml:space="preserve">           </w:t>
      </w:r>
      <w:r w:rsidR="00622B07" w:rsidRPr="008534D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22B07" w:rsidRPr="008534D8">
        <w:rPr>
          <w:rFonts w:asciiTheme="minorHAnsi" w:hAnsiTheme="minorHAnsi"/>
          <w:sz w:val="24"/>
          <w:szCs w:val="24"/>
        </w:rPr>
        <w:t>d) Archívese, en el expediente administrativo.</w:t>
      </w:r>
    </w:p>
    <w:p w:rsidR="00E022FB" w:rsidRDefault="00E022FB" w:rsidP="008E7D89">
      <w:pPr>
        <w:spacing w:after="0" w:line="240" w:lineRule="auto"/>
        <w:jc w:val="both"/>
        <w:rPr>
          <w:sz w:val="24"/>
          <w:szCs w:val="24"/>
          <w:lang w:eastAsia="en-US"/>
        </w:rPr>
      </w:pPr>
    </w:p>
    <w:p w:rsidR="00E022FB" w:rsidRDefault="00E022FB" w:rsidP="008E7D89">
      <w:pPr>
        <w:spacing w:after="0" w:line="240" w:lineRule="auto"/>
        <w:jc w:val="both"/>
        <w:rPr>
          <w:sz w:val="24"/>
          <w:szCs w:val="24"/>
          <w:lang w:eastAsia="en-US"/>
        </w:rPr>
      </w:pPr>
    </w:p>
    <w:p w:rsidR="008E7D89" w:rsidRPr="00C01162" w:rsidRDefault="008E7D89" w:rsidP="00E022FB">
      <w:pPr>
        <w:spacing w:after="0" w:line="240" w:lineRule="auto"/>
        <w:jc w:val="center"/>
      </w:pPr>
      <w:r w:rsidRPr="00FD1FA9">
        <w:rPr>
          <w:rFonts w:ascii="Century Gothic" w:hAnsi="Century Gothic"/>
          <w:color w:val="000000"/>
          <w:sz w:val="20"/>
          <w:szCs w:val="20"/>
        </w:rPr>
        <w:t>______________</w:t>
      </w:r>
    </w:p>
    <w:p w:rsidR="008E7D89" w:rsidRPr="00FD1FA9" w:rsidRDefault="008E7D89" w:rsidP="008E7D89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8B0C96" w:rsidRDefault="008E7D89" w:rsidP="0046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pacing w:val="-1"/>
          <w:sz w:val="20"/>
          <w:szCs w:val="20"/>
        </w:rPr>
      </w:pPr>
      <w:r>
        <w:rPr>
          <w:rFonts w:ascii="Century Gothic" w:hAnsi="Century Gothic" w:cs="Calibri"/>
          <w:color w:val="000000"/>
          <w:spacing w:val="2"/>
          <w:sz w:val="20"/>
          <w:szCs w:val="20"/>
        </w:rPr>
        <w:t xml:space="preserve">  </w:t>
      </w:r>
      <w:r w:rsidRPr="00FD1FA9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FD1FA9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FD1FA9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r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bookmarkStart w:id="0" w:name="_GoBack"/>
      <w:bookmarkEnd w:id="0"/>
      <w:r w:rsidR="0046241E">
        <w:rPr>
          <w:rFonts w:ascii="Century Gothic" w:hAnsi="Century Gothic" w:cs="Calibri"/>
          <w:color w:val="000000"/>
          <w:spacing w:val="-1"/>
          <w:sz w:val="20"/>
          <w:szCs w:val="20"/>
        </w:rPr>
        <w:t>n</w:t>
      </w:r>
      <w:r w:rsidR="009D797D">
        <w:rPr>
          <w:rFonts w:ascii="Century Gothic" w:hAnsi="Century Gothic" w:cs="Calibri"/>
          <w:color w:val="000000"/>
          <w:spacing w:val="-1"/>
          <w:sz w:val="20"/>
          <w:szCs w:val="20"/>
        </w:rPr>
        <w:t>.</w:t>
      </w:r>
    </w:p>
    <w:p w:rsidR="000534A8" w:rsidRDefault="000534A8" w:rsidP="0046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pacing w:val="-1"/>
          <w:sz w:val="20"/>
          <w:szCs w:val="20"/>
        </w:rPr>
      </w:pPr>
    </w:p>
    <w:p w:rsidR="000534A8" w:rsidRDefault="000534A8" w:rsidP="0046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pacing w:val="-1"/>
          <w:sz w:val="20"/>
          <w:szCs w:val="20"/>
        </w:rPr>
      </w:pPr>
    </w:p>
    <w:p w:rsidR="009D797D" w:rsidRDefault="009D797D" w:rsidP="0046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pacing w:val="-1"/>
          <w:sz w:val="20"/>
          <w:szCs w:val="20"/>
        </w:rPr>
      </w:pPr>
    </w:p>
    <w:p w:rsidR="009D797D" w:rsidRDefault="009D797D" w:rsidP="0046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pacing w:val="-1"/>
          <w:sz w:val="20"/>
          <w:szCs w:val="20"/>
        </w:rPr>
      </w:pPr>
    </w:p>
    <w:p w:rsidR="009D797D" w:rsidRDefault="009D797D" w:rsidP="0046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pacing w:val="-1"/>
          <w:sz w:val="20"/>
          <w:szCs w:val="20"/>
        </w:rPr>
      </w:pPr>
    </w:p>
    <w:p w:rsidR="00210465" w:rsidRPr="00895F21" w:rsidRDefault="00210465" w:rsidP="007869C8">
      <w:pPr>
        <w:spacing w:after="0" w:line="240" w:lineRule="auto"/>
        <w:jc w:val="center"/>
        <w:rPr>
          <w:rFonts w:ascii="Century" w:hAnsi="Century" w:cs="Arial"/>
          <w:color w:val="000000" w:themeColor="text1"/>
          <w:sz w:val="24"/>
          <w:szCs w:val="24"/>
        </w:rPr>
      </w:pPr>
    </w:p>
    <w:sectPr w:rsidR="00210465" w:rsidRPr="00895F21" w:rsidSect="00CE1779">
      <w:headerReference w:type="default" r:id="rId10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D13" w:rsidRDefault="006C7D13">
      <w:pPr>
        <w:spacing w:after="0" w:line="240" w:lineRule="auto"/>
      </w:pPr>
      <w:r>
        <w:separator/>
      </w:r>
    </w:p>
  </w:endnote>
  <w:endnote w:type="continuationSeparator" w:id="1">
    <w:p w:rsidR="006C7D13" w:rsidRDefault="006C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D13" w:rsidRDefault="006C7D13">
      <w:pPr>
        <w:spacing w:after="0" w:line="240" w:lineRule="auto"/>
      </w:pPr>
      <w:r>
        <w:separator/>
      </w:r>
    </w:p>
  </w:footnote>
  <w:footnote w:type="continuationSeparator" w:id="1">
    <w:p w:rsidR="006C7D13" w:rsidRDefault="006C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15143B" w:rsidRDefault="009655A0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9655A0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7322B"/>
    <w:multiLevelType w:val="hybridMultilevel"/>
    <w:tmpl w:val="C2C225F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16232"/>
    <w:multiLevelType w:val="hybridMultilevel"/>
    <w:tmpl w:val="CE5C15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5AA5"/>
    <w:multiLevelType w:val="hybridMultilevel"/>
    <w:tmpl w:val="6E6CBF2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D49BA"/>
    <w:multiLevelType w:val="hybridMultilevel"/>
    <w:tmpl w:val="EF98241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46DB7"/>
    <w:multiLevelType w:val="hybridMultilevel"/>
    <w:tmpl w:val="6B1CAE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F418F"/>
    <w:multiLevelType w:val="hybridMultilevel"/>
    <w:tmpl w:val="84E486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01651"/>
    <w:multiLevelType w:val="hybridMultilevel"/>
    <w:tmpl w:val="B8B6B99A"/>
    <w:lvl w:ilvl="0" w:tplc="D1AE84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84CEB"/>
    <w:multiLevelType w:val="hybridMultilevel"/>
    <w:tmpl w:val="30325D8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33AE1"/>
    <w:multiLevelType w:val="hybridMultilevel"/>
    <w:tmpl w:val="FAB8F15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557C0"/>
    <w:multiLevelType w:val="hybridMultilevel"/>
    <w:tmpl w:val="3488A9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3630AC"/>
    <w:multiLevelType w:val="hybridMultilevel"/>
    <w:tmpl w:val="6E1C82C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A57BD"/>
    <w:multiLevelType w:val="hybridMultilevel"/>
    <w:tmpl w:val="247CFC76"/>
    <w:lvl w:ilvl="0" w:tplc="C22499B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36CFF"/>
    <w:multiLevelType w:val="hybridMultilevel"/>
    <w:tmpl w:val="5FC213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81D32"/>
    <w:multiLevelType w:val="hybridMultilevel"/>
    <w:tmpl w:val="F394188C"/>
    <w:lvl w:ilvl="0" w:tplc="42A2BC78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E74711"/>
    <w:multiLevelType w:val="hybridMultilevel"/>
    <w:tmpl w:val="420A094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7C611F"/>
    <w:multiLevelType w:val="hybridMultilevel"/>
    <w:tmpl w:val="61AECF8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234D1"/>
    <w:multiLevelType w:val="hybridMultilevel"/>
    <w:tmpl w:val="686C7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71A22"/>
    <w:multiLevelType w:val="hybridMultilevel"/>
    <w:tmpl w:val="247CFC76"/>
    <w:lvl w:ilvl="0" w:tplc="C22499B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2B2B"/>
    <w:multiLevelType w:val="hybridMultilevel"/>
    <w:tmpl w:val="7BC000E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43"/>
  </w:num>
  <w:num w:numId="4">
    <w:abstractNumId w:val="22"/>
  </w:num>
  <w:num w:numId="5">
    <w:abstractNumId w:val="16"/>
  </w:num>
  <w:num w:numId="6">
    <w:abstractNumId w:val="24"/>
  </w:num>
  <w:num w:numId="7">
    <w:abstractNumId w:val="17"/>
  </w:num>
  <w:num w:numId="8">
    <w:abstractNumId w:val="21"/>
  </w:num>
  <w:num w:numId="9">
    <w:abstractNumId w:val="20"/>
  </w:num>
  <w:num w:numId="10">
    <w:abstractNumId w:val="26"/>
  </w:num>
  <w:num w:numId="11">
    <w:abstractNumId w:val="11"/>
  </w:num>
  <w:num w:numId="12">
    <w:abstractNumId w:val="42"/>
  </w:num>
  <w:num w:numId="13">
    <w:abstractNumId w:val="2"/>
  </w:num>
  <w:num w:numId="14">
    <w:abstractNumId w:val="35"/>
  </w:num>
  <w:num w:numId="15">
    <w:abstractNumId w:val="4"/>
  </w:num>
  <w:num w:numId="16">
    <w:abstractNumId w:val="38"/>
  </w:num>
  <w:num w:numId="17">
    <w:abstractNumId w:val="7"/>
  </w:num>
  <w:num w:numId="18">
    <w:abstractNumId w:val="32"/>
  </w:num>
  <w:num w:numId="19">
    <w:abstractNumId w:val="44"/>
  </w:num>
  <w:num w:numId="20">
    <w:abstractNumId w:val="29"/>
  </w:num>
  <w:num w:numId="21">
    <w:abstractNumId w:val="30"/>
  </w:num>
  <w:num w:numId="22">
    <w:abstractNumId w:val="12"/>
  </w:num>
  <w:num w:numId="23">
    <w:abstractNumId w:val="14"/>
  </w:num>
  <w:num w:numId="24">
    <w:abstractNumId w:val="33"/>
  </w:num>
  <w:num w:numId="25">
    <w:abstractNumId w:val="28"/>
  </w:num>
  <w:num w:numId="26">
    <w:abstractNumId w:val="18"/>
  </w:num>
  <w:num w:numId="27">
    <w:abstractNumId w:val="3"/>
  </w:num>
  <w:num w:numId="28">
    <w:abstractNumId w:val="0"/>
  </w:num>
  <w:num w:numId="29">
    <w:abstractNumId w:val="10"/>
  </w:num>
  <w:num w:numId="30">
    <w:abstractNumId w:val="1"/>
  </w:num>
  <w:num w:numId="31">
    <w:abstractNumId w:val="9"/>
  </w:num>
  <w:num w:numId="32">
    <w:abstractNumId w:val="41"/>
  </w:num>
  <w:num w:numId="33">
    <w:abstractNumId w:val="31"/>
  </w:num>
  <w:num w:numId="34">
    <w:abstractNumId w:val="13"/>
  </w:num>
  <w:num w:numId="35">
    <w:abstractNumId w:val="37"/>
  </w:num>
  <w:num w:numId="36">
    <w:abstractNumId w:val="23"/>
  </w:num>
  <w:num w:numId="37">
    <w:abstractNumId w:val="36"/>
  </w:num>
  <w:num w:numId="38">
    <w:abstractNumId w:val="8"/>
  </w:num>
  <w:num w:numId="39">
    <w:abstractNumId w:val="46"/>
  </w:num>
  <w:num w:numId="40">
    <w:abstractNumId w:val="5"/>
  </w:num>
  <w:num w:numId="41">
    <w:abstractNumId w:val="6"/>
  </w:num>
  <w:num w:numId="42">
    <w:abstractNumId w:val="39"/>
  </w:num>
  <w:num w:numId="43">
    <w:abstractNumId w:val="27"/>
  </w:num>
  <w:num w:numId="44">
    <w:abstractNumId w:val="45"/>
  </w:num>
  <w:num w:numId="45">
    <w:abstractNumId w:val="25"/>
  </w:num>
  <w:num w:numId="46">
    <w:abstractNumId w:val="34"/>
  </w:num>
  <w:num w:numId="47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0A70"/>
    <w:rsid w:val="00001F5E"/>
    <w:rsid w:val="0000279E"/>
    <w:rsid w:val="00012588"/>
    <w:rsid w:val="000201EB"/>
    <w:rsid w:val="00020475"/>
    <w:rsid w:val="00021328"/>
    <w:rsid w:val="00026C5B"/>
    <w:rsid w:val="000309DD"/>
    <w:rsid w:val="00032282"/>
    <w:rsid w:val="000347F0"/>
    <w:rsid w:val="00034902"/>
    <w:rsid w:val="00035BF2"/>
    <w:rsid w:val="000534A8"/>
    <w:rsid w:val="00061F9A"/>
    <w:rsid w:val="000743D5"/>
    <w:rsid w:val="00074AA4"/>
    <w:rsid w:val="000805E1"/>
    <w:rsid w:val="0008204C"/>
    <w:rsid w:val="00084400"/>
    <w:rsid w:val="000A134F"/>
    <w:rsid w:val="000B2595"/>
    <w:rsid w:val="000E2DA3"/>
    <w:rsid w:val="000F11FF"/>
    <w:rsid w:val="000F1C74"/>
    <w:rsid w:val="000F3C7E"/>
    <w:rsid w:val="000F7DE4"/>
    <w:rsid w:val="00101375"/>
    <w:rsid w:val="001059B4"/>
    <w:rsid w:val="00107EE5"/>
    <w:rsid w:val="00111C2E"/>
    <w:rsid w:val="00117D98"/>
    <w:rsid w:val="001216DC"/>
    <w:rsid w:val="001342AF"/>
    <w:rsid w:val="001346C8"/>
    <w:rsid w:val="0014542B"/>
    <w:rsid w:val="00150C10"/>
    <w:rsid w:val="00157281"/>
    <w:rsid w:val="001632FD"/>
    <w:rsid w:val="00164D89"/>
    <w:rsid w:val="00165429"/>
    <w:rsid w:val="001659E3"/>
    <w:rsid w:val="0016744E"/>
    <w:rsid w:val="001865E5"/>
    <w:rsid w:val="00193223"/>
    <w:rsid w:val="00197455"/>
    <w:rsid w:val="001A428B"/>
    <w:rsid w:val="001A791F"/>
    <w:rsid w:val="001B2F80"/>
    <w:rsid w:val="001B3077"/>
    <w:rsid w:val="001B61C5"/>
    <w:rsid w:val="001C68ED"/>
    <w:rsid w:val="001C7E4E"/>
    <w:rsid w:val="001E1C2F"/>
    <w:rsid w:val="001E3E62"/>
    <w:rsid w:val="001E58E7"/>
    <w:rsid w:val="001E6CE2"/>
    <w:rsid w:val="001F3CE2"/>
    <w:rsid w:val="001F43DF"/>
    <w:rsid w:val="001F78BA"/>
    <w:rsid w:val="002007CA"/>
    <w:rsid w:val="00202A4E"/>
    <w:rsid w:val="00210465"/>
    <w:rsid w:val="00210DF4"/>
    <w:rsid w:val="00211E28"/>
    <w:rsid w:val="002149DA"/>
    <w:rsid w:val="00214A6E"/>
    <w:rsid w:val="00217533"/>
    <w:rsid w:val="002257A1"/>
    <w:rsid w:val="00225BBE"/>
    <w:rsid w:val="00232D3C"/>
    <w:rsid w:val="0023498C"/>
    <w:rsid w:val="00235858"/>
    <w:rsid w:val="00236A60"/>
    <w:rsid w:val="002400D0"/>
    <w:rsid w:val="00243DBD"/>
    <w:rsid w:val="0025364B"/>
    <w:rsid w:val="002564F4"/>
    <w:rsid w:val="00270FD1"/>
    <w:rsid w:val="00272837"/>
    <w:rsid w:val="00277AAB"/>
    <w:rsid w:val="00280AFA"/>
    <w:rsid w:val="0028562E"/>
    <w:rsid w:val="002862B9"/>
    <w:rsid w:val="00286968"/>
    <w:rsid w:val="00290885"/>
    <w:rsid w:val="002A4CBE"/>
    <w:rsid w:val="002B04D1"/>
    <w:rsid w:val="002D06F6"/>
    <w:rsid w:val="002D0B33"/>
    <w:rsid w:val="002E45F4"/>
    <w:rsid w:val="002E7FE9"/>
    <w:rsid w:val="002F0286"/>
    <w:rsid w:val="002F1479"/>
    <w:rsid w:val="002F43C4"/>
    <w:rsid w:val="0030756E"/>
    <w:rsid w:val="00307AA0"/>
    <w:rsid w:val="00310347"/>
    <w:rsid w:val="00311CDC"/>
    <w:rsid w:val="00313291"/>
    <w:rsid w:val="00314466"/>
    <w:rsid w:val="00321AF3"/>
    <w:rsid w:val="003338EF"/>
    <w:rsid w:val="00346D3C"/>
    <w:rsid w:val="00356BB4"/>
    <w:rsid w:val="00361B9D"/>
    <w:rsid w:val="003647DD"/>
    <w:rsid w:val="0037100E"/>
    <w:rsid w:val="003768B7"/>
    <w:rsid w:val="00377014"/>
    <w:rsid w:val="0038024F"/>
    <w:rsid w:val="003805A3"/>
    <w:rsid w:val="00380852"/>
    <w:rsid w:val="00391DCE"/>
    <w:rsid w:val="00396CD1"/>
    <w:rsid w:val="00397E1B"/>
    <w:rsid w:val="003A2D27"/>
    <w:rsid w:val="003A376E"/>
    <w:rsid w:val="003A5FCD"/>
    <w:rsid w:val="003A696B"/>
    <w:rsid w:val="003B0348"/>
    <w:rsid w:val="003B0ED2"/>
    <w:rsid w:val="003B35A7"/>
    <w:rsid w:val="003B691D"/>
    <w:rsid w:val="003C0E6F"/>
    <w:rsid w:val="003C1C06"/>
    <w:rsid w:val="003D167D"/>
    <w:rsid w:val="003D56BC"/>
    <w:rsid w:val="003D6E07"/>
    <w:rsid w:val="003D7992"/>
    <w:rsid w:val="003E0C9C"/>
    <w:rsid w:val="003E2C8C"/>
    <w:rsid w:val="003F6682"/>
    <w:rsid w:val="00403BE9"/>
    <w:rsid w:val="00410983"/>
    <w:rsid w:val="0041540E"/>
    <w:rsid w:val="00417681"/>
    <w:rsid w:val="0042607B"/>
    <w:rsid w:val="00432461"/>
    <w:rsid w:val="004352FF"/>
    <w:rsid w:val="00444968"/>
    <w:rsid w:val="0045507B"/>
    <w:rsid w:val="0046241E"/>
    <w:rsid w:val="00465B93"/>
    <w:rsid w:val="00482FE7"/>
    <w:rsid w:val="004A04B9"/>
    <w:rsid w:val="004A0CBA"/>
    <w:rsid w:val="004A44A3"/>
    <w:rsid w:val="004B41A8"/>
    <w:rsid w:val="004B4716"/>
    <w:rsid w:val="004B5F35"/>
    <w:rsid w:val="004B64C2"/>
    <w:rsid w:val="004B7081"/>
    <w:rsid w:val="004C1AFF"/>
    <w:rsid w:val="004C1F6C"/>
    <w:rsid w:val="004C5A7A"/>
    <w:rsid w:val="004C6013"/>
    <w:rsid w:val="004C6B59"/>
    <w:rsid w:val="004D51A9"/>
    <w:rsid w:val="004E7AA1"/>
    <w:rsid w:val="005031FB"/>
    <w:rsid w:val="0050401C"/>
    <w:rsid w:val="00520C29"/>
    <w:rsid w:val="00523BA9"/>
    <w:rsid w:val="0052773F"/>
    <w:rsid w:val="00527A2F"/>
    <w:rsid w:val="005328C2"/>
    <w:rsid w:val="00535FAA"/>
    <w:rsid w:val="005411C9"/>
    <w:rsid w:val="00541D0E"/>
    <w:rsid w:val="00543157"/>
    <w:rsid w:val="00547628"/>
    <w:rsid w:val="00556FCF"/>
    <w:rsid w:val="00561BC9"/>
    <w:rsid w:val="00562015"/>
    <w:rsid w:val="005649C2"/>
    <w:rsid w:val="00565E6B"/>
    <w:rsid w:val="00567C49"/>
    <w:rsid w:val="00576E4A"/>
    <w:rsid w:val="0058066F"/>
    <w:rsid w:val="005840C2"/>
    <w:rsid w:val="00584F5E"/>
    <w:rsid w:val="00596051"/>
    <w:rsid w:val="0059697B"/>
    <w:rsid w:val="005A30D2"/>
    <w:rsid w:val="005A5DA3"/>
    <w:rsid w:val="005B1083"/>
    <w:rsid w:val="005B1605"/>
    <w:rsid w:val="005C584B"/>
    <w:rsid w:val="005D12B1"/>
    <w:rsid w:val="005D395F"/>
    <w:rsid w:val="005D623A"/>
    <w:rsid w:val="005D6975"/>
    <w:rsid w:val="005E7C48"/>
    <w:rsid w:val="005F0BB6"/>
    <w:rsid w:val="005F254E"/>
    <w:rsid w:val="005F587C"/>
    <w:rsid w:val="00602EE4"/>
    <w:rsid w:val="00603FF2"/>
    <w:rsid w:val="00605B40"/>
    <w:rsid w:val="00614072"/>
    <w:rsid w:val="00617EE6"/>
    <w:rsid w:val="00622B07"/>
    <w:rsid w:val="006252DC"/>
    <w:rsid w:val="00635756"/>
    <w:rsid w:val="006449B5"/>
    <w:rsid w:val="006478F2"/>
    <w:rsid w:val="0065766C"/>
    <w:rsid w:val="006600D5"/>
    <w:rsid w:val="00663E79"/>
    <w:rsid w:val="006655BF"/>
    <w:rsid w:val="00666816"/>
    <w:rsid w:val="00667676"/>
    <w:rsid w:val="006676F9"/>
    <w:rsid w:val="00677E7C"/>
    <w:rsid w:val="00681E4F"/>
    <w:rsid w:val="006835E5"/>
    <w:rsid w:val="00687303"/>
    <w:rsid w:val="006873BF"/>
    <w:rsid w:val="00690CE7"/>
    <w:rsid w:val="00693D84"/>
    <w:rsid w:val="006A03F5"/>
    <w:rsid w:val="006A084C"/>
    <w:rsid w:val="006A0DDE"/>
    <w:rsid w:val="006A5259"/>
    <w:rsid w:val="006B3972"/>
    <w:rsid w:val="006B4696"/>
    <w:rsid w:val="006B4A2A"/>
    <w:rsid w:val="006B5468"/>
    <w:rsid w:val="006B6AB6"/>
    <w:rsid w:val="006C376B"/>
    <w:rsid w:val="006C7D13"/>
    <w:rsid w:val="006D12A4"/>
    <w:rsid w:val="006F1363"/>
    <w:rsid w:val="006F7D72"/>
    <w:rsid w:val="00702D51"/>
    <w:rsid w:val="00706436"/>
    <w:rsid w:val="00707CD6"/>
    <w:rsid w:val="0071194D"/>
    <w:rsid w:val="007160E7"/>
    <w:rsid w:val="007227E3"/>
    <w:rsid w:val="00731AA1"/>
    <w:rsid w:val="00731FF8"/>
    <w:rsid w:val="00737259"/>
    <w:rsid w:val="00741EC9"/>
    <w:rsid w:val="00750CBC"/>
    <w:rsid w:val="00756A76"/>
    <w:rsid w:val="0076191C"/>
    <w:rsid w:val="00772607"/>
    <w:rsid w:val="00772FCD"/>
    <w:rsid w:val="007869C8"/>
    <w:rsid w:val="007953E6"/>
    <w:rsid w:val="0079703D"/>
    <w:rsid w:val="007A2817"/>
    <w:rsid w:val="007A789C"/>
    <w:rsid w:val="007B24F7"/>
    <w:rsid w:val="007B7980"/>
    <w:rsid w:val="007C30D6"/>
    <w:rsid w:val="007D3035"/>
    <w:rsid w:val="007D3BF6"/>
    <w:rsid w:val="007D53F2"/>
    <w:rsid w:val="007E0CA9"/>
    <w:rsid w:val="007F623C"/>
    <w:rsid w:val="00802352"/>
    <w:rsid w:val="00804E59"/>
    <w:rsid w:val="008116F9"/>
    <w:rsid w:val="008209B8"/>
    <w:rsid w:val="008222E0"/>
    <w:rsid w:val="008224DE"/>
    <w:rsid w:val="00822DCD"/>
    <w:rsid w:val="00824BA8"/>
    <w:rsid w:val="00826826"/>
    <w:rsid w:val="00841E05"/>
    <w:rsid w:val="00846406"/>
    <w:rsid w:val="008471A3"/>
    <w:rsid w:val="008534D8"/>
    <w:rsid w:val="00854F50"/>
    <w:rsid w:val="008557B1"/>
    <w:rsid w:val="008569ED"/>
    <w:rsid w:val="00864194"/>
    <w:rsid w:val="00866E7B"/>
    <w:rsid w:val="0087294A"/>
    <w:rsid w:val="00873A6D"/>
    <w:rsid w:val="00884782"/>
    <w:rsid w:val="00897F74"/>
    <w:rsid w:val="008A030B"/>
    <w:rsid w:val="008A19F9"/>
    <w:rsid w:val="008B049F"/>
    <w:rsid w:val="008B0C96"/>
    <w:rsid w:val="008C1375"/>
    <w:rsid w:val="008C1923"/>
    <w:rsid w:val="008C4EFC"/>
    <w:rsid w:val="008E05C4"/>
    <w:rsid w:val="008E0A9D"/>
    <w:rsid w:val="008E5BE3"/>
    <w:rsid w:val="008E7D89"/>
    <w:rsid w:val="008F0037"/>
    <w:rsid w:val="008F1172"/>
    <w:rsid w:val="008F3998"/>
    <w:rsid w:val="008F60BE"/>
    <w:rsid w:val="008F789A"/>
    <w:rsid w:val="009032F5"/>
    <w:rsid w:val="0090587E"/>
    <w:rsid w:val="00911203"/>
    <w:rsid w:val="00912ACE"/>
    <w:rsid w:val="00912CA9"/>
    <w:rsid w:val="009150EF"/>
    <w:rsid w:val="00917A29"/>
    <w:rsid w:val="009248EB"/>
    <w:rsid w:val="00926404"/>
    <w:rsid w:val="009323C8"/>
    <w:rsid w:val="00932C78"/>
    <w:rsid w:val="00943045"/>
    <w:rsid w:val="009601E7"/>
    <w:rsid w:val="0096260C"/>
    <w:rsid w:val="009655A0"/>
    <w:rsid w:val="00977124"/>
    <w:rsid w:val="00981524"/>
    <w:rsid w:val="0099395E"/>
    <w:rsid w:val="009946E7"/>
    <w:rsid w:val="0099531C"/>
    <w:rsid w:val="0099765D"/>
    <w:rsid w:val="00997E95"/>
    <w:rsid w:val="009A177E"/>
    <w:rsid w:val="009A1F52"/>
    <w:rsid w:val="009C2EC5"/>
    <w:rsid w:val="009C68F5"/>
    <w:rsid w:val="009D30D2"/>
    <w:rsid w:val="009D43FA"/>
    <w:rsid w:val="009D797D"/>
    <w:rsid w:val="009E039D"/>
    <w:rsid w:val="009F3868"/>
    <w:rsid w:val="009F72AA"/>
    <w:rsid w:val="00A02A59"/>
    <w:rsid w:val="00A0614A"/>
    <w:rsid w:val="00A0769E"/>
    <w:rsid w:val="00A179B5"/>
    <w:rsid w:val="00A21085"/>
    <w:rsid w:val="00A256CE"/>
    <w:rsid w:val="00A4245B"/>
    <w:rsid w:val="00A46BE5"/>
    <w:rsid w:val="00A602AD"/>
    <w:rsid w:val="00A63DDC"/>
    <w:rsid w:val="00A70294"/>
    <w:rsid w:val="00A73559"/>
    <w:rsid w:val="00A74D2A"/>
    <w:rsid w:val="00A7574C"/>
    <w:rsid w:val="00A84E3C"/>
    <w:rsid w:val="00A87535"/>
    <w:rsid w:val="00AA0124"/>
    <w:rsid w:val="00AA126D"/>
    <w:rsid w:val="00AA4E9B"/>
    <w:rsid w:val="00AA5769"/>
    <w:rsid w:val="00AB1F3D"/>
    <w:rsid w:val="00AC07C3"/>
    <w:rsid w:val="00AC26D6"/>
    <w:rsid w:val="00AC4C28"/>
    <w:rsid w:val="00AD1099"/>
    <w:rsid w:val="00AD257B"/>
    <w:rsid w:val="00AD66F6"/>
    <w:rsid w:val="00AE1773"/>
    <w:rsid w:val="00AE3104"/>
    <w:rsid w:val="00AE5710"/>
    <w:rsid w:val="00AE7F5A"/>
    <w:rsid w:val="00AF06B8"/>
    <w:rsid w:val="00AF675C"/>
    <w:rsid w:val="00B0313C"/>
    <w:rsid w:val="00B07DB8"/>
    <w:rsid w:val="00B109BC"/>
    <w:rsid w:val="00B15214"/>
    <w:rsid w:val="00B16C2B"/>
    <w:rsid w:val="00B21552"/>
    <w:rsid w:val="00B267D6"/>
    <w:rsid w:val="00B310C7"/>
    <w:rsid w:val="00B33E46"/>
    <w:rsid w:val="00B510C5"/>
    <w:rsid w:val="00B56A19"/>
    <w:rsid w:val="00B62A53"/>
    <w:rsid w:val="00B63C05"/>
    <w:rsid w:val="00B708BE"/>
    <w:rsid w:val="00B70DD3"/>
    <w:rsid w:val="00B711C7"/>
    <w:rsid w:val="00B73EAB"/>
    <w:rsid w:val="00B80D29"/>
    <w:rsid w:val="00B8509F"/>
    <w:rsid w:val="00B87D1D"/>
    <w:rsid w:val="00B92A72"/>
    <w:rsid w:val="00B94DCA"/>
    <w:rsid w:val="00B963B4"/>
    <w:rsid w:val="00B976FD"/>
    <w:rsid w:val="00BA5BB7"/>
    <w:rsid w:val="00BA7C8F"/>
    <w:rsid w:val="00BB010C"/>
    <w:rsid w:val="00BB1059"/>
    <w:rsid w:val="00BB21DE"/>
    <w:rsid w:val="00BB28A0"/>
    <w:rsid w:val="00BB45E4"/>
    <w:rsid w:val="00BC257A"/>
    <w:rsid w:val="00BC2951"/>
    <w:rsid w:val="00BC597C"/>
    <w:rsid w:val="00BD2AD3"/>
    <w:rsid w:val="00BE1E0E"/>
    <w:rsid w:val="00BE2433"/>
    <w:rsid w:val="00BE601E"/>
    <w:rsid w:val="00BF7222"/>
    <w:rsid w:val="00C0107B"/>
    <w:rsid w:val="00C12817"/>
    <w:rsid w:val="00C22AC5"/>
    <w:rsid w:val="00C2350A"/>
    <w:rsid w:val="00C2639C"/>
    <w:rsid w:val="00C37DB6"/>
    <w:rsid w:val="00C40C4A"/>
    <w:rsid w:val="00C479CA"/>
    <w:rsid w:val="00C56CD8"/>
    <w:rsid w:val="00C671D5"/>
    <w:rsid w:val="00C72B19"/>
    <w:rsid w:val="00C73CB9"/>
    <w:rsid w:val="00C837C6"/>
    <w:rsid w:val="00C90CFB"/>
    <w:rsid w:val="00C91058"/>
    <w:rsid w:val="00C94FDB"/>
    <w:rsid w:val="00CA18F2"/>
    <w:rsid w:val="00CA387E"/>
    <w:rsid w:val="00CA3C75"/>
    <w:rsid w:val="00CA722C"/>
    <w:rsid w:val="00CA7E31"/>
    <w:rsid w:val="00CB1AEC"/>
    <w:rsid w:val="00CB280B"/>
    <w:rsid w:val="00CC2B03"/>
    <w:rsid w:val="00CC5E6A"/>
    <w:rsid w:val="00CD0AA0"/>
    <w:rsid w:val="00CE0D52"/>
    <w:rsid w:val="00CE1779"/>
    <w:rsid w:val="00CE4C6A"/>
    <w:rsid w:val="00CE69F9"/>
    <w:rsid w:val="00CF0C53"/>
    <w:rsid w:val="00CF7F5B"/>
    <w:rsid w:val="00D13884"/>
    <w:rsid w:val="00D23474"/>
    <w:rsid w:val="00D236B7"/>
    <w:rsid w:val="00D31E23"/>
    <w:rsid w:val="00D3532F"/>
    <w:rsid w:val="00D37332"/>
    <w:rsid w:val="00D45FBE"/>
    <w:rsid w:val="00D62583"/>
    <w:rsid w:val="00D63BBD"/>
    <w:rsid w:val="00D64E46"/>
    <w:rsid w:val="00D71CCE"/>
    <w:rsid w:val="00D7750C"/>
    <w:rsid w:val="00D924A3"/>
    <w:rsid w:val="00D93242"/>
    <w:rsid w:val="00D93EF8"/>
    <w:rsid w:val="00DA1028"/>
    <w:rsid w:val="00DA1479"/>
    <w:rsid w:val="00DA2996"/>
    <w:rsid w:val="00DB1493"/>
    <w:rsid w:val="00DB1BA0"/>
    <w:rsid w:val="00DB2CA2"/>
    <w:rsid w:val="00DB3033"/>
    <w:rsid w:val="00DB5012"/>
    <w:rsid w:val="00DB529C"/>
    <w:rsid w:val="00DC326E"/>
    <w:rsid w:val="00DC5F69"/>
    <w:rsid w:val="00DD0099"/>
    <w:rsid w:val="00DD4C02"/>
    <w:rsid w:val="00DF013D"/>
    <w:rsid w:val="00DF2B2A"/>
    <w:rsid w:val="00DF33DF"/>
    <w:rsid w:val="00E022FB"/>
    <w:rsid w:val="00E03BDD"/>
    <w:rsid w:val="00E03F4B"/>
    <w:rsid w:val="00E0644D"/>
    <w:rsid w:val="00E070AC"/>
    <w:rsid w:val="00E12A4B"/>
    <w:rsid w:val="00E151F8"/>
    <w:rsid w:val="00E1544B"/>
    <w:rsid w:val="00E217D3"/>
    <w:rsid w:val="00E2188A"/>
    <w:rsid w:val="00E23524"/>
    <w:rsid w:val="00E32137"/>
    <w:rsid w:val="00E41684"/>
    <w:rsid w:val="00E615C1"/>
    <w:rsid w:val="00E620CC"/>
    <w:rsid w:val="00E70B19"/>
    <w:rsid w:val="00E70B5C"/>
    <w:rsid w:val="00E7345E"/>
    <w:rsid w:val="00E76A61"/>
    <w:rsid w:val="00E83D83"/>
    <w:rsid w:val="00E843F1"/>
    <w:rsid w:val="00E84B85"/>
    <w:rsid w:val="00E9302A"/>
    <w:rsid w:val="00EA3C77"/>
    <w:rsid w:val="00EA491D"/>
    <w:rsid w:val="00EA504B"/>
    <w:rsid w:val="00EB0CF2"/>
    <w:rsid w:val="00EB59C5"/>
    <w:rsid w:val="00EC0AF6"/>
    <w:rsid w:val="00EC2225"/>
    <w:rsid w:val="00EC336A"/>
    <w:rsid w:val="00EC373F"/>
    <w:rsid w:val="00EC5D27"/>
    <w:rsid w:val="00ED1FF5"/>
    <w:rsid w:val="00ED242F"/>
    <w:rsid w:val="00EE45AF"/>
    <w:rsid w:val="00EF0D3B"/>
    <w:rsid w:val="00EF3D8A"/>
    <w:rsid w:val="00EF6492"/>
    <w:rsid w:val="00EF7BE2"/>
    <w:rsid w:val="00F015DC"/>
    <w:rsid w:val="00F02152"/>
    <w:rsid w:val="00F0555C"/>
    <w:rsid w:val="00F138A3"/>
    <w:rsid w:val="00F13DD2"/>
    <w:rsid w:val="00F1784E"/>
    <w:rsid w:val="00F244FC"/>
    <w:rsid w:val="00F25CB0"/>
    <w:rsid w:val="00F2668E"/>
    <w:rsid w:val="00F31BEC"/>
    <w:rsid w:val="00F326C0"/>
    <w:rsid w:val="00F37264"/>
    <w:rsid w:val="00F40DF8"/>
    <w:rsid w:val="00F45C35"/>
    <w:rsid w:val="00F46603"/>
    <w:rsid w:val="00F5273C"/>
    <w:rsid w:val="00F6333A"/>
    <w:rsid w:val="00F657F9"/>
    <w:rsid w:val="00F71FFF"/>
    <w:rsid w:val="00F7401D"/>
    <w:rsid w:val="00F779F4"/>
    <w:rsid w:val="00F83B14"/>
    <w:rsid w:val="00F84D33"/>
    <w:rsid w:val="00F96189"/>
    <w:rsid w:val="00FA2608"/>
    <w:rsid w:val="00FA6EC1"/>
    <w:rsid w:val="00FA79C2"/>
    <w:rsid w:val="00FB3AC7"/>
    <w:rsid w:val="00FC446D"/>
    <w:rsid w:val="00FC6C83"/>
    <w:rsid w:val="00FE0044"/>
    <w:rsid w:val="00FE38E5"/>
    <w:rsid w:val="00FF130A"/>
    <w:rsid w:val="00FF3519"/>
    <w:rsid w:val="00FF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table" w:styleId="Tablaconcuadrcula">
    <w:name w:val="Table Grid"/>
    <w:basedOn w:val="Tablanormal"/>
    <w:uiPriority w:val="39"/>
    <w:rsid w:val="0027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DA3"/>
    <w:rPr>
      <w:rFonts w:ascii="Tahoma" w:eastAsia="Calibri" w:hAnsi="Tahoma" w:cs="Tahoma"/>
      <w:sz w:val="16"/>
      <w:szCs w:val="16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lc-san-luis-herra/documents/manuales-basicos-de-organizac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4077-2632-4CFA-805E-B778341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3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OFI_INFORMACION</cp:lastModifiedBy>
  <cp:revision>198</cp:revision>
  <cp:lastPrinted>2019-09-09T21:59:00Z</cp:lastPrinted>
  <dcterms:created xsi:type="dcterms:W3CDTF">2018-03-15T16:43:00Z</dcterms:created>
  <dcterms:modified xsi:type="dcterms:W3CDTF">2019-11-13T19:11:00Z</dcterms:modified>
</cp:coreProperties>
</file>