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 xml:space="preserve">Nombre del Documento: DECRETO No. 91.- SE DECLARA PROHIBIDA LA PORTACION DE ARMAS DE FUEGO EN LOS MUNICIPIOS DE </w:t>
      </w:r>
      <w:bookmarkStart w:id="0" w:name="marca0"/>
      <w:r w:rsidRPr="00FA5F1B">
        <w:rPr>
          <w:rFonts w:ascii="Arial" w:eastAsia="Times New Roman" w:hAnsi="Arial" w:cs="Arial"/>
          <w:b/>
          <w:bCs/>
          <w:color w:val="FF0000"/>
          <w:sz w:val="20"/>
          <w:szCs w:val="20"/>
          <w:lang w:eastAsia="es-SV"/>
        </w:rPr>
        <w:t>SAN</w:t>
      </w:r>
      <w:bookmarkEnd w:id="0"/>
      <w:r w:rsidRPr="00FA5F1B">
        <w:rPr>
          <w:rFonts w:ascii="Arial" w:eastAsia="Times New Roman" w:hAnsi="Arial" w:cs="Arial"/>
          <w:b/>
          <w:bCs/>
          <w:sz w:val="20"/>
          <w:szCs w:val="20"/>
          <w:lang w:eastAsia="es-SV"/>
        </w:rPr>
        <w:t xml:space="preserve"> PEDRO MASAHUAT Y SAN </w:t>
      </w:r>
      <w:bookmarkStart w:id="1" w:name="marca1"/>
      <w:r w:rsidRPr="00FA5F1B">
        <w:rPr>
          <w:rFonts w:ascii="Arial" w:eastAsia="Times New Roman" w:hAnsi="Arial" w:cs="Arial"/>
          <w:b/>
          <w:bCs/>
          <w:color w:val="FF0000"/>
          <w:sz w:val="20"/>
          <w:szCs w:val="20"/>
          <w:lang w:eastAsia="es-SV"/>
        </w:rPr>
        <w:t>LUIS</w:t>
      </w:r>
      <w:bookmarkEnd w:id="1"/>
      <w:r w:rsidRPr="00FA5F1B">
        <w:rPr>
          <w:rFonts w:ascii="Arial" w:eastAsia="Times New Roman" w:hAnsi="Arial" w:cs="Arial"/>
          <w:b/>
          <w:bCs/>
          <w:sz w:val="20"/>
          <w:szCs w:val="20"/>
          <w:lang w:eastAsia="es-SV"/>
        </w:rPr>
        <w:t xml:space="preserve"> LA </w:t>
      </w:r>
      <w:bookmarkStart w:id="2" w:name="marca2"/>
      <w:r w:rsidRPr="00FA5F1B">
        <w:rPr>
          <w:rFonts w:ascii="Arial" w:eastAsia="Times New Roman" w:hAnsi="Arial" w:cs="Arial"/>
          <w:b/>
          <w:bCs/>
          <w:color w:val="FF0000"/>
          <w:sz w:val="20"/>
          <w:szCs w:val="20"/>
          <w:lang w:eastAsia="es-SV"/>
        </w:rPr>
        <w:t>HERRADURA</w:t>
      </w:r>
      <w:bookmarkEnd w:id="2"/>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»Fecha de emisión: 30/07/2008</w:t>
      </w:r>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»Tipo de Documento: Decretos</w:t>
      </w:r>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»Materia: Seguridad Pública y Privada</w:t>
      </w:r>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»Fecha de Publicación en el D.O.: 31/07/2008</w:t>
      </w:r>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»Número de Diario Oficial: 144</w:t>
      </w:r>
    </w:p>
    <w:p w:rsidR="00FA5F1B" w:rsidRPr="00FA5F1B" w:rsidRDefault="00FA5F1B" w:rsidP="00FA5F1B">
      <w:pPr>
        <w:spacing w:after="0" w:line="240" w:lineRule="auto"/>
        <w:rPr>
          <w:rFonts w:ascii="Calibri" w:eastAsia="Times New Roman" w:hAnsi="Calibri" w:cs="Times New Roman"/>
          <w:lang w:eastAsia="es-SV"/>
        </w:rPr>
      </w:pPr>
      <w:r w:rsidRPr="00FA5F1B">
        <w:rPr>
          <w:rFonts w:ascii="Arial" w:eastAsia="Times New Roman" w:hAnsi="Arial" w:cs="Arial"/>
          <w:b/>
          <w:bCs/>
          <w:sz w:val="20"/>
          <w:szCs w:val="20"/>
          <w:lang w:eastAsia="es-SV"/>
        </w:rPr>
        <w:t>»Vigencia: Vigente</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DECRETO No. 91.</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EL PRESIDENTE DE LA REPÚBLICA DE EL SALVADOR,</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 </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CONSIDERANDO:</w:t>
      </w:r>
    </w:p>
    <w:p w:rsidR="00FA5F1B" w:rsidRPr="00FA5F1B" w:rsidRDefault="00FA5F1B" w:rsidP="00B83783">
      <w:pPr>
        <w:spacing w:before="120" w:line="480" w:lineRule="auto"/>
        <w:ind w:left="720" w:hanging="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I.      Que mediante Decreto Legislativo No. 655, de fecha 1 de julio de 1999, publicado en el Diario Oficial No. 139, Tomo No. 344, del 26 de ese mismo mes y año, se emitió la Ley de Control y Regulación de Armas, Municiones, Explosivos y Artículos Similares;</w:t>
      </w:r>
    </w:p>
    <w:p w:rsidR="00FA5F1B" w:rsidRPr="00FA5F1B" w:rsidRDefault="00FA5F1B" w:rsidP="00B83783">
      <w:pPr>
        <w:spacing w:before="120" w:line="480" w:lineRule="auto"/>
        <w:ind w:left="720" w:hanging="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II.      Que mediante Decreto Legislativo No. 176, de fecha 7 de diciembre de 2006, publicado en el Diario Oficial No. 28, Tomo No. 374, del 12 de febrero de 2007, se emitieron reformas a la Ley a que alude el considerando anterior, en el sentido que el Presidente de la República, a solicitud del Ministro encargado de la Seguridad Pública, en coordinación con el Ministro de la Defensa Nacional, a través del respectivo Decreto Ejecutivo que se publicará en el Diario Oficial, podrá definir lugares y períodos en los que no se permitirá la portación de armas de fuego, previa opinión del Concejo Municipal del municipio a afectarse;</w:t>
      </w:r>
    </w:p>
    <w:p w:rsidR="00FA5F1B" w:rsidRPr="00FA5F1B" w:rsidRDefault="00FA5F1B" w:rsidP="00B83783">
      <w:pPr>
        <w:spacing w:before="120" w:line="480" w:lineRule="auto"/>
        <w:ind w:left="720" w:hanging="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III.     Que el Art. 62-A de la mencionada Ley, expresa que la decisión del Presidente de la República deberá basarse en los datos estadísticos de la Policía Nacional Civil, los cuales deberán señalar, al menos, una de las circunstancias siguientes: a) Aumento de los índices de criminalidad; b) Mayor incidencia en la utilización de armas de fuego para la comisión de delitos; c) Aumento en las detenciones por tenencia, portación o conducción ilegal de armas de fuego o de armas de guerra; d) Presencia de grupos delincuenciales en la zona o lugar; e) Datos sobre venta o tráfico ilegal de armas en la zona o lugar; y, f) Afluencia de personas en el lugar debido a actividades laborales, sociales, culturales, deportivas, religiosas o recreacionales;</w:t>
      </w:r>
    </w:p>
    <w:p w:rsidR="00B83783" w:rsidRPr="00B83783" w:rsidRDefault="00FA5F1B" w:rsidP="00B83783">
      <w:pPr>
        <w:spacing w:before="120" w:line="480" w:lineRule="auto"/>
        <w:ind w:left="720" w:hanging="360"/>
        <w:jc w:val="both"/>
        <w:rPr>
          <w:rFonts w:ascii="Calibri" w:eastAsia="Times New Roman" w:hAnsi="Calibri" w:cs="Times New Roman"/>
          <w:lang w:val="es-ES" w:eastAsia="es-SV"/>
        </w:rPr>
      </w:pPr>
      <w:r w:rsidRPr="00FA5F1B">
        <w:rPr>
          <w:rFonts w:ascii="Arial" w:eastAsia="Times New Roman" w:hAnsi="Arial" w:cs="Arial"/>
          <w:color w:val="000000"/>
          <w:sz w:val="16"/>
          <w:szCs w:val="16"/>
          <w:lang w:val="es-ES" w:eastAsia="es-SV"/>
        </w:rPr>
        <w:t xml:space="preserve">IV.    Que el Ministro de Seguridad Pública y Justicia ha tenido conocimiento de las solicitudes de los Concejos Municipales de </w:t>
      </w:r>
      <w:bookmarkStart w:id="3" w:name="marca3"/>
      <w:r w:rsidRPr="00FA5F1B">
        <w:rPr>
          <w:rFonts w:ascii="Arial" w:eastAsia="Times New Roman" w:hAnsi="Arial" w:cs="Arial"/>
          <w:b/>
          <w:bCs/>
          <w:color w:val="FF0000"/>
          <w:sz w:val="16"/>
          <w:szCs w:val="16"/>
          <w:lang w:val="es-ES" w:eastAsia="es-SV"/>
        </w:rPr>
        <w:t>San</w:t>
      </w:r>
      <w:bookmarkEnd w:id="3"/>
      <w:r w:rsidRPr="00FA5F1B">
        <w:rPr>
          <w:rFonts w:ascii="Arial" w:eastAsia="Times New Roman" w:hAnsi="Arial" w:cs="Arial"/>
          <w:color w:val="000000"/>
          <w:sz w:val="16"/>
          <w:szCs w:val="16"/>
          <w:lang w:val="es-ES" w:eastAsia="es-SV"/>
        </w:rPr>
        <w:t xml:space="preserve"> Pedro </w:t>
      </w:r>
      <w:proofErr w:type="spellStart"/>
      <w:r w:rsidRPr="00FA5F1B">
        <w:rPr>
          <w:rFonts w:ascii="Arial" w:eastAsia="Times New Roman" w:hAnsi="Arial" w:cs="Arial"/>
          <w:color w:val="000000"/>
          <w:sz w:val="16"/>
          <w:szCs w:val="16"/>
          <w:lang w:val="es-ES" w:eastAsia="es-SV"/>
        </w:rPr>
        <w:t>Masahuat</w:t>
      </w:r>
      <w:proofErr w:type="spellEnd"/>
      <w:r w:rsidRPr="00FA5F1B">
        <w:rPr>
          <w:rFonts w:ascii="Arial" w:eastAsia="Times New Roman" w:hAnsi="Arial" w:cs="Arial"/>
          <w:color w:val="000000"/>
          <w:sz w:val="16"/>
          <w:szCs w:val="16"/>
          <w:lang w:val="es-ES" w:eastAsia="es-SV"/>
        </w:rPr>
        <w:t xml:space="preserve"> y San </w:t>
      </w:r>
      <w:bookmarkStart w:id="4" w:name="marca4"/>
      <w:r w:rsidRPr="00FA5F1B">
        <w:rPr>
          <w:rFonts w:ascii="Arial" w:eastAsia="Times New Roman" w:hAnsi="Arial" w:cs="Arial"/>
          <w:b/>
          <w:bCs/>
          <w:color w:val="FF0000"/>
          <w:sz w:val="16"/>
          <w:szCs w:val="16"/>
          <w:lang w:val="es-ES" w:eastAsia="es-SV"/>
        </w:rPr>
        <w:t>Luis</w:t>
      </w:r>
      <w:bookmarkEnd w:id="4"/>
      <w:r w:rsidRPr="00FA5F1B">
        <w:rPr>
          <w:rFonts w:ascii="Arial" w:eastAsia="Times New Roman" w:hAnsi="Arial" w:cs="Arial"/>
          <w:color w:val="000000"/>
          <w:sz w:val="16"/>
          <w:szCs w:val="16"/>
          <w:lang w:val="es-ES" w:eastAsia="es-SV"/>
        </w:rPr>
        <w:t xml:space="preserve"> La </w:t>
      </w:r>
      <w:bookmarkStart w:id="5" w:name="marca5"/>
      <w:r w:rsidRPr="00FA5F1B">
        <w:rPr>
          <w:rFonts w:ascii="Arial" w:eastAsia="Times New Roman" w:hAnsi="Arial" w:cs="Arial"/>
          <w:b/>
          <w:bCs/>
          <w:color w:val="FF0000"/>
          <w:sz w:val="16"/>
          <w:szCs w:val="16"/>
          <w:lang w:val="es-ES" w:eastAsia="es-SV"/>
        </w:rPr>
        <w:t>Herradura</w:t>
      </w:r>
      <w:bookmarkEnd w:id="5"/>
      <w:r w:rsidRPr="00FA5F1B">
        <w:rPr>
          <w:rFonts w:ascii="Arial" w:eastAsia="Times New Roman" w:hAnsi="Arial" w:cs="Arial"/>
          <w:color w:val="000000"/>
          <w:sz w:val="16"/>
          <w:szCs w:val="16"/>
          <w:lang w:val="es-ES" w:eastAsia="es-SV"/>
        </w:rPr>
        <w:t>, en el sentido de prohibir la portación de armas de fuego en zonas específicas de sus respectivos municipios; ya que en los mismos se encuentran localizadas playas tales como, la Costa del Sol, así como muchos hoteles, restaurantes y lugares de diversión que en el período de vacaciones son frecuentados por considerable cantidad de turistas nacionales y extranjeros; consecuentemente, es necesario garantizar a las personas la seguridad y el sano esparcimiento en esos lugares, prohibiendo la portación de armas de fuego en zonas específicas de los municipios en mención.</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lastRenderedPageBreak/>
        <w:t>POR TANTO,</w:t>
      </w:r>
    </w:p>
    <w:p w:rsidR="00FA5F1B" w:rsidRPr="00FA5F1B" w:rsidRDefault="00B83783"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En</w:t>
      </w:r>
      <w:r w:rsidR="00FA5F1B" w:rsidRPr="00FA5F1B">
        <w:rPr>
          <w:rFonts w:ascii="Arial" w:eastAsia="Times New Roman" w:hAnsi="Arial" w:cs="Arial"/>
          <w:color w:val="000000"/>
          <w:sz w:val="16"/>
          <w:szCs w:val="16"/>
          <w:lang w:val="es-ES" w:eastAsia="es-SV"/>
        </w:rPr>
        <w:t xml:space="preserve"> uso de sus facultades constitucionales,</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DECRETA:</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 xml:space="preserve">        </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Art. 1.-</w:t>
      </w:r>
      <w:r w:rsidRPr="00FA5F1B">
        <w:rPr>
          <w:rFonts w:ascii="Arial" w:eastAsia="Times New Roman" w:hAnsi="Arial" w:cs="Arial"/>
          <w:color w:val="000000"/>
          <w:sz w:val="16"/>
          <w:szCs w:val="16"/>
          <w:lang w:val="es-ES" w:eastAsia="es-SV"/>
        </w:rPr>
        <w:t xml:space="preserve"> </w:t>
      </w:r>
      <w:proofErr w:type="spellStart"/>
      <w:r w:rsidRPr="00FA5F1B">
        <w:rPr>
          <w:rFonts w:ascii="Arial" w:eastAsia="Times New Roman" w:hAnsi="Arial" w:cs="Arial"/>
          <w:color w:val="000000"/>
          <w:sz w:val="16"/>
          <w:szCs w:val="16"/>
          <w:lang w:val="es-ES" w:eastAsia="es-SV"/>
        </w:rPr>
        <w:t>Declárase</w:t>
      </w:r>
      <w:proofErr w:type="spellEnd"/>
      <w:r w:rsidRPr="00FA5F1B">
        <w:rPr>
          <w:rFonts w:ascii="Arial" w:eastAsia="Times New Roman" w:hAnsi="Arial" w:cs="Arial"/>
          <w:color w:val="000000"/>
          <w:sz w:val="16"/>
          <w:szCs w:val="16"/>
          <w:lang w:val="es-ES" w:eastAsia="es-SV"/>
        </w:rPr>
        <w:t xml:space="preserve"> prohibida la portación de armas de fuego, en los lugares siguientes:</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xml:space="preserve">I.      En la Zona del municipio de San Pedro </w:t>
      </w:r>
      <w:proofErr w:type="spellStart"/>
      <w:r w:rsidRPr="00FA5F1B">
        <w:rPr>
          <w:rFonts w:ascii="Arial" w:eastAsia="Times New Roman" w:hAnsi="Arial" w:cs="Arial"/>
          <w:color w:val="000000"/>
          <w:sz w:val="16"/>
          <w:szCs w:val="16"/>
          <w:lang w:val="es-ES" w:eastAsia="es-SV"/>
        </w:rPr>
        <w:t>Masahuat</w:t>
      </w:r>
      <w:proofErr w:type="spellEnd"/>
      <w:r w:rsidRPr="00FA5F1B">
        <w:rPr>
          <w:rFonts w:ascii="Arial" w:eastAsia="Times New Roman" w:hAnsi="Arial" w:cs="Arial"/>
          <w:color w:val="000000"/>
          <w:sz w:val="16"/>
          <w:szCs w:val="16"/>
          <w:lang w:val="es-ES" w:eastAsia="es-SV"/>
        </w:rPr>
        <w:t>, cuya delimitación es: Desde el kilómetro cuarenta y seis de la carretera que conduce a la Costa del Sol hasta el kilómetro sesenta y uno y medio del Boulevard Costa del Sol y desde el Cantón Las Flores, Hacienda Astoria, hasta 'la playa Las Hojas, así como sus playas que corresponden al Océano Pacífico, jurisdicción de ese Municipio.</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xml:space="preserve">II.      En la Zona del municipio de </w:t>
      </w:r>
      <w:bookmarkStart w:id="6" w:name="marca6"/>
      <w:r w:rsidRPr="00FA5F1B">
        <w:rPr>
          <w:rFonts w:ascii="Arial" w:eastAsia="Times New Roman" w:hAnsi="Arial" w:cs="Arial"/>
          <w:b/>
          <w:bCs/>
          <w:color w:val="FF0000"/>
          <w:sz w:val="16"/>
          <w:szCs w:val="16"/>
          <w:lang w:val="es-ES" w:eastAsia="es-SV"/>
        </w:rPr>
        <w:t>San</w:t>
      </w:r>
      <w:bookmarkEnd w:id="6"/>
      <w:r w:rsidRPr="00FA5F1B">
        <w:rPr>
          <w:rFonts w:ascii="Arial" w:eastAsia="Times New Roman" w:hAnsi="Arial" w:cs="Arial"/>
          <w:color w:val="000000"/>
          <w:sz w:val="16"/>
          <w:szCs w:val="16"/>
          <w:lang w:val="es-ES" w:eastAsia="es-SV"/>
        </w:rPr>
        <w:t xml:space="preserve"> </w:t>
      </w:r>
      <w:bookmarkStart w:id="7" w:name="marca7"/>
      <w:r w:rsidRPr="00FA5F1B">
        <w:rPr>
          <w:rFonts w:ascii="Arial" w:eastAsia="Times New Roman" w:hAnsi="Arial" w:cs="Arial"/>
          <w:b/>
          <w:bCs/>
          <w:color w:val="FF0000"/>
          <w:sz w:val="16"/>
          <w:szCs w:val="16"/>
          <w:lang w:val="es-ES" w:eastAsia="es-SV"/>
        </w:rPr>
        <w:t>Luis</w:t>
      </w:r>
      <w:bookmarkEnd w:id="7"/>
      <w:r w:rsidRPr="00FA5F1B">
        <w:rPr>
          <w:rFonts w:ascii="Arial" w:eastAsia="Times New Roman" w:hAnsi="Arial" w:cs="Arial"/>
          <w:color w:val="000000"/>
          <w:sz w:val="16"/>
          <w:szCs w:val="16"/>
          <w:lang w:val="es-ES" w:eastAsia="es-SV"/>
        </w:rPr>
        <w:t xml:space="preserve"> La </w:t>
      </w:r>
      <w:bookmarkStart w:id="8" w:name="marca8"/>
      <w:r w:rsidRPr="00FA5F1B">
        <w:rPr>
          <w:rFonts w:ascii="Arial" w:eastAsia="Times New Roman" w:hAnsi="Arial" w:cs="Arial"/>
          <w:b/>
          <w:bCs/>
          <w:color w:val="FF0000"/>
          <w:sz w:val="16"/>
          <w:szCs w:val="16"/>
          <w:lang w:val="es-ES" w:eastAsia="es-SV"/>
        </w:rPr>
        <w:t>Herradura</w:t>
      </w:r>
      <w:bookmarkEnd w:id="8"/>
      <w:r w:rsidRPr="00FA5F1B">
        <w:rPr>
          <w:rFonts w:ascii="Arial" w:eastAsia="Times New Roman" w:hAnsi="Arial" w:cs="Arial"/>
          <w:color w:val="000000"/>
          <w:sz w:val="16"/>
          <w:szCs w:val="16"/>
          <w:lang w:val="es-ES" w:eastAsia="es-SV"/>
        </w:rPr>
        <w:t xml:space="preserve">, cuya delimitación es: Desde el kilómetro sesenta y uno y medio del Boulevard Costa del Sol hasta el lugar conocido como La Puntilla del Cantón El Zapote, así como también, las playas que corresponden al Océano Pacífico, esteros y centros turísticos de ese municipio, además, la zona comprendida desde el kilómetro cincuenta y ocho y medio de la carretera principal de </w:t>
      </w:r>
      <w:bookmarkStart w:id="9" w:name="marca9"/>
      <w:r w:rsidRPr="00FA5F1B">
        <w:rPr>
          <w:rFonts w:ascii="Arial" w:eastAsia="Times New Roman" w:hAnsi="Arial" w:cs="Arial"/>
          <w:b/>
          <w:bCs/>
          <w:color w:val="FF0000"/>
          <w:sz w:val="16"/>
          <w:szCs w:val="16"/>
          <w:lang w:val="es-ES" w:eastAsia="es-SV"/>
        </w:rPr>
        <w:t>San</w:t>
      </w:r>
      <w:bookmarkEnd w:id="9"/>
      <w:r w:rsidRPr="00FA5F1B">
        <w:rPr>
          <w:rFonts w:ascii="Arial" w:eastAsia="Times New Roman" w:hAnsi="Arial" w:cs="Arial"/>
          <w:color w:val="000000"/>
          <w:sz w:val="16"/>
          <w:szCs w:val="16"/>
          <w:lang w:val="es-ES" w:eastAsia="es-SV"/>
        </w:rPr>
        <w:t xml:space="preserve"> </w:t>
      </w:r>
      <w:bookmarkStart w:id="10" w:name="marca10"/>
      <w:r w:rsidRPr="00FA5F1B">
        <w:rPr>
          <w:rFonts w:ascii="Arial" w:eastAsia="Times New Roman" w:hAnsi="Arial" w:cs="Arial"/>
          <w:b/>
          <w:bCs/>
          <w:color w:val="FF0000"/>
          <w:sz w:val="16"/>
          <w:szCs w:val="16"/>
          <w:lang w:val="es-ES" w:eastAsia="es-SV"/>
        </w:rPr>
        <w:t>Luis</w:t>
      </w:r>
      <w:bookmarkEnd w:id="10"/>
      <w:r w:rsidRPr="00FA5F1B">
        <w:rPr>
          <w:rFonts w:ascii="Arial" w:eastAsia="Times New Roman" w:hAnsi="Arial" w:cs="Arial"/>
          <w:color w:val="000000"/>
          <w:sz w:val="16"/>
          <w:szCs w:val="16"/>
          <w:lang w:val="es-ES" w:eastAsia="es-SV"/>
        </w:rPr>
        <w:t xml:space="preserve"> La </w:t>
      </w:r>
      <w:bookmarkStart w:id="11" w:name="marca11"/>
      <w:r w:rsidRPr="00FA5F1B">
        <w:rPr>
          <w:rFonts w:ascii="Arial" w:eastAsia="Times New Roman" w:hAnsi="Arial" w:cs="Arial"/>
          <w:b/>
          <w:bCs/>
          <w:color w:val="FF0000"/>
          <w:sz w:val="16"/>
          <w:szCs w:val="16"/>
          <w:lang w:val="es-ES" w:eastAsia="es-SV"/>
        </w:rPr>
        <w:t>Herradura</w:t>
      </w:r>
      <w:bookmarkEnd w:id="11"/>
      <w:r w:rsidRPr="00FA5F1B">
        <w:rPr>
          <w:rFonts w:ascii="Arial" w:eastAsia="Times New Roman" w:hAnsi="Arial" w:cs="Arial"/>
          <w:color w:val="000000"/>
          <w:sz w:val="16"/>
          <w:szCs w:val="16"/>
          <w:lang w:val="es-ES" w:eastAsia="es-SV"/>
        </w:rPr>
        <w:t>, hasta el muelle turístico municipal de esa población.</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Art. 2.-</w:t>
      </w:r>
      <w:r w:rsidRPr="00FA5F1B">
        <w:rPr>
          <w:rFonts w:ascii="Arial" w:eastAsia="Times New Roman" w:hAnsi="Arial" w:cs="Arial"/>
          <w:color w:val="000000"/>
          <w:sz w:val="16"/>
          <w:szCs w:val="16"/>
          <w:lang w:val="es-ES" w:eastAsia="es-SV"/>
        </w:rPr>
        <w:t xml:space="preserve"> La prohibición a que se refiere el presente Decreto se aplicará las veinticuatro horas del día.</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Art. 3.-</w:t>
      </w:r>
      <w:r w:rsidRPr="00FA5F1B">
        <w:rPr>
          <w:rFonts w:ascii="Arial" w:eastAsia="Times New Roman" w:hAnsi="Arial" w:cs="Arial"/>
          <w:color w:val="000000"/>
          <w:sz w:val="16"/>
          <w:szCs w:val="16"/>
          <w:lang w:val="es-ES" w:eastAsia="es-SV"/>
        </w:rPr>
        <w:t xml:space="preserve"> La prohibición no es aplicable a las personas mencionadas en el inciso quinto del Art. 62 de la Ley de Control y Regulación de Armas, Municiones, Explosivos y Artículos Similares.</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Art. 4.-</w:t>
      </w:r>
      <w:r w:rsidRPr="00FA5F1B">
        <w:rPr>
          <w:rFonts w:ascii="Arial" w:eastAsia="Times New Roman" w:hAnsi="Arial" w:cs="Arial"/>
          <w:color w:val="000000"/>
          <w:sz w:val="16"/>
          <w:szCs w:val="16"/>
          <w:lang w:val="es-ES" w:eastAsia="es-SV"/>
        </w:rPr>
        <w:t xml:space="preserve"> El presente Decreto entrará en vigencia a partir del día de su publicación en el Diario Oficial y sus efectos durarán treinta días.</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spacing w:before="120" w:line="240" w:lineRule="atLeast"/>
        <w:ind w:firstLine="360"/>
        <w:jc w:val="both"/>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DADO EN CASA PRESIDENCIAL:</w:t>
      </w:r>
      <w:r w:rsidRPr="00FA5F1B">
        <w:rPr>
          <w:rFonts w:ascii="Arial" w:eastAsia="Times New Roman" w:hAnsi="Arial" w:cs="Arial"/>
          <w:color w:val="000000"/>
          <w:sz w:val="16"/>
          <w:szCs w:val="16"/>
          <w:lang w:val="es-ES" w:eastAsia="es-SV"/>
        </w:rPr>
        <w:t xml:space="preserve"> San Salvador, a los treinta días del mes de julio de dos mil ocho.</w:t>
      </w:r>
    </w:p>
    <w:p w:rsidR="00FA5F1B" w:rsidRPr="00FA5F1B" w:rsidRDefault="00FA5F1B" w:rsidP="00FA5F1B">
      <w:pP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ELÍAS ANTONIO SACA GONZÁLEZ,</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Presidente de la República.</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RENÉ MARIO FIGUEROA FIGUEROA,</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Ministro de Seguridad Pública y Justicia.</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color w:val="000000"/>
          <w:sz w:val="16"/>
          <w:szCs w:val="16"/>
          <w:lang w:val="es-ES" w:eastAsia="es-SV"/>
        </w:rPr>
        <w:t> </w:t>
      </w:r>
    </w:p>
    <w:p w:rsidR="00FA5F1B" w:rsidRPr="00FA5F1B" w:rsidRDefault="00FA5F1B" w:rsidP="00FA5F1B">
      <w:pPr>
        <w:jc w:val="center"/>
        <w:rPr>
          <w:rFonts w:ascii="Calibri" w:eastAsia="Times New Roman" w:hAnsi="Calibri" w:cs="Times New Roman"/>
          <w:lang w:eastAsia="es-SV"/>
        </w:rPr>
      </w:pPr>
      <w:r w:rsidRPr="00FA5F1B">
        <w:rPr>
          <w:rFonts w:ascii="Arial" w:eastAsia="Times New Roman" w:hAnsi="Arial" w:cs="Arial"/>
          <w:b/>
          <w:bCs/>
          <w:color w:val="000000"/>
          <w:sz w:val="16"/>
          <w:szCs w:val="16"/>
          <w:lang w:val="es-ES" w:eastAsia="es-SV"/>
        </w:rPr>
        <w:t>JORGE ALBERTO MOLINA CONTRERAS,</w:t>
      </w:r>
    </w:p>
    <w:p w:rsidR="0010744F" w:rsidRPr="00B83783" w:rsidRDefault="00FA5F1B" w:rsidP="00B83783">
      <w:pPr>
        <w:jc w:val="center"/>
        <w:rPr>
          <w:rFonts w:ascii="Calibri" w:eastAsia="Times New Roman" w:hAnsi="Calibri" w:cs="Times New Roman"/>
          <w:lang w:val="es-ES" w:eastAsia="es-SV"/>
        </w:rPr>
      </w:pPr>
      <w:r w:rsidRPr="00FA5F1B">
        <w:rPr>
          <w:rFonts w:ascii="Arial" w:eastAsia="Times New Roman" w:hAnsi="Arial" w:cs="Arial"/>
          <w:color w:val="000000"/>
          <w:sz w:val="16"/>
          <w:szCs w:val="16"/>
          <w:lang w:val="es-ES" w:eastAsia="es-SV"/>
        </w:rPr>
        <w:t>Ministro de la Defensa Nacional.</w:t>
      </w:r>
    </w:p>
    <w:sectPr w:rsidR="0010744F" w:rsidRPr="00B83783" w:rsidSect="0010744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5F1B"/>
    <w:rsid w:val="0010744F"/>
    <w:rsid w:val="00487D7C"/>
    <w:rsid w:val="009A41E8"/>
    <w:rsid w:val="00B83783"/>
    <w:rsid w:val="00FA5F1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06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3905</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dc:creator>
  <cp:lastModifiedBy>OFI_INFORMACION</cp:lastModifiedBy>
  <cp:revision>3</cp:revision>
  <dcterms:created xsi:type="dcterms:W3CDTF">2018-06-15T15:13:00Z</dcterms:created>
  <dcterms:modified xsi:type="dcterms:W3CDTF">2019-08-09T17:28:00Z</dcterms:modified>
</cp:coreProperties>
</file>