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DCB" w:rsidRPr="00305DCB" w:rsidRDefault="00305DCB" w:rsidP="00305DCB">
      <w:pPr>
        <w:spacing w:after="0" w:line="240" w:lineRule="auto"/>
        <w:rPr>
          <w:rFonts w:ascii="Calibri" w:eastAsia="Times New Roman" w:hAnsi="Calibri" w:cs="Times New Roman"/>
          <w:lang w:eastAsia="es-SV"/>
        </w:rPr>
      </w:pPr>
      <w:r w:rsidRPr="00305DCB">
        <w:rPr>
          <w:rFonts w:ascii="Arial" w:eastAsia="Times New Roman" w:hAnsi="Arial" w:cs="Arial"/>
          <w:b/>
          <w:bCs/>
          <w:sz w:val="20"/>
          <w:szCs w:val="20"/>
          <w:lang w:eastAsia="es-SV"/>
        </w:rPr>
        <w:t xml:space="preserve">Nombre del Documento: LEY DE IMPUESTOS A LA ACTIVIDAD ECONOMICA DEL MUNICIPIO DE </w:t>
      </w:r>
      <w:bookmarkStart w:id="0" w:name="marca0"/>
      <w:r w:rsidRPr="00305DCB">
        <w:rPr>
          <w:rFonts w:ascii="Arial" w:eastAsia="Times New Roman" w:hAnsi="Arial" w:cs="Arial"/>
          <w:b/>
          <w:bCs/>
          <w:color w:val="FF0000"/>
          <w:sz w:val="20"/>
          <w:szCs w:val="20"/>
          <w:lang w:eastAsia="es-SV"/>
        </w:rPr>
        <w:t>SAN</w:t>
      </w:r>
      <w:bookmarkEnd w:id="0"/>
      <w:r w:rsidRPr="00305DCB">
        <w:rPr>
          <w:rFonts w:ascii="Arial" w:eastAsia="Times New Roman" w:hAnsi="Arial" w:cs="Arial"/>
          <w:b/>
          <w:bCs/>
          <w:sz w:val="20"/>
          <w:szCs w:val="20"/>
          <w:lang w:eastAsia="es-SV"/>
        </w:rPr>
        <w:t xml:space="preserve"> </w:t>
      </w:r>
      <w:bookmarkStart w:id="1" w:name="marca1"/>
      <w:r w:rsidRPr="00305DCB">
        <w:rPr>
          <w:rFonts w:ascii="Arial" w:eastAsia="Times New Roman" w:hAnsi="Arial" w:cs="Arial"/>
          <w:b/>
          <w:bCs/>
          <w:color w:val="FF0000"/>
          <w:sz w:val="20"/>
          <w:szCs w:val="20"/>
          <w:lang w:eastAsia="es-SV"/>
        </w:rPr>
        <w:t>LUIS</w:t>
      </w:r>
      <w:bookmarkEnd w:id="1"/>
      <w:r w:rsidRPr="00305DCB">
        <w:rPr>
          <w:rFonts w:ascii="Arial" w:eastAsia="Times New Roman" w:hAnsi="Arial" w:cs="Arial"/>
          <w:b/>
          <w:bCs/>
          <w:sz w:val="20"/>
          <w:szCs w:val="20"/>
          <w:lang w:eastAsia="es-SV"/>
        </w:rPr>
        <w:t xml:space="preserve"> LA </w:t>
      </w:r>
      <w:bookmarkStart w:id="2" w:name="marca2"/>
      <w:r w:rsidRPr="00305DCB">
        <w:rPr>
          <w:rFonts w:ascii="Arial" w:eastAsia="Times New Roman" w:hAnsi="Arial" w:cs="Arial"/>
          <w:b/>
          <w:bCs/>
          <w:color w:val="FF0000"/>
          <w:sz w:val="20"/>
          <w:szCs w:val="20"/>
          <w:lang w:eastAsia="es-SV"/>
        </w:rPr>
        <w:t>HERRADURA</w:t>
      </w:r>
      <w:bookmarkEnd w:id="2"/>
      <w:r w:rsidRPr="00305DCB">
        <w:rPr>
          <w:rFonts w:ascii="Arial" w:eastAsia="Times New Roman" w:hAnsi="Arial" w:cs="Arial"/>
          <w:b/>
          <w:bCs/>
          <w:sz w:val="20"/>
          <w:szCs w:val="20"/>
          <w:lang w:eastAsia="es-SV"/>
        </w:rPr>
        <w:t>, DEPARTAMENTO DE LA PAZ</w:t>
      </w:r>
    </w:p>
    <w:p w:rsidR="00305DCB" w:rsidRPr="00305DCB" w:rsidRDefault="00305DCB" w:rsidP="00305DCB">
      <w:pPr>
        <w:spacing w:after="0" w:line="240" w:lineRule="auto"/>
        <w:rPr>
          <w:rFonts w:ascii="Calibri" w:eastAsia="Times New Roman" w:hAnsi="Calibri" w:cs="Times New Roman"/>
          <w:lang w:eastAsia="es-SV"/>
        </w:rPr>
      </w:pPr>
      <w:r w:rsidRPr="00305DCB">
        <w:rPr>
          <w:rFonts w:ascii="Arial" w:eastAsia="Times New Roman" w:hAnsi="Arial" w:cs="Arial"/>
          <w:b/>
          <w:bCs/>
          <w:sz w:val="20"/>
          <w:szCs w:val="20"/>
          <w:lang w:eastAsia="es-SV"/>
        </w:rPr>
        <w:t>»Fecha de emisión: 14/01/2010</w:t>
      </w:r>
    </w:p>
    <w:p w:rsidR="00305DCB" w:rsidRPr="00305DCB" w:rsidRDefault="00305DCB" w:rsidP="00305DCB">
      <w:pPr>
        <w:spacing w:after="0" w:line="240" w:lineRule="auto"/>
        <w:rPr>
          <w:rFonts w:ascii="Calibri" w:eastAsia="Times New Roman" w:hAnsi="Calibri" w:cs="Times New Roman"/>
          <w:lang w:eastAsia="es-SV"/>
        </w:rPr>
      </w:pPr>
      <w:r w:rsidRPr="00305DCB">
        <w:rPr>
          <w:rFonts w:ascii="Arial" w:eastAsia="Times New Roman" w:hAnsi="Arial" w:cs="Arial"/>
          <w:b/>
          <w:bCs/>
          <w:sz w:val="20"/>
          <w:szCs w:val="20"/>
          <w:lang w:eastAsia="es-SV"/>
        </w:rPr>
        <w:t>»Tipo de Documento: Decretos Legislativos</w:t>
      </w:r>
    </w:p>
    <w:p w:rsidR="00305DCB" w:rsidRPr="00305DCB" w:rsidRDefault="00305DCB" w:rsidP="00305DCB">
      <w:pPr>
        <w:spacing w:after="0" w:line="240" w:lineRule="auto"/>
        <w:rPr>
          <w:rFonts w:ascii="Calibri" w:eastAsia="Times New Roman" w:hAnsi="Calibri" w:cs="Times New Roman"/>
          <w:lang w:eastAsia="es-SV"/>
        </w:rPr>
      </w:pPr>
      <w:r w:rsidRPr="00305DCB">
        <w:rPr>
          <w:rFonts w:ascii="Arial" w:eastAsia="Times New Roman" w:hAnsi="Arial" w:cs="Arial"/>
          <w:b/>
          <w:bCs/>
          <w:sz w:val="20"/>
          <w:szCs w:val="20"/>
          <w:lang w:eastAsia="es-SV"/>
        </w:rPr>
        <w:t>»Materia: Tributaria</w:t>
      </w:r>
    </w:p>
    <w:p w:rsidR="00305DCB" w:rsidRPr="00305DCB" w:rsidRDefault="00305DCB" w:rsidP="00305DCB">
      <w:pPr>
        <w:spacing w:after="0" w:line="240" w:lineRule="auto"/>
        <w:rPr>
          <w:rFonts w:ascii="Calibri" w:eastAsia="Times New Roman" w:hAnsi="Calibri" w:cs="Times New Roman"/>
          <w:lang w:eastAsia="es-SV"/>
        </w:rPr>
      </w:pPr>
      <w:r w:rsidRPr="00305DCB">
        <w:rPr>
          <w:rFonts w:ascii="Arial" w:eastAsia="Times New Roman" w:hAnsi="Arial" w:cs="Arial"/>
          <w:b/>
          <w:bCs/>
          <w:sz w:val="20"/>
          <w:szCs w:val="20"/>
          <w:lang w:eastAsia="es-SV"/>
        </w:rPr>
        <w:t>»Fecha de Publicación en el D.O.: 15/02/2010</w:t>
      </w:r>
    </w:p>
    <w:p w:rsidR="00305DCB" w:rsidRPr="00305DCB" w:rsidRDefault="00305DCB" w:rsidP="00305DCB">
      <w:pPr>
        <w:spacing w:after="0" w:line="240" w:lineRule="auto"/>
        <w:rPr>
          <w:rFonts w:ascii="Calibri" w:eastAsia="Times New Roman" w:hAnsi="Calibri" w:cs="Times New Roman"/>
          <w:lang w:eastAsia="es-SV"/>
        </w:rPr>
      </w:pPr>
      <w:r w:rsidRPr="00305DCB">
        <w:rPr>
          <w:rFonts w:ascii="Arial" w:eastAsia="Times New Roman" w:hAnsi="Arial" w:cs="Arial"/>
          <w:b/>
          <w:bCs/>
          <w:sz w:val="20"/>
          <w:szCs w:val="20"/>
          <w:lang w:eastAsia="es-SV"/>
        </w:rPr>
        <w:t>»Número de Diario Oficial: 31</w:t>
      </w:r>
    </w:p>
    <w:p w:rsidR="00305DCB" w:rsidRPr="00305DCB" w:rsidRDefault="00305DCB" w:rsidP="00305DCB">
      <w:pPr>
        <w:spacing w:after="0" w:line="240" w:lineRule="auto"/>
        <w:rPr>
          <w:rFonts w:ascii="Calibri" w:eastAsia="Times New Roman" w:hAnsi="Calibri" w:cs="Times New Roman"/>
          <w:lang w:eastAsia="es-SV"/>
        </w:rPr>
      </w:pPr>
      <w:r w:rsidRPr="00305DCB">
        <w:rPr>
          <w:rFonts w:ascii="Arial" w:eastAsia="Times New Roman" w:hAnsi="Arial" w:cs="Arial"/>
          <w:b/>
          <w:bCs/>
          <w:sz w:val="20"/>
          <w:szCs w:val="20"/>
          <w:lang w:eastAsia="es-SV"/>
        </w:rPr>
        <w:t>»Vigencia: Vigente</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DECRETO N° 244</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LA ASAMBLEA LEGISLATIVA DE LA REPÚBLICA DE EL SALVADOR,</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CONSIDERANDO: -</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I.      Que en los artículos 133 numeral 4, 203 inciso 1° y 204 numeral 6 de la Constitución de la República y Art. 2 de la Ley General Tributaria Municipal, se establecen los principios generales para que los municipios ejerciten su iniciativa de Ley, elaborando así su tarifa de impuestos y proponiéndola a consideración de este Órgano de Estado.</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II.     Que de conformidad a la Ley General Tributaria Municipal, los impuestos municipales deberán fundamentarse en la capacidad económica de los contribuyentes y en los principios de generalidad, igualdad, equitativa distribución de la carga tributaria y de no confiscación.</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xml:space="preserve">III.    Que la Tarifa de Arbitrios del Municipio de </w:t>
      </w:r>
      <w:bookmarkStart w:id="3" w:name="marca3"/>
      <w:r w:rsidRPr="00305DCB">
        <w:rPr>
          <w:rFonts w:ascii="Arial" w:eastAsia="Times New Roman" w:hAnsi="Arial" w:cs="Arial"/>
          <w:b/>
          <w:bCs/>
          <w:color w:val="FF0000"/>
          <w:sz w:val="18"/>
          <w:szCs w:val="18"/>
          <w:lang w:val="es-ES" w:eastAsia="es-SV"/>
        </w:rPr>
        <w:t>San</w:t>
      </w:r>
      <w:bookmarkEnd w:id="3"/>
      <w:r w:rsidRPr="00305DCB">
        <w:rPr>
          <w:rFonts w:ascii="Arial" w:eastAsia="Times New Roman" w:hAnsi="Arial" w:cs="Arial"/>
          <w:color w:val="000000"/>
          <w:sz w:val="18"/>
          <w:szCs w:val="18"/>
          <w:lang w:val="es-ES" w:eastAsia="es-SV"/>
        </w:rPr>
        <w:t xml:space="preserve"> </w:t>
      </w:r>
      <w:bookmarkStart w:id="4" w:name="marca4"/>
      <w:r w:rsidRPr="00305DCB">
        <w:rPr>
          <w:rFonts w:ascii="Arial" w:eastAsia="Times New Roman" w:hAnsi="Arial" w:cs="Arial"/>
          <w:b/>
          <w:bCs/>
          <w:color w:val="FF0000"/>
          <w:sz w:val="18"/>
          <w:szCs w:val="18"/>
          <w:lang w:val="es-ES" w:eastAsia="es-SV"/>
        </w:rPr>
        <w:t>Luis</w:t>
      </w:r>
      <w:bookmarkEnd w:id="4"/>
      <w:r w:rsidRPr="00305DCB">
        <w:rPr>
          <w:rFonts w:ascii="Arial" w:eastAsia="Times New Roman" w:hAnsi="Arial" w:cs="Arial"/>
          <w:color w:val="000000"/>
          <w:sz w:val="18"/>
          <w:szCs w:val="18"/>
          <w:lang w:val="es-ES" w:eastAsia="es-SV"/>
        </w:rPr>
        <w:t xml:space="preserve"> La </w:t>
      </w:r>
      <w:bookmarkStart w:id="5" w:name="marca5"/>
      <w:r w:rsidRPr="00305DCB">
        <w:rPr>
          <w:rFonts w:ascii="Arial" w:eastAsia="Times New Roman" w:hAnsi="Arial" w:cs="Arial"/>
          <w:b/>
          <w:bCs/>
          <w:color w:val="FF0000"/>
          <w:sz w:val="18"/>
          <w:szCs w:val="18"/>
          <w:lang w:val="es-ES" w:eastAsia="es-SV"/>
        </w:rPr>
        <w:t>Herradura</w:t>
      </w:r>
      <w:bookmarkEnd w:id="5"/>
      <w:r w:rsidRPr="00305DCB">
        <w:rPr>
          <w:rFonts w:ascii="Arial" w:eastAsia="Times New Roman" w:hAnsi="Arial" w:cs="Arial"/>
          <w:color w:val="000000"/>
          <w:sz w:val="18"/>
          <w:szCs w:val="18"/>
          <w:lang w:val="es-ES" w:eastAsia="es-SV"/>
        </w:rPr>
        <w:t xml:space="preserve"> y sus reformas vigentes, contienen tributos que ya no responden a las necesidades actuales del municipio, por lo que es conveniente modificar dicha tarifa.</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xml:space="preserve">IV.    Que es conveniente a los intereses del Municipio de </w:t>
      </w:r>
      <w:bookmarkStart w:id="6" w:name="marca6"/>
      <w:r w:rsidRPr="00305DCB">
        <w:rPr>
          <w:rFonts w:ascii="Arial" w:eastAsia="Times New Roman" w:hAnsi="Arial" w:cs="Arial"/>
          <w:b/>
          <w:bCs/>
          <w:color w:val="FF0000"/>
          <w:sz w:val="18"/>
          <w:szCs w:val="18"/>
          <w:lang w:val="es-ES" w:eastAsia="es-SV"/>
        </w:rPr>
        <w:t>San</w:t>
      </w:r>
      <w:bookmarkEnd w:id="6"/>
      <w:r w:rsidRPr="00305DCB">
        <w:rPr>
          <w:rFonts w:ascii="Arial" w:eastAsia="Times New Roman" w:hAnsi="Arial" w:cs="Arial"/>
          <w:color w:val="000000"/>
          <w:sz w:val="18"/>
          <w:szCs w:val="18"/>
          <w:lang w:val="es-ES" w:eastAsia="es-SV"/>
        </w:rPr>
        <w:t xml:space="preserve"> </w:t>
      </w:r>
      <w:bookmarkStart w:id="7" w:name="marca7"/>
      <w:r w:rsidRPr="00305DCB">
        <w:rPr>
          <w:rFonts w:ascii="Arial" w:eastAsia="Times New Roman" w:hAnsi="Arial" w:cs="Arial"/>
          <w:b/>
          <w:bCs/>
          <w:color w:val="FF0000"/>
          <w:sz w:val="18"/>
          <w:szCs w:val="18"/>
          <w:lang w:val="es-ES" w:eastAsia="es-SV"/>
        </w:rPr>
        <w:t>Luis</w:t>
      </w:r>
      <w:bookmarkEnd w:id="7"/>
      <w:r w:rsidRPr="00305DCB">
        <w:rPr>
          <w:rFonts w:ascii="Arial" w:eastAsia="Times New Roman" w:hAnsi="Arial" w:cs="Arial"/>
          <w:color w:val="000000"/>
          <w:sz w:val="18"/>
          <w:szCs w:val="18"/>
          <w:lang w:val="es-ES" w:eastAsia="es-SV"/>
        </w:rPr>
        <w:t xml:space="preserve"> La </w:t>
      </w:r>
      <w:bookmarkStart w:id="8" w:name="marca8"/>
      <w:r w:rsidRPr="00305DCB">
        <w:rPr>
          <w:rFonts w:ascii="Arial" w:eastAsia="Times New Roman" w:hAnsi="Arial" w:cs="Arial"/>
          <w:b/>
          <w:bCs/>
          <w:color w:val="FF0000"/>
          <w:sz w:val="18"/>
          <w:szCs w:val="18"/>
          <w:lang w:val="es-ES" w:eastAsia="es-SV"/>
        </w:rPr>
        <w:t>Herradura</w:t>
      </w:r>
      <w:bookmarkEnd w:id="8"/>
      <w:r w:rsidRPr="00305DCB">
        <w:rPr>
          <w:rFonts w:ascii="Arial" w:eastAsia="Times New Roman" w:hAnsi="Arial" w:cs="Arial"/>
          <w:color w:val="000000"/>
          <w:sz w:val="18"/>
          <w:szCs w:val="18"/>
          <w:lang w:val="es-ES" w:eastAsia="es-SV"/>
        </w:rPr>
        <w:t>, Departamento de La Paz, decretar una nueva Ley que actualice la tarifa de impuestos vigente, a fin de obtener una mejor recaudación proveniente de la aplicación de dicha Ley, para beneficio de sus ciudadanos contribuyendo así al desarrollo local.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POR TANTO,</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xml:space="preserve">        </w:t>
      </w:r>
      <w:r w:rsidR="00941A08" w:rsidRPr="00305DCB">
        <w:rPr>
          <w:rFonts w:ascii="Arial" w:eastAsia="Times New Roman" w:hAnsi="Arial" w:cs="Arial"/>
          <w:color w:val="000000"/>
          <w:sz w:val="18"/>
          <w:szCs w:val="18"/>
          <w:lang w:val="es-ES" w:eastAsia="es-SV"/>
        </w:rPr>
        <w:t>En</w:t>
      </w:r>
      <w:r w:rsidRPr="00305DCB">
        <w:rPr>
          <w:rFonts w:ascii="Arial" w:eastAsia="Times New Roman" w:hAnsi="Arial" w:cs="Arial"/>
          <w:color w:val="000000"/>
          <w:sz w:val="18"/>
          <w:szCs w:val="18"/>
          <w:lang w:val="es-ES" w:eastAsia="es-SV"/>
        </w:rPr>
        <w:t xml:space="preserve"> uso de sus facultades constitucionales y a iniciativa del Diputado Alexander Melchor y del Concejo Municipal de </w:t>
      </w:r>
      <w:bookmarkStart w:id="9" w:name="marca9"/>
      <w:r w:rsidRPr="00305DCB">
        <w:rPr>
          <w:rFonts w:ascii="Arial" w:eastAsia="Times New Roman" w:hAnsi="Arial" w:cs="Arial"/>
          <w:b/>
          <w:bCs/>
          <w:color w:val="FF0000"/>
          <w:sz w:val="18"/>
          <w:szCs w:val="18"/>
          <w:lang w:val="es-ES" w:eastAsia="es-SV"/>
        </w:rPr>
        <w:t>San</w:t>
      </w:r>
      <w:bookmarkEnd w:id="9"/>
      <w:r w:rsidRPr="00305DCB">
        <w:rPr>
          <w:rFonts w:ascii="Arial" w:eastAsia="Times New Roman" w:hAnsi="Arial" w:cs="Arial"/>
          <w:color w:val="000000"/>
          <w:sz w:val="18"/>
          <w:szCs w:val="18"/>
          <w:lang w:val="es-ES" w:eastAsia="es-SV"/>
        </w:rPr>
        <w:t xml:space="preserve"> </w:t>
      </w:r>
      <w:bookmarkStart w:id="10" w:name="marca10"/>
      <w:r w:rsidRPr="00305DCB">
        <w:rPr>
          <w:rFonts w:ascii="Arial" w:eastAsia="Times New Roman" w:hAnsi="Arial" w:cs="Arial"/>
          <w:b/>
          <w:bCs/>
          <w:color w:val="FF0000"/>
          <w:sz w:val="18"/>
          <w:szCs w:val="18"/>
          <w:lang w:val="es-ES" w:eastAsia="es-SV"/>
        </w:rPr>
        <w:t>Luis</w:t>
      </w:r>
      <w:bookmarkEnd w:id="10"/>
      <w:r w:rsidRPr="00305DCB">
        <w:rPr>
          <w:rFonts w:ascii="Arial" w:eastAsia="Times New Roman" w:hAnsi="Arial" w:cs="Arial"/>
          <w:color w:val="000000"/>
          <w:sz w:val="18"/>
          <w:szCs w:val="18"/>
          <w:lang w:val="es-ES" w:eastAsia="es-SV"/>
        </w:rPr>
        <w:t xml:space="preserve"> La </w:t>
      </w:r>
      <w:bookmarkStart w:id="11" w:name="marca11"/>
      <w:r w:rsidRPr="00305DCB">
        <w:rPr>
          <w:rFonts w:ascii="Arial" w:eastAsia="Times New Roman" w:hAnsi="Arial" w:cs="Arial"/>
          <w:b/>
          <w:bCs/>
          <w:color w:val="FF0000"/>
          <w:sz w:val="18"/>
          <w:szCs w:val="18"/>
          <w:lang w:val="es-ES" w:eastAsia="es-SV"/>
        </w:rPr>
        <w:t>Herradura</w:t>
      </w:r>
      <w:bookmarkEnd w:id="11"/>
      <w:r w:rsidRPr="00305DCB">
        <w:rPr>
          <w:rFonts w:ascii="Arial" w:eastAsia="Times New Roman" w:hAnsi="Arial" w:cs="Arial"/>
          <w:color w:val="000000"/>
          <w:sz w:val="18"/>
          <w:szCs w:val="18"/>
          <w:lang w:val="es-ES" w:eastAsia="es-SV"/>
        </w:rPr>
        <w:t>, Departamento de La Paz.</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xml:space="preserve">DECRETA LA PRESENTE LEY DE IMPUESTOS A LA ACTIVIDAD ECONÓMICA DEL MUNICIPIO DE </w:t>
      </w:r>
      <w:bookmarkStart w:id="12" w:name="marca12"/>
      <w:r w:rsidRPr="00305DCB">
        <w:rPr>
          <w:rFonts w:ascii="Arial" w:eastAsia="Times New Roman" w:hAnsi="Arial" w:cs="Arial"/>
          <w:b/>
          <w:bCs/>
          <w:color w:val="FF0000"/>
          <w:sz w:val="18"/>
          <w:szCs w:val="18"/>
          <w:lang w:val="es-ES" w:eastAsia="es-SV"/>
        </w:rPr>
        <w:t>SAN</w:t>
      </w:r>
      <w:bookmarkEnd w:id="12"/>
      <w:r w:rsidRPr="00305DCB">
        <w:rPr>
          <w:rFonts w:ascii="Arial" w:eastAsia="Times New Roman" w:hAnsi="Arial" w:cs="Arial"/>
          <w:b/>
          <w:bCs/>
          <w:color w:val="000000"/>
          <w:sz w:val="18"/>
          <w:szCs w:val="18"/>
          <w:lang w:val="es-ES" w:eastAsia="es-SV"/>
        </w:rPr>
        <w:t xml:space="preserve"> </w:t>
      </w:r>
      <w:bookmarkStart w:id="13" w:name="marca13"/>
      <w:r w:rsidRPr="00305DCB">
        <w:rPr>
          <w:rFonts w:ascii="Arial" w:eastAsia="Times New Roman" w:hAnsi="Arial" w:cs="Arial"/>
          <w:b/>
          <w:bCs/>
          <w:color w:val="FF0000"/>
          <w:sz w:val="18"/>
          <w:szCs w:val="18"/>
          <w:lang w:val="es-ES" w:eastAsia="es-SV"/>
        </w:rPr>
        <w:t>LUIS</w:t>
      </w:r>
      <w:bookmarkEnd w:id="13"/>
      <w:r w:rsidRPr="00305DCB">
        <w:rPr>
          <w:rFonts w:ascii="Arial" w:eastAsia="Times New Roman" w:hAnsi="Arial" w:cs="Arial"/>
          <w:b/>
          <w:bCs/>
          <w:color w:val="000000"/>
          <w:sz w:val="18"/>
          <w:szCs w:val="18"/>
          <w:lang w:val="es-ES" w:eastAsia="es-SV"/>
        </w:rPr>
        <w:t xml:space="preserve"> LA </w:t>
      </w:r>
      <w:bookmarkStart w:id="14" w:name="marca14"/>
      <w:r w:rsidRPr="00305DCB">
        <w:rPr>
          <w:rFonts w:ascii="Arial" w:eastAsia="Times New Roman" w:hAnsi="Arial" w:cs="Arial"/>
          <w:b/>
          <w:bCs/>
          <w:color w:val="FF0000"/>
          <w:sz w:val="18"/>
          <w:szCs w:val="18"/>
          <w:lang w:val="es-ES" w:eastAsia="es-SV"/>
        </w:rPr>
        <w:t>HERRADURA</w:t>
      </w:r>
      <w:bookmarkEnd w:id="14"/>
      <w:r w:rsidRPr="00305DCB">
        <w:rPr>
          <w:rFonts w:ascii="Arial" w:eastAsia="Times New Roman" w:hAnsi="Arial" w:cs="Arial"/>
          <w:b/>
          <w:bCs/>
          <w:color w:val="000000"/>
          <w:sz w:val="18"/>
          <w:szCs w:val="18"/>
          <w:lang w:val="es-ES" w:eastAsia="es-SV"/>
        </w:rPr>
        <w:t>, DEL DEPARTAMENTO DE LA PAZ.</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TÍTULO I</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DISPOSICIONES GENERALES</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CAPÍTULO ÚNICO</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Objeto de la Ley</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lastRenderedPageBreak/>
        <w:t>        Art. 1. La presente Ley tiene como objeto establecer el marco normativo así como lis procedimientos legales que requiere el Municipio para ejercitar y desarrollar su potestad tributaria en materia de impuestos municipales, de conformidad con el Artículo 204 de la Constitución de la República y Arts. 1 y 2 de la Ley General Tributaria Municipal.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Facultades del Concejo Municipal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2. Para el mejor cumplimiento de la presente Ley, deberán observarse en lo pertinente, todas aquellas disposiciones legales que fueren aplicables, quedando facultado el Concejo Municipal además, para dictar las regulaciones complementarias que fueren necesarias para aclarar cualquier situación no prevista, siempre que el propósito de éstas tenga como objetivo facilitar la aplicación de esta misma Ley.</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Impuestos municipales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3. Son impuestos municipales, los tributos exigidos por los municipios, sin contraprestación alguna individualizada.</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Sujeto activo de la obligación tributaria</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xml:space="preserve">        Art. 4. Será sujeto activo de la obligación tributaria municipal, el Municipio de </w:t>
      </w:r>
      <w:bookmarkStart w:id="15" w:name="marca15"/>
      <w:r w:rsidRPr="00305DCB">
        <w:rPr>
          <w:rFonts w:ascii="Arial" w:eastAsia="Times New Roman" w:hAnsi="Arial" w:cs="Arial"/>
          <w:b/>
          <w:bCs/>
          <w:color w:val="FF0000"/>
          <w:sz w:val="18"/>
          <w:szCs w:val="18"/>
          <w:lang w:val="es-ES" w:eastAsia="es-SV"/>
        </w:rPr>
        <w:t>San</w:t>
      </w:r>
      <w:bookmarkEnd w:id="15"/>
      <w:r w:rsidRPr="00305DCB">
        <w:rPr>
          <w:rFonts w:ascii="Arial" w:eastAsia="Times New Roman" w:hAnsi="Arial" w:cs="Arial"/>
          <w:color w:val="000000"/>
          <w:sz w:val="18"/>
          <w:szCs w:val="18"/>
          <w:lang w:val="es-ES" w:eastAsia="es-SV"/>
        </w:rPr>
        <w:t xml:space="preserve"> </w:t>
      </w:r>
      <w:bookmarkStart w:id="16" w:name="marca16"/>
      <w:r w:rsidRPr="00305DCB">
        <w:rPr>
          <w:rFonts w:ascii="Arial" w:eastAsia="Times New Roman" w:hAnsi="Arial" w:cs="Arial"/>
          <w:b/>
          <w:bCs/>
          <w:color w:val="FF0000"/>
          <w:sz w:val="18"/>
          <w:szCs w:val="18"/>
          <w:lang w:val="es-ES" w:eastAsia="es-SV"/>
        </w:rPr>
        <w:t>Luis</w:t>
      </w:r>
      <w:bookmarkEnd w:id="16"/>
      <w:r w:rsidRPr="00305DCB">
        <w:rPr>
          <w:rFonts w:ascii="Arial" w:eastAsia="Times New Roman" w:hAnsi="Arial" w:cs="Arial"/>
          <w:color w:val="000000"/>
          <w:sz w:val="18"/>
          <w:szCs w:val="18"/>
          <w:lang w:val="es-ES" w:eastAsia="es-SV"/>
        </w:rPr>
        <w:t xml:space="preserve"> La </w:t>
      </w:r>
      <w:bookmarkStart w:id="17" w:name="marca17"/>
      <w:r w:rsidRPr="00305DCB">
        <w:rPr>
          <w:rFonts w:ascii="Arial" w:eastAsia="Times New Roman" w:hAnsi="Arial" w:cs="Arial"/>
          <w:b/>
          <w:bCs/>
          <w:color w:val="FF0000"/>
          <w:sz w:val="18"/>
          <w:szCs w:val="18"/>
          <w:lang w:val="es-ES" w:eastAsia="es-SV"/>
        </w:rPr>
        <w:t>Herradura</w:t>
      </w:r>
      <w:bookmarkEnd w:id="17"/>
      <w:r w:rsidRPr="00305DCB">
        <w:rPr>
          <w:rFonts w:ascii="Arial" w:eastAsia="Times New Roman" w:hAnsi="Arial" w:cs="Arial"/>
          <w:color w:val="000000"/>
          <w:sz w:val="18"/>
          <w:szCs w:val="18"/>
          <w:lang w:val="es-ES" w:eastAsia="es-SV"/>
        </w:rPr>
        <w:t>, en su carácter de acreedor de los respectivos tributos.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Sujeto pasivo de la obligación tributaria</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5. Serán sujetos pasivos de la obligación tributaria municipal, la persona natural o jurídica que realice cualquier actividad económica lucrativa en el municipio y que según la presente Ley está obligada al cumplimiento de las prestaciones pecuniarias sea como contribuyente o responsable.</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Para los efectos de la aplicación de esta Ley se consideran también sujetos pasivos las comunidades de bienes, sucesiones, fideicomisos, sociedades de hecho y otros entes colectivos o patrimonios que aún cuando conforme al derecho común carezcan de personalidad jurídica, se les atribuye la calidad de sujetos de derechos y obligaciones.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También se consideran sujetos pasivos de conformidad a esta Ley, las Instituciones Autónomas, inclusive la Comisión Ejecutiva Hidroeléctrica del Río Lempa (CEL) y Comisión Ejecutiva Portuaria Autónoma (CEPA) siempre y cuando realicen actividades industriales, comerciales, financieras y de servicios en el Municipio, con excepción de las instituciones de seguridad social.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Contribuyente</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6. Se entiende por contribuyente, el sujeto pasivo respecto al cual se verifica el hecho generador de la obligación tributaria.</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Responsable</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lastRenderedPageBreak/>
        <w:t>        Art. 7. Se entiende por responsable, aquel que sin ser contribuyente por mandato expreso de la Ley debe cumplir con las obligaciones de éste.</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Período tributario municipal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8. Para los efectos del pago de los impuestos establecidos, se entenderá que el periodo tributario o ejercicio fiscal inicia el uno de enero y termina el treinta y uno de diciembre, a excepción de aquellas actividades que su periodo está clasificado como especial y determinados por ley.</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TÍTULO II</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DE LA OBLIGACION TRIBUTARIA</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CAPÍTULO I</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DEL HECHO GENERADOR Y LA BASE IMPONIBLE</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Hecho Generador</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9. Se establece como hecho generador, toda actividad económica que se desarrolla en el municipio, de acuerdo a la clasificación siguiente:</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ACTIVIDAD</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SECTOR AGROPECUARIO</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Agricultura</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Ganadería</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Otras actividades agropecuarias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EXPLOTACION DE MINAS Y CANTERAS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Extracción de minerales no metálicos y metálicos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INDUSTRIAS MANUFACTURERAS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Productos alimenticios, excepto bebidas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Bebidas y tabaco</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Textiles, prendas de vestir y cuero</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lastRenderedPageBreak/>
        <w:t>-       Industrias de madera, corcho y papel</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Fabricación de sustancias químicas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Fabricación de productos minerales no metálicos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Fabricación de productos minerales metálicos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Fabricación de maquinaria, aparatos, accesorios y suministros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Fabricación de equipos de transporte</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Otras manufacturas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ELECTRICIDAD, GAS Y AGUA</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Luz y fuerza eléctrica</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Producción de gas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Suministro de agua</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CONSTRUCCIÓN</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Construcción</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COMERCIO</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Comercio al por mayor y al por menor</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HOTELES, RESTAURANTES Y SIMILARES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Hoteles y similares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Restaurantes y similares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TRANSPORTE, ALMACENAMIENTO Y COMUNICACIONES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Transporte y servicios conexos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Almacenaje</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Comunicaciones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ESTABLECIMIENTOS FINANCIEROS, SEGUROS Y BIENES RAÍCES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Actividades financieras y servicios auxiliares de la intermediación financiera</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lastRenderedPageBreak/>
        <w:t>-       Seguros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Bienes raíces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SERVICIOS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Servicios enfocados principalmente hacia las empresas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Otros servicios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ACTIVIDADES NO BIEN ESPECIFICADAS ADMINISTRACIÓN PÚBLICA, ORGANISMOS NO GUBERNAMENTALES E INSTITUCIONES FORÁNEAS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Administración pública</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Organismos no gubernamentales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Instituciones foráneas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En el caso de titulares de establecimientos que tuvieren su matriz radicada en un municipio determinado y sucursales, oficinas o agencias o cualquier tipo de activo gravable en otros; para la aplicación de los tributos correspondientes a la matriz, deberá deducirse las cantidades aplicadas por las municipalidades de las comprensiones en que operen las agencias o sucursales o cualquier tipo de activo gravable, siempre que la base imponible fuere la misma para aquéllas y para éstas.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Las actividades económicas constituirán hechos generadores del impuesto cuando éstas se generen directamente en el municipio, no obstante que los respectivos actos, convenciones o contratos se hayan perfeccionado fuera de él.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De la base imponible</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10. Para efectos de esta Ley se entenderá como activo imponible aquellos valores en activos que posee una persona natural o jurídica para el desarrollo de su actividad económica específica.</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El activo imponible se determinará deduciendo del activo total, aquellos activos gravados en otros municipios, los títulos valores garantizados por el Estado, la depreciación del activo fijo y las retenciones legales a empleados que al momento de presentar el balance respectivo no se hayan liquidado.</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Las empresas financieras tendrán además, derecho a deducir las cantidades contabilizadas para la formación de reservas para saneamiento de préstamos, de acuerdo con las disposiciones emanadas de la Superintendencia del Sistema Financiero, el encaje legal correspondiente y el monto de los bienes que administren en calidad de fideicomisos.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Las empresas que se dediquen a dos o más actividades determinadas en esta ley, pagarán por los activos imponibles el impuesto correspondiente por cada una de dichas actividades.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CAPÍTULO II</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lastRenderedPageBreak/>
        <w:t>DE LOS IMPUESTOS A LAS ACTIVIDADES ECONÓMICAS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Impuestos variables e impuestos fijos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Art.11. Para el pago de los respectivos impuestos, habrá impuesto variable e impuesto fijo.</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12. Se gravan las actividades económicas con impuesto fijo e impuesto variable, de acuerdo a la tabla siguiente, tomando como base el activo imponible obtenido de conformidad al Art. 10 de esta ley.</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TABLA DE APLICACIÓN DE IMPUESTOS A LAS ACTIVIDADES ECONÓMICAS DESARROLLADAS EN EL MUNICIPIO</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w:t>
      </w:r>
    </w:p>
    <w:tbl>
      <w:tblPr>
        <w:tblW w:w="0" w:type="auto"/>
        <w:tblInd w:w="40" w:type="dxa"/>
        <w:tblCellMar>
          <w:left w:w="0" w:type="dxa"/>
          <w:right w:w="0" w:type="dxa"/>
        </w:tblCellMar>
        <w:tblLook w:val="04A0"/>
      </w:tblPr>
      <w:tblGrid>
        <w:gridCol w:w="4462"/>
        <w:gridCol w:w="4416"/>
      </w:tblGrid>
      <w:tr w:rsidR="00305DCB" w:rsidRPr="00305DCB" w:rsidTr="00305DCB">
        <w:tc>
          <w:tcPr>
            <w:tcW w:w="8223" w:type="dxa"/>
            <w:tcMar>
              <w:top w:w="0" w:type="dxa"/>
              <w:left w:w="40" w:type="dxa"/>
              <w:bottom w:w="0" w:type="dxa"/>
              <w:right w:w="40" w:type="dxa"/>
            </w:tcMar>
            <w:hideMark/>
          </w:tcPr>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eastAsia="es-SV"/>
              </w:rPr>
              <w:t>SI EL ACTIVO IMPONIBLE</w:t>
            </w:r>
            <w:r w:rsidRPr="00305DCB">
              <w:rPr>
                <w:rFonts w:ascii="Arial" w:eastAsia="Times New Roman" w:hAnsi="Arial" w:cs="Arial"/>
                <w:color w:val="000000"/>
                <w:sz w:val="18"/>
                <w:szCs w:val="18"/>
                <w:lang w:eastAsia="es-SV"/>
              </w:rPr>
              <w:t xml:space="preserve"> </w:t>
            </w:r>
            <w:r w:rsidRPr="00305DCB">
              <w:rPr>
                <w:rFonts w:ascii="Arial" w:eastAsia="Times New Roman" w:hAnsi="Arial" w:cs="Arial"/>
                <w:b/>
                <w:bCs/>
                <w:color w:val="000000"/>
                <w:sz w:val="18"/>
                <w:szCs w:val="18"/>
                <w:lang w:eastAsia="es-SV"/>
              </w:rPr>
              <w:t>ES:</w:t>
            </w:r>
          </w:p>
        </w:tc>
        <w:tc>
          <w:tcPr>
            <w:tcW w:w="818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eastAsia="es-SV"/>
              </w:rPr>
              <w:t>IMPUESTO MENSUAL:</w:t>
            </w:r>
          </w:p>
        </w:tc>
      </w:tr>
      <w:tr w:rsidR="00305DCB" w:rsidRPr="00305DCB" w:rsidTr="00305DCB">
        <w:tc>
          <w:tcPr>
            <w:tcW w:w="822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Hasta $500.00</w:t>
            </w:r>
          </w:p>
        </w:tc>
        <w:tc>
          <w:tcPr>
            <w:tcW w:w="818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Pagaran una tarifa fija de $1.50</w:t>
            </w:r>
          </w:p>
        </w:tc>
      </w:tr>
      <w:tr w:rsidR="00305DCB" w:rsidRPr="00305DCB" w:rsidTr="00305DCB">
        <w:tc>
          <w:tcPr>
            <w:tcW w:w="822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De $ 500.01 a $ 1,000.00</w:t>
            </w:r>
          </w:p>
        </w:tc>
        <w:tc>
          <w:tcPr>
            <w:tcW w:w="818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$1.50 mas $ 3.00 por millar o fracción excedente de $ 500.00</w:t>
            </w:r>
          </w:p>
        </w:tc>
      </w:tr>
      <w:tr w:rsidR="00305DCB" w:rsidRPr="00305DCB" w:rsidTr="00305DCB">
        <w:tc>
          <w:tcPr>
            <w:tcW w:w="822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De $ 1,000.01 a $ 2,000.00</w:t>
            </w:r>
          </w:p>
        </w:tc>
        <w:tc>
          <w:tcPr>
            <w:tcW w:w="818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$3.00 mas $ 3.00 por millar o fracción excedente de $ 1,000.00</w:t>
            </w:r>
          </w:p>
        </w:tc>
      </w:tr>
      <w:tr w:rsidR="00305DCB" w:rsidRPr="00305DCB" w:rsidTr="00305DCB">
        <w:tc>
          <w:tcPr>
            <w:tcW w:w="822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De $ 2 ,000.01 a $ 3,000.00</w:t>
            </w:r>
          </w:p>
        </w:tc>
        <w:tc>
          <w:tcPr>
            <w:tcW w:w="818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$6.00 mas $ 3.00 por millar o fracción excedente de $ 2,000.00</w:t>
            </w:r>
          </w:p>
        </w:tc>
      </w:tr>
      <w:tr w:rsidR="00305DCB" w:rsidRPr="00305DCB" w:rsidTr="00305DCB">
        <w:tc>
          <w:tcPr>
            <w:tcW w:w="822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De $ 3,000.01 a $ 6,000.00</w:t>
            </w:r>
          </w:p>
        </w:tc>
        <w:tc>
          <w:tcPr>
            <w:tcW w:w="818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 xml:space="preserve">$9.00 mas $ 2.00 por millar o fracción excedente de $ 3,000.00 </w:t>
            </w:r>
          </w:p>
        </w:tc>
      </w:tr>
      <w:tr w:rsidR="00305DCB" w:rsidRPr="00305DCB" w:rsidTr="00305DCB">
        <w:tc>
          <w:tcPr>
            <w:tcW w:w="822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De $ 6,000.01 a $ 18,000.00</w:t>
            </w:r>
          </w:p>
        </w:tc>
        <w:tc>
          <w:tcPr>
            <w:tcW w:w="818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$ 15.00 más $ 2.00 por millar o fracción, excedente a $ 6,000.00</w:t>
            </w:r>
          </w:p>
        </w:tc>
      </w:tr>
      <w:tr w:rsidR="00305DCB" w:rsidRPr="00305DCB" w:rsidTr="00305DCB">
        <w:tc>
          <w:tcPr>
            <w:tcW w:w="822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De $ 18,000.01 a $ 30,000.00</w:t>
            </w:r>
          </w:p>
        </w:tc>
        <w:tc>
          <w:tcPr>
            <w:tcW w:w="818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$ 39.00 más $ 2.00 por millar o fracción, excedente a $ 18,000.00</w:t>
            </w:r>
          </w:p>
        </w:tc>
      </w:tr>
      <w:tr w:rsidR="00305DCB" w:rsidRPr="00305DCB" w:rsidTr="00305DCB">
        <w:tc>
          <w:tcPr>
            <w:tcW w:w="822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De $ 30,000.01 a $ 60,000.00</w:t>
            </w:r>
          </w:p>
        </w:tc>
        <w:tc>
          <w:tcPr>
            <w:tcW w:w="818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$ 63.00 más $ 1.00 por millar o fracción, excedente a $ 30,000.00</w:t>
            </w:r>
          </w:p>
        </w:tc>
      </w:tr>
    </w:tbl>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tbl>
      <w:tblPr>
        <w:tblW w:w="0" w:type="auto"/>
        <w:tblInd w:w="40" w:type="dxa"/>
        <w:tblCellMar>
          <w:left w:w="0" w:type="dxa"/>
          <w:right w:w="0" w:type="dxa"/>
        </w:tblCellMar>
        <w:tblLook w:val="04A0"/>
      </w:tblPr>
      <w:tblGrid>
        <w:gridCol w:w="4448"/>
        <w:gridCol w:w="4430"/>
      </w:tblGrid>
      <w:tr w:rsidR="00305DCB" w:rsidRPr="00305DCB" w:rsidTr="00305DCB">
        <w:tc>
          <w:tcPr>
            <w:tcW w:w="822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De $ 60,000.01 a $100,000.00</w:t>
            </w:r>
          </w:p>
        </w:tc>
        <w:tc>
          <w:tcPr>
            <w:tcW w:w="818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$ 93.00 más $ 0.80 por millar o fracción, excedente a $ 60,000.00</w:t>
            </w:r>
          </w:p>
        </w:tc>
      </w:tr>
      <w:tr w:rsidR="00305DCB" w:rsidRPr="00305DCB" w:rsidTr="00305DCB">
        <w:tc>
          <w:tcPr>
            <w:tcW w:w="822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De $100,000.01 a $200,000.00</w:t>
            </w:r>
          </w:p>
        </w:tc>
        <w:tc>
          <w:tcPr>
            <w:tcW w:w="818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$ 125.00 más $0.70 por millar o fracción, excedente a $ 100,000.00</w:t>
            </w:r>
          </w:p>
        </w:tc>
      </w:tr>
      <w:tr w:rsidR="00305DCB" w:rsidRPr="00305DCB" w:rsidTr="00305DCB">
        <w:tc>
          <w:tcPr>
            <w:tcW w:w="822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lastRenderedPageBreak/>
              <w:t>De $200,000.01 a $300,000.00</w:t>
            </w:r>
          </w:p>
        </w:tc>
        <w:tc>
          <w:tcPr>
            <w:tcW w:w="818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$ 195.00 más $0.60 por millar o fracción, excedente a $200,000.00</w:t>
            </w:r>
          </w:p>
        </w:tc>
      </w:tr>
      <w:tr w:rsidR="00305DCB" w:rsidRPr="00305DCB" w:rsidTr="00305DCB">
        <w:tc>
          <w:tcPr>
            <w:tcW w:w="822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De $300,000.01 a $400,000.00</w:t>
            </w:r>
          </w:p>
        </w:tc>
        <w:tc>
          <w:tcPr>
            <w:tcW w:w="818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$255.00 más $0.45 por millar o fracción, excedente a $ 300,000.00</w:t>
            </w:r>
          </w:p>
        </w:tc>
      </w:tr>
      <w:tr w:rsidR="00305DCB" w:rsidRPr="00305DCB" w:rsidTr="00305DCB">
        <w:tc>
          <w:tcPr>
            <w:tcW w:w="822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De $400,000.01 a $500,000.00</w:t>
            </w:r>
          </w:p>
        </w:tc>
        <w:tc>
          <w:tcPr>
            <w:tcW w:w="818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 xml:space="preserve">$ 300.00 más $0.40 por millar o fracción, excedente a $400,000.00 </w:t>
            </w:r>
          </w:p>
        </w:tc>
      </w:tr>
      <w:tr w:rsidR="00305DCB" w:rsidRPr="00305DCB" w:rsidTr="00305DCB">
        <w:tc>
          <w:tcPr>
            <w:tcW w:w="822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De $500,000.01 a $1,000,000.00</w:t>
            </w:r>
          </w:p>
        </w:tc>
        <w:tc>
          <w:tcPr>
            <w:tcW w:w="818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 xml:space="preserve">$ 340.00 más $0.30 por millar o fracción, excedente a $500,000.00 </w:t>
            </w:r>
          </w:p>
        </w:tc>
      </w:tr>
      <w:tr w:rsidR="00305DCB" w:rsidRPr="00305DCB" w:rsidTr="00305DCB">
        <w:tc>
          <w:tcPr>
            <w:tcW w:w="822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De $1</w:t>
            </w:r>
            <w:proofErr w:type="gramStart"/>
            <w:r w:rsidRPr="00305DCB">
              <w:rPr>
                <w:rFonts w:ascii="Arial" w:eastAsia="Times New Roman" w:hAnsi="Arial" w:cs="Arial"/>
                <w:color w:val="000000"/>
                <w:sz w:val="18"/>
                <w:szCs w:val="18"/>
                <w:lang w:eastAsia="es-SV"/>
              </w:rPr>
              <w:t>,000,000.01</w:t>
            </w:r>
            <w:proofErr w:type="gramEnd"/>
            <w:r w:rsidRPr="00305DCB">
              <w:rPr>
                <w:rFonts w:ascii="Arial" w:eastAsia="Times New Roman" w:hAnsi="Arial" w:cs="Arial"/>
                <w:color w:val="000000"/>
                <w:sz w:val="18"/>
                <w:szCs w:val="18"/>
                <w:lang w:eastAsia="es-SV"/>
              </w:rPr>
              <w:t xml:space="preserve"> en adelante.</w:t>
            </w:r>
          </w:p>
        </w:tc>
        <w:tc>
          <w:tcPr>
            <w:tcW w:w="8183" w:type="dxa"/>
            <w:tcMar>
              <w:top w:w="0" w:type="dxa"/>
              <w:left w:w="40" w:type="dxa"/>
              <w:bottom w:w="0" w:type="dxa"/>
              <w:right w:w="40" w:type="dxa"/>
            </w:tcMar>
            <w:hideMark/>
          </w:tcPr>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eastAsia="es-SV"/>
              </w:rPr>
              <w:t>$ 490.00 más $0.18 por millar o fracción, excedente a $1,000,000.00</w:t>
            </w:r>
          </w:p>
        </w:tc>
      </w:tr>
    </w:tbl>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Fábricas de licores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13. Las fábricas de licores y aguardiente, no pagarán impuesto adicional al que le correspondiere por la venta de sus productos al mayoreo, no obstante estarán obligadas al pago del impuesto por las salas de venta o agencias que tengan establecidas en la jurisdicción.</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TÍTULO II</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DE LA ADMINISTRACIÓN TRIBUTARIA MUNICIPAL, RESPONSABILIDADES DE</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FUNCIONARIOS Y OBLIGACIONES DE LOS CONTRIBUYENTES</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CAPÍTULO I</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FACULTADES Y DEBERES DE LA ADMINISTRACIÓN TRIBUTARIA MUNICIPAL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Facultades de control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14. La administración tributaria municipal mediante sus funcionarios y empleados nombrados o delegados para tal efecto, tendrá las facultades de control, inspección, verificación e investigación de contribuyentes o responsables a fin de que unos y otros cumplan con las obligaciones establecidas en la presente ley de conformidad a los procedimientos establecidos en los Artículos 82 y 89 de la Ley General Tributaria Municipal. Toda información suministrada será estrictamente confidencial.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Sanción</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15. Los contribuyentes o responsables a que se refiere el artículo anterior, que se negaren a permitir y facilitar las inspecciones, exámenes, comprobaciones e investigaciones o a proporcionar las explicaciones, datos e informes o que deliberadamente suministraren datos falsos o inexactos, serán sancionados de conformidad a lo establecido al respecto en el Artículo 66 de la Ley General Tributaria Municipal.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lastRenderedPageBreak/>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CAPÍTULO II</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RESPONSABILIDADES DE FUNCIONARIOS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Exigibilidad de solvencia</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16. Los Registradores de la Propiedad Raíz e Hipotecas de la República no inscribirán ningún instrumento en el que aparezca transferencia o gravamen sobre inmuebles, a cualquier título que fuere, si no se presenta constancia de solvencia de tributos municipales sobre el bien raíz objeto del traspaso o gravamen.</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Tampoco se inscribirán en el Registro de Comercio las escrituras de constitución, modificación y disolución de sociedades mercantiles, sin que se les presente a los Registradores de Comercio constancia de solvencia de tributos municipales de la sociedad.</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CAPITULO III</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OBLIGACIONES FORMALES DE CONTRIBUYENTES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Deber de información</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17. Todo propietario o representante legal de establecimientos comerciales, industriales o de cualquier otra actividad, está obligado a dar aviso por escrito a la Alcaldía Municipal, sobre la fecha de la apertura del establecimiento o actividad de que se trate a más tardar treinta días después de la fecha de apertura, para los efectos de su calificación.</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La falta de cumplimiento del requisito establecido en el inciso anterior, dará lugar a que el propietario o representante tenga por aceptada la fecha en que el funcionario a cargo realizó la calificación correspondiente.</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Determinada la fecha, de conformidad al inciso anterior, el contribuyente tiene la obligación de efectuar el pago del impuesto establecido. Sin perjuicio de la prueba que pueda ser aportada en contrario, ya sea en el proceso de calificación o en su impugnación en la apelación.</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Deber de aviso</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18. Toda persona natural o jurídica sujeta al pago de tributos municipales, deberá dar aviso a la Alcaldía Municipal, del cierre, traspaso, cambio de dirección y de cualquier otro hecho que tenga como consecuencia la cesación o variación de dicho tributo, dentro de los treinta días siguientes al hecho de que se trata. El incumplimiento de esta obligación hará responsable al sujeto del impuesto al pago de los mismos, salvo que hayan sido cubiertos por el adquiriente, en casos de traspaso.</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Queda facultado el Concejo Municipal para cerrar cuentas de oficio cuando se conste fehacientemente que una persona natural o jurídica ha dejado de ser sujeto de pago conforme a la presente ley. Dicho cierre se hará a partir de la fecha que determine el Concejo Municipal, de conformidad al Art. 90 ordinal 7° de la Ley General Tributaria Municipal.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lastRenderedPageBreak/>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Declaración jurada</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19. Los contribuyentes sujetos a imposición en base al activo imponible presentarán a la Alcaldía declaración jurada o los balances correspondientes a cada ejercicio fiscal, según lo establece el Código de Comercio a más tardar dos meses después de terminado dicho ejercicio de acuerdo al Art. 8 de la presente ley. La no presentación en el plazo estipulado de la declaración jurada o balances, hará incurrir al contribuyente en tina multa equivalente al 1% del activo, estimado de oficio por la Administración Tributaria Municipal.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CAPÍTULO IV</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SOLVENCIA MUNICIPAL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Solvencia municipal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xml:space="preserve">        Art. 20. Toda persona natural o jurídica tiene el derecho de solicitar para cualquier trámite su correspondiente solvencia municipal, la cual se expedirá en papel simple libre de todo tributo municipal, </w:t>
      </w:r>
      <w:proofErr w:type="gramStart"/>
      <w:r w:rsidRPr="00305DCB">
        <w:rPr>
          <w:rFonts w:ascii="Arial" w:eastAsia="Times New Roman" w:hAnsi="Arial" w:cs="Arial"/>
          <w:color w:val="000000"/>
          <w:sz w:val="18"/>
          <w:szCs w:val="18"/>
          <w:lang w:val="es-ES" w:eastAsia="es-SV"/>
        </w:rPr>
        <w:t>extendida</w:t>
      </w:r>
      <w:proofErr w:type="gramEnd"/>
      <w:r w:rsidRPr="00305DCB">
        <w:rPr>
          <w:rFonts w:ascii="Arial" w:eastAsia="Times New Roman" w:hAnsi="Arial" w:cs="Arial"/>
          <w:color w:val="000000"/>
          <w:sz w:val="18"/>
          <w:szCs w:val="18"/>
          <w:lang w:val="es-ES" w:eastAsia="es-SV"/>
        </w:rPr>
        <w:t xml:space="preserve"> con las formalidades expresadas en el Art. 101 del Código Municipal.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Podrá extenderse solvencia no obstante estuviere pendiente de resolución cualquier recurso o impugnación, mediante caución otorgada por el interesado igual al monto adeudado más una tercera parte del mismo.</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TÍTULO IV</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DE LAS FORMAS DE EXTINCIÓN DE LA OBLIGACIÓN TRIBUTARIA</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MUNICIPAL Y LA MORA</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CAPÍTULO I</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FORMAS DE EXTINCIÓN TRIBUTARIA</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21. Las formas de extinción de la obligación tributaria municipal, son:</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a)    El pago;</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b)    La compensación; y,</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c)     La prescripción extintiva.</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CAPÍTULO II</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DEL PAGO</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lastRenderedPageBreak/>
        <w:t>Definición de pago</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22. Pago es el cumplimiento del tributo adeudado y tiene que ser efectuado por los contribuyentes o los responsables.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Este puede ser en moneda de curso legal o dación en pago, con el objeto de cumplir con el tributo adeudado. Cuando se efectúe por dación en pago, se requerirá la autorización del Concejo Municipal.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De los que pueden efectuar el pago de los impuestos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23. El pago puede ser efectuado por el contribuyente, por el representante legal o por un tercero, en este último caso, hay subrogación legal del tercero en los derechos del acreedor.</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Plazo para hacer el pago</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24. El pago deberá hacerse efectivo a más tardar treinta días después de realizada la calificación del hecho generador de la obligación tributaria, ante la Tesorería Municipal o a través de otro mecanismo establecido por el Concejo Municipal y de conformidad a lo establecido en los Arts. 33 y 83 de la Ley General Tributaria Municipal y Art. 89 del Código Municipal.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Formas del pago y otras actividades relacionadas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xml:space="preserve">        Art. 25. Con respecto a las formas en que se llevará a cabo el pago, las facilidades de éste, la caducidad del plazo extraordinario, la imputación y el pago en exceso se </w:t>
      </w:r>
      <w:proofErr w:type="gramStart"/>
      <w:r w:rsidRPr="00305DCB">
        <w:rPr>
          <w:rFonts w:ascii="Arial" w:eastAsia="Times New Roman" w:hAnsi="Arial" w:cs="Arial"/>
          <w:color w:val="000000"/>
          <w:sz w:val="18"/>
          <w:szCs w:val="18"/>
          <w:lang w:val="es-ES" w:eastAsia="es-SV"/>
        </w:rPr>
        <w:t>estará</w:t>
      </w:r>
      <w:proofErr w:type="gramEnd"/>
      <w:r w:rsidRPr="00305DCB">
        <w:rPr>
          <w:rFonts w:ascii="Arial" w:eastAsia="Times New Roman" w:hAnsi="Arial" w:cs="Arial"/>
          <w:color w:val="000000"/>
          <w:sz w:val="18"/>
          <w:szCs w:val="18"/>
          <w:lang w:val="es-ES" w:eastAsia="es-SV"/>
        </w:rPr>
        <w:t xml:space="preserve"> a lo establecido en los Arts. 35 y siguientes de la Ley General Tributaria Municipal.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CAPÍTULO III</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DE LA COMPENSACIÓN</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Operación de la compensación</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26. Cuando este Municipio y un contribuyente del mismo, sean deudores recíprocos uno del otro, podrá operar entre ellos, una compensación que extinga ambas deudas hasta el límite de la menor en los casos y con los requisitos previstos en los artículos 40 y 41 de la Ley General Tributaria Municipal.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CAPÍTULO IV</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DE LA PRESCRIPCIÓN EXTINTIVA O LIBERATORIA</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Prescripción que extingue acciones o derechos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27. La prescripción que extingue las acciones o derechos, exige solamente cierto lapso de tiempo durante el cual no se haya ejercido dichas acciones.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lastRenderedPageBreak/>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Prescripción del derecho de los Municipios para exigir el pago de impuesto</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28. El derecho de los Municipios para exigir el pago de los impuestos municipales y accesorios, prescribirá por falta de iniciativa en el cobro judicial ejecutivo durante el término de 15 años consecutivos.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Cómputo del plazo para interrumpir prescripción y sus efectos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29. Con respecto al cómputo del plazo, la interrupción de la prescripción y los efectos de la prescripción se estará a lo dispuesto en los Arts. 43 y 44 de la Ley General Tributaria Municipal y Art. 2257 del Código Civil.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CAPÍTULO V</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DE LA MORA Y OTRAS REGULACIONES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Efecto de la mora</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30. Se entenderá que el sujeto pasivo cae en mora en el pago de impuestos, cuando no realizare el mismo y dejare transcurrir un plazo de más de sesenta días sin verificar dicho pago; estos tributos no pagados en las condiciones que se señalan en esta disposición, causarán un interés moratorio hasta la fecha de su cancelación equivalente al interés de mercado para las deudas contraídas por el sector comercial desde el día siguiente al de la conclusión del período ordinario de pago.</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Los intereses se pagarán juntamente con el tributo sin necesidad de resolución o requerimiento. En consecuencia, la obligación de pagarlo subsistirá aún cuando no hubiere sido exigido por el colector, banco, financieras o cualquier otra institución autorizada para recibir dicho pago.</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Del pago indebido o en exceso</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31. Si un contribuyente pagare una cantidad indebidamente o en exceso, tendrá derecho a que la municipalidad le haga la devolución del saldo a su favor o a que se abone ésta a deudas tributarias futuras, de conformidad a los Arts. 120, 121 y 122 de la Ley General Tributaria Municipal.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TÍTULO V</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CLASES DE SANCIONES, DE LAS CONTRAVENCIONES, PROCEDIMIENTOS Y RECURSOS</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CAPÍTULO I</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DE LAS SANCIONES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Clases de Sanciones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32. Por las contravenciones tributarias, se establecen las sanciones siguientes: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lastRenderedPageBreak/>
        <w:t>a)    Multa;</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b)    Comiso de especies que hayan sido el objeto o el medio para cometer la contravención o infracción;</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c)     Clausura del establecimiento, cuando fuere procedente.</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CAPÍTULO II</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DE LAS CONTRAVENCIONES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Contravenciones a la obligación de declarar y sanciones correspondientes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33. Configuran contravenciones a la obligación de declarar impuestos ante la administración tributaria municipal:</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1°    Omitir la declaración del impuesto.</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La sanción correspondiente es una multa equivalente al 5% del impuesto no declarado y nunca podrá ser menor de ¢ 25.00. Si el contribuyente resultare sin capacidad contributiva la multa aplicable será de ¢ 25.00 o su equivalente en dólares de los Estados Unidos de América.</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2°    Presentar declaraciones falsas o incompletas.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La sanción correspondiente consiste en multa del 20% del impuesto omitido y nunca podrá ser menor de ¢ 25.00. Si el contribuyente resultare sin capacidad contributiva, la multa que se le aplicará es de ¢ 25.00 o su equivalente en dólares de los Estados Unidos de América.</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3°    Presentar extemporáneamente declaraciones de impuestos.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La sanción correspondiente será del 2% del impuesto declarado fuera del plazo por cada mes o fracción de mes, que haya transcurrido desde la fecha en que concluyó el plazo para presentar la declaración, hasta el día en que presentó, no pudiendo ser menor de ¢ 25.00. Si no resultare impuesto a pagar, la multa será de ¢ 10.00 o su equivalente en dólares de los Estados Unidos de América.</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Contravenciones a la obligación de pagar y sanciones correspondientes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34. Configuran contravenciones a la obligación de pagar los impuestos municipales, el omitir el pago o pagar fuera de los plazos establecidos. La sanción correspondiente será una multa del 5% del impuesto, si se pagare en los tres primeros meses de mora; y si pagare en los meses posteriores, la multa será del 10%. En ambos casos la multa mínima será de ¢ 25.00 o su equivalente en dólares de los Estados Unidos de América.</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Contravenciones a la obligación de permitir el control por la administración tributaria municipal y sanciones correspondientes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35. Configuran contravenciones respecto a la obligación de permitir el control por la administración tributaria municipal:</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lastRenderedPageBreak/>
        <w:t>1°    Negarse, oponerse o no permitir el control por parte de la administración tributaria municipal. La sanción que le corresponde es de 0.50% del activo declarado y nunca será inferior a ¢ 50.00 ni superior a ¢ 10,000.00 o su equivalente en dólares de los Estados Unidos de América, Si no obstante la aplicación de esa multa, el contribuyente persiste en la negativa u oposición, la sanción será la clausura del establecimiento, la que será levantada inmediatamente que acceda a permitir el control.</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2°    Ocultar o destruir antecedentes, sean bienes, documentos otros medios de prueba. La sanción aplicable será igual a la del numeral anterior, sin perjuicio de la acción penal a que diere lugar.</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Contravenciones a la obligación de informar y sanciones correspondientes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36. Configuran contravenciones a la obligación de informar:</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1°    Negarse a suministrar la información que le solicite la administración tributaria municipal, sobre hechos que el sujeto pasivo esté obligado a conocer, respecto a sus propias actividades o de terceros.</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2°    Omitir la información o avisos a la administración tributaria municipal que las disposiciones legales o administrativas correspondientes ordenan.</w:t>
      </w:r>
    </w:p>
    <w:p w:rsidR="00305DCB" w:rsidRPr="00305DCB" w:rsidRDefault="00305DCB" w:rsidP="00305DCB">
      <w:pPr>
        <w:spacing w:before="120" w:line="240" w:lineRule="atLeast"/>
        <w:ind w:left="720" w:hanging="360"/>
        <w:jc w:val="both"/>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3°    Proporcionar a la administración tributaria municipal informes falsos o incompletos. En los casos mencionados la multa aplicable será igual a la señalada en el numeral primero del artículo anterior.</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Contravenciones a otras obligaciones tributarias y sanciones aplicables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37. Las contravenciones en que incurran los contribuyentes, responsables o terceros por violaciones a las obligaciones tributarias previstas en esta Ley, leyes u ordenanzas que establezcan tributos municipales y sus reglamentos, que no estuvieren tipificadas en los artículos precedentes, serán sancionadas con multa de ¢ 50.00 a 0500.00, o su equivalente en dólares de los Estados Unidos de América, según la gravedad del caso y la capacidad económica del infractor.</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CAPÍTULO III</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DELITO TRIBUTARIO MUNICIPAL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38. Constituyen delitos tributarios municipales las conductas que se tipifican y sancionan como tales en el Código Penal o en leyes especiales.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Actuaciones de la Administración Tributaria Municipal respecto a los delitos tributarios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39. Sin perjuicio de sancionar los hechos que constituyen contravenciones tributarias municipales, si esos mismos hechos y otros a juicio de la administración tributaria municipal, hacen presumir la existencia de un delito tributario, por el cual resulte perjudicada la Hacienda Pública Municipal. Dicha administración practicará las investigaciones administrativas pertinentes para asegurar la obtención y conservación de las pruebas y la identificación de los participantes en tales delitos.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lastRenderedPageBreak/>
        <w:t>Ejercicio de la acción penal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40. Si a juicio de la administración tributaria municipal se hubiere cometido un delito tributario que afecte a la Hacienda Pública Municipal, suministrará la información obtenida, si hubiere alguna y en todo caso, solicitará al Fiscal General de la República que inicie la acción penal que corresponda ante el tribunal competente, sin perjuicio de que el Concejo Municipal nombre acusador particular para los mismos efectos.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Funcionario competente</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xml:space="preserve">        Art. 41. El Alcalde municipal o el funcionario autorizado para tal efecto </w:t>
      </w:r>
      <w:proofErr w:type="gramStart"/>
      <w:r w:rsidRPr="00305DCB">
        <w:rPr>
          <w:rFonts w:ascii="Arial" w:eastAsia="Times New Roman" w:hAnsi="Arial" w:cs="Arial"/>
          <w:color w:val="000000"/>
          <w:sz w:val="18"/>
          <w:szCs w:val="18"/>
          <w:lang w:val="es-ES" w:eastAsia="es-SV"/>
        </w:rPr>
        <w:t>tiene</w:t>
      </w:r>
      <w:proofErr w:type="gramEnd"/>
      <w:r w:rsidRPr="00305DCB">
        <w:rPr>
          <w:rFonts w:ascii="Arial" w:eastAsia="Times New Roman" w:hAnsi="Arial" w:cs="Arial"/>
          <w:color w:val="000000"/>
          <w:sz w:val="18"/>
          <w:szCs w:val="18"/>
          <w:lang w:val="es-ES" w:eastAsia="es-SV"/>
        </w:rPr>
        <w:t xml:space="preserve"> competencia para conocer de contravenciones y de las sanciones correspondientes reguladas en la presente ley, conforme al procedimiento establecido en el Art. 109 y siguientes de la Ley General Tributaria Municipal.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Recurso de apelación y procedimiento</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42. Se admitirá recurso de apelación para ante el Concejo Municipal, el cual deberá interponerse ante el funcionario competente, en el plazo de tres días después de su notificación de conformidad a los supuestos y trámites que para el mismo se han establecido en el Artículo 123 y siguientes de la Ley General Tributaria Municipal.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TÍTULO VI</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CAPÍTULO I</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b/>
          <w:bCs/>
          <w:color w:val="000000"/>
          <w:sz w:val="18"/>
          <w:szCs w:val="18"/>
          <w:lang w:val="es-ES" w:eastAsia="es-SV"/>
        </w:rPr>
        <w:t>Disposiciones finales</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xml:space="preserve">        Art. 43. Por los impuestos pagados a la Municipalidad de </w:t>
      </w:r>
      <w:bookmarkStart w:id="18" w:name="marca18"/>
      <w:r w:rsidRPr="00305DCB">
        <w:rPr>
          <w:rFonts w:ascii="Arial" w:eastAsia="Times New Roman" w:hAnsi="Arial" w:cs="Arial"/>
          <w:b/>
          <w:bCs/>
          <w:color w:val="FF0000"/>
          <w:sz w:val="18"/>
          <w:szCs w:val="18"/>
          <w:lang w:val="es-ES" w:eastAsia="es-SV"/>
        </w:rPr>
        <w:t>San</w:t>
      </w:r>
      <w:bookmarkEnd w:id="18"/>
      <w:r w:rsidRPr="00305DCB">
        <w:rPr>
          <w:rFonts w:ascii="Arial" w:eastAsia="Times New Roman" w:hAnsi="Arial" w:cs="Arial"/>
          <w:color w:val="000000"/>
          <w:sz w:val="18"/>
          <w:szCs w:val="18"/>
          <w:lang w:val="es-ES" w:eastAsia="es-SV"/>
        </w:rPr>
        <w:t xml:space="preserve"> </w:t>
      </w:r>
      <w:bookmarkStart w:id="19" w:name="marca19"/>
      <w:r w:rsidRPr="00305DCB">
        <w:rPr>
          <w:rFonts w:ascii="Arial" w:eastAsia="Times New Roman" w:hAnsi="Arial" w:cs="Arial"/>
          <w:b/>
          <w:bCs/>
          <w:color w:val="FF0000"/>
          <w:sz w:val="18"/>
          <w:szCs w:val="18"/>
          <w:lang w:val="es-ES" w:eastAsia="es-SV"/>
        </w:rPr>
        <w:t>Luis</w:t>
      </w:r>
      <w:bookmarkEnd w:id="19"/>
      <w:r w:rsidRPr="00305DCB">
        <w:rPr>
          <w:rFonts w:ascii="Arial" w:eastAsia="Times New Roman" w:hAnsi="Arial" w:cs="Arial"/>
          <w:color w:val="000000"/>
          <w:sz w:val="18"/>
          <w:szCs w:val="18"/>
          <w:lang w:val="es-ES" w:eastAsia="es-SV"/>
        </w:rPr>
        <w:t xml:space="preserve"> La </w:t>
      </w:r>
      <w:bookmarkStart w:id="20" w:name="marca20"/>
      <w:r w:rsidRPr="00305DCB">
        <w:rPr>
          <w:rFonts w:ascii="Arial" w:eastAsia="Times New Roman" w:hAnsi="Arial" w:cs="Arial"/>
          <w:b/>
          <w:bCs/>
          <w:color w:val="FF0000"/>
          <w:sz w:val="18"/>
          <w:szCs w:val="18"/>
          <w:lang w:val="es-ES" w:eastAsia="es-SV"/>
        </w:rPr>
        <w:t>Herradura</w:t>
      </w:r>
      <w:bookmarkEnd w:id="20"/>
      <w:r w:rsidRPr="00305DCB">
        <w:rPr>
          <w:rFonts w:ascii="Arial" w:eastAsia="Times New Roman" w:hAnsi="Arial" w:cs="Arial"/>
          <w:color w:val="000000"/>
          <w:sz w:val="18"/>
          <w:szCs w:val="18"/>
          <w:lang w:val="es-ES" w:eastAsia="es-SV"/>
        </w:rPr>
        <w:t xml:space="preserve"> se hará un recargo del 5% que servirá para la celebración de las Fiestas Cívicas y Patronales de dicho municipio.</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44. Lo que no estuviere previsto en esta Ley estará sujeto a lo que se dispone en la Ley General Tributaria Municipal, en lo que fuere pertinente.</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Art. 45. El presente Decreto entrará en vigencia ocho días después de su publicación en el Diario Oficial.</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xml:space="preserve">        </w:t>
      </w:r>
      <w:r w:rsidRPr="00305DCB">
        <w:rPr>
          <w:rFonts w:ascii="Arial" w:eastAsia="Times New Roman" w:hAnsi="Arial" w:cs="Arial"/>
          <w:b/>
          <w:bCs/>
          <w:color w:val="000000"/>
          <w:sz w:val="18"/>
          <w:szCs w:val="18"/>
          <w:lang w:val="es-ES" w:eastAsia="es-SV"/>
        </w:rPr>
        <w:t>DADO EN EL SALÓN AZUL DEL PALACIO LEGISLATIVO:</w:t>
      </w:r>
      <w:r w:rsidRPr="00305DCB">
        <w:rPr>
          <w:rFonts w:ascii="Arial" w:eastAsia="Times New Roman" w:hAnsi="Arial" w:cs="Arial"/>
          <w:color w:val="000000"/>
          <w:sz w:val="18"/>
          <w:szCs w:val="18"/>
          <w:lang w:val="es-ES" w:eastAsia="es-SV"/>
        </w:rPr>
        <w:t xml:space="preserve"> San Salvador, a los catorce días del mes de enero del año dos mil diez.</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CIRO CRUZ ZEPEDA PEÑA</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PRESIDENTE</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lastRenderedPageBreak/>
        <w:t>OTHON SIGFRIDO REYES MORALES</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PRIMER VICEPRESIDENTE</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GUILLERMO ANTONIO GALLEGOS NAVARRETE</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SEGUNDO VICEPRESIDENTE</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JOSÉ FRANCISCO MERINO LÓPEZ</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TERCER VICEPRESIDENTE</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ALBERTO ARMANDO ROMERO RODRÍGUEZ</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CUARTO VICEPRESIDENTE</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FRANCISCO ROBERTO LORENZANA DURAN</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QUINTO VICEPRESIDENTE</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LORENA GUADALUPE PEÑA MENDOZA</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PRIMERA SECRETARIA</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CÉSAR HUMBERTO GARCÍA AGUILERA</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SEGUNDO SECRETARIO</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ELIZARDO GONZÁLEZ LOVO</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TERCER SECRETARIO</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xml:space="preserve">ROBERTO JOSÉ </w:t>
      </w:r>
      <w:proofErr w:type="spellStart"/>
      <w:r w:rsidRPr="00305DCB">
        <w:rPr>
          <w:rFonts w:ascii="Arial" w:eastAsia="Times New Roman" w:hAnsi="Arial" w:cs="Arial"/>
          <w:color w:val="000000"/>
          <w:sz w:val="18"/>
          <w:szCs w:val="18"/>
          <w:lang w:val="es-ES" w:eastAsia="es-SV"/>
        </w:rPr>
        <w:t>d'AUBUISSON</w:t>
      </w:r>
      <w:proofErr w:type="spellEnd"/>
      <w:r w:rsidRPr="00305DCB">
        <w:rPr>
          <w:rFonts w:ascii="Arial" w:eastAsia="Times New Roman" w:hAnsi="Arial" w:cs="Arial"/>
          <w:color w:val="000000"/>
          <w:sz w:val="18"/>
          <w:szCs w:val="18"/>
          <w:lang w:val="es-ES" w:eastAsia="es-SV"/>
        </w:rPr>
        <w:t xml:space="preserve"> MUNGUÍA</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CUARTO SECRETARIO</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SANDRA MARLENE SALGADO GARCÍA</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QUINTA SECRETARIA</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lastRenderedPageBreak/>
        <w:t>IRMA LOURDES PALACIOS VÁSQUEZ</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SEXTA SECRETARIA</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MIGUEL ELÍAS AHUES KARRA</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SÉPTIMO SECRETARIO</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xml:space="preserve">        </w:t>
      </w:r>
      <w:r w:rsidRPr="00305DCB">
        <w:rPr>
          <w:rFonts w:ascii="Arial" w:eastAsia="Times New Roman" w:hAnsi="Arial" w:cs="Arial"/>
          <w:b/>
          <w:bCs/>
          <w:color w:val="000000"/>
          <w:sz w:val="18"/>
          <w:szCs w:val="18"/>
          <w:lang w:val="es-ES" w:eastAsia="es-SV"/>
        </w:rPr>
        <w:t>CASA PRESIDENCIAL</w:t>
      </w:r>
      <w:r w:rsidRPr="00305DCB">
        <w:rPr>
          <w:rFonts w:ascii="Arial" w:eastAsia="Times New Roman" w:hAnsi="Arial" w:cs="Arial"/>
          <w:color w:val="000000"/>
          <w:sz w:val="18"/>
          <w:szCs w:val="18"/>
          <w:lang w:val="es-ES" w:eastAsia="es-SV"/>
        </w:rPr>
        <w:t>: San Salvador, a los veintinueve días del mes de enero del año dos mil diez.</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PUBLÍQUESE,</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CARLOS MAURICIO FUNES CARTAGENA,</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Presidente de la República.</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 </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HUMBERTO CENTENO NAJARRO,</w:t>
      </w:r>
    </w:p>
    <w:p w:rsidR="00305DCB" w:rsidRPr="00305DCB" w:rsidRDefault="00305DCB" w:rsidP="00305DCB">
      <w:pPr>
        <w:jc w:val="center"/>
        <w:rPr>
          <w:rFonts w:ascii="Calibri" w:eastAsia="Times New Roman" w:hAnsi="Calibri" w:cs="Times New Roman"/>
          <w:lang w:eastAsia="es-SV"/>
        </w:rPr>
      </w:pPr>
      <w:r w:rsidRPr="00305DCB">
        <w:rPr>
          <w:rFonts w:ascii="Arial" w:eastAsia="Times New Roman" w:hAnsi="Arial" w:cs="Arial"/>
          <w:color w:val="000000"/>
          <w:sz w:val="18"/>
          <w:szCs w:val="18"/>
          <w:lang w:val="es-ES" w:eastAsia="es-SV"/>
        </w:rPr>
        <w:t>Ministro de Gobernación.</w:t>
      </w:r>
    </w:p>
    <w:p w:rsidR="00305DCB" w:rsidRPr="00305DCB" w:rsidRDefault="00305DCB" w:rsidP="00305DCB">
      <w:pPr>
        <w:spacing w:after="0" w:line="240" w:lineRule="auto"/>
        <w:rPr>
          <w:rFonts w:ascii="Calibri" w:eastAsia="Times New Roman" w:hAnsi="Calibri" w:cs="Times New Roman"/>
          <w:lang w:eastAsia="es-SV"/>
        </w:rPr>
      </w:pPr>
      <w:r w:rsidRPr="00305DCB">
        <w:rPr>
          <w:rFonts w:ascii="Arial" w:eastAsia="Times New Roman" w:hAnsi="Arial" w:cs="Arial"/>
          <w:sz w:val="20"/>
          <w:szCs w:val="20"/>
          <w:lang w:eastAsia="es-SV"/>
        </w:rPr>
        <w:t> </w:t>
      </w:r>
    </w:p>
    <w:p w:rsidR="00305DCB" w:rsidRPr="00305DCB" w:rsidRDefault="00305DCB" w:rsidP="00305DCB">
      <w:pPr>
        <w:spacing w:after="0" w:line="240" w:lineRule="auto"/>
        <w:rPr>
          <w:rFonts w:ascii="Calibri" w:eastAsia="Times New Roman" w:hAnsi="Calibri" w:cs="Times New Roman"/>
          <w:lang w:eastAsia="es-SV"/>
        </w:rPr>
      </w:pPr>
      <w:r w:rsidRPr="00305DCB">
        <w:rPr>
          <w:rFonts w:ascii="Arial" w:eastAsia="Times New Roman" w:hAnsi="Arial" w:cs="Arial"/>
          <w:sz w:val="20"/>
          <w:szCs w:val="20"/>
          <w:lang w:eastAsia="es-SV"/>
        </w:rPr>
        <w:t> </w:t>
      </w:r>
    </w:p>
    <w:p w:rsidR="00A51450" w:rsidRDefault="00A51450"/>
    <w:sectPr w:rsidR="00A51450" w:rsidSect="00A5145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05DCB"/>
    <w:rsid w:val="00305DCB"/>
    <w:rsid w:val="00941A08"/>
    <w:rsid w:val="00A51450"/>
    <w:rsid w:val="00FC231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4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040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4264</Words>
  <Characters>23454</Characters>
  <Application>Microsoft Office Word</Application>
  <DocSecurity>0</DocSecurity>
  <Lines>195</Lines>
  <Paragraphs>55</Paragraphs>
  <ScaleCrop>false</ScaleCrop>
  <Company/>
  <LinksUpToDate>false</LinksUpToDate>
  <CharactersWithSpaces>27663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dc:creator>
  <cp:lastModifiedBy>OFI_INFORMACION</cp:lastModifiedBy>
  <cp:revision>2</cp:revision>
  <dcterms:created xsi:type="dcterms:W3CDTF">2018-06-15T15:24:00Z</dcterms:created>
  <dcterms:modified xsi:type="dcterms:W3CDTF">2019-07-30T17:41:00Z</dcterms:modified>
</cp:coreProperties>
</file>