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00805" w:rsidRDefault="00100805" w:rsidP="00FB3BC2">
      <w:pPr>
        <w:spacing w:after="200" w:line="240" w:lineRule="auto"/>
        <w:ind w:left="708"/>
        <w:jc w:val="center"/>
        <w:rPr>
          <w:rFonts w:ascii="Calibri" w:eastAsia="Calibri" w:hAnsi="Calibri" w:cs="Times New Roman"/>
          <w:color w:val="1F497D"/>
        </w:rPr>
      </w:pPr>
      <w:r>
        <w:rPr>
          <w:rFonts w:ascii="Calibri" w:eastAsia="Calibri" w:hAnsi="Calibri" w:cs="Times New Roman"/>
          <w:noProof/>
          <w:color w:val="1F497D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-48.15pt;margin-top:-51.35pt;width:496.65pt;height:582.15pt;z-index:-251658240">
            <v:imagedata r:id="rId4" o:title=""/>
          </v:shape>
          <o:OLEObject Type="Embed" ProgID="CorelDraw.Graphic.8" ShapeID="_x0000_s1027" DrawAspect="Content" ObjectID="_1609835531" r:id="rId5"/>
        </w:object>
      </w:r>
    </w:p>
    <w:p w:rsidR="00100805" w:rsidRDefault="00100805" w:rsidP="00100805">
      <w:pPr>
        <w:spacing w:after="200" w:line="240" w:lineRule="auto"/>
        <w:rPr>
          <w:rFonts w:ascii="Calibri" w:eastAsia="Calibri" w:hAnsi="Calibri" w:cs="Times New Roman"/>
          <w:color w:val="1F497D"/>
        </w:rPr>
      </w:pPr>
    </w:p>
    <w:p w:rsidR="00FB3BC2" w:rsidRPr="00550C4D" w:rsidRDefault="00FB3BC2" w:rsidP="00550C4D">
      <w:pPr>
        <w:pStyle w:val="Sinespaciado"/>
        <w:jc w:val="center"/>
        <w:rPr>
          <w:b/>
          <w:sz w:val="28"/>
          <w:szCs w:val="28"/>
        </w:rPr>
      </w:pPr>
      <w:r w:rsidRPr="00550C4D">
        <w:rPr>
          <w:b/>
          <w:sz w:val="28"/>
          <w:szCs w:val="28"/>
        </w:rPr>
        <w:t>DECRETO DE CREACION DEL MUNICIPIO DE SAN DIONISIO.</w:t>
      </w:r>
    </w:p>
    <w:p w:rsidR="00FB3BC2" w:rsidRPr="00550C4D" w:rsidRDefault="00FB3BC2" w:rsidP="00550C4D">
      <w:pPr>
        <w:pStyle w:val="Sinespaciado"/>
        <w:jc w:val="center"/>
        <w:rPr>
          <w:b/>
          <w:sz w:val="28"/>
          <w:szCs w:val="28"/>
        </w:rPr>
      </w:pPr>
      <w:r w:rsidRPr="00550C4D">
        <w:rPr>
          <w:b/>
          <w:sz w:val="28"/>
          <w:szCs w:val="28"/>
        </w:rPr>
        <w:t>DIARIO OFICIAL</w:t>
      </w:r>
    </w:p>
    <w:p w:rsidR="00FB3BC2" w:rsidRPr="00550C4D" w:rsidRDefault="00FB3BC2" w:rsidP="00550C4D">
      <w:pPr>
        <w:pStyle w:val="Sinespaciado"/>
        <w:jc w:val="center"/>
        <w:rPr>
          <w:b/>
          <w:sz w:val="28"/>
          <w:szCs w:val="28"/>
        </w:rPr>
      </w:pPr>
      <w:r w:rsidRPr="00550C4D">
        <w:rPr>
          <w:b/>
          <w:sz w:val="28"/>
          <w:szCs w:val="28"/>
        </w:rPr>
        <w:t>DE FECHA LUNES 26 DE JULIO DE 1920.</w:t>
      </w:r>
    </w:p>
    <w:p w:rsidR="00FB3BC2" w:rsidRPr="00550C4D" w:rsidRDefault="00FB3BC2" w:rsidP="00550C4D">
      <w:pPr>
        <w:pStyle w:val="Sinespaciado"/>
        <w:jc w:val="center"/>
        <w:rPr>
          <w:b/>
          <w:sz w:val="28"/>
          <w:szCs w:val="28"/>
        </w:rPr>
      </w:pPr>
      <w:r w:rsidRPr="00550C4D">
        <w:rPr>
          <w:b/>
          <w:sz w:val="28"/>
          <w:szCs w:val="28"/>
        </w:rPr>
        <w:t>PAGINA 1285</w:t>
      </w:r>
    </w:p>
    <w:p w:rsidR="00FB3BC2" w:rsidRPr="00550C4D" w:rsidRDefault="00FB3BC2" w:rsidP="00550C4D">
      <w:pPr>
        <w:pStyle w:val="Sinespaciado"/>
        <w:jc w:val="center"/>
        <w:rPr>
          <w:b/>
          <w:sz w:val="28"/>
          <w:szCs w:val="28"/>
        </w:rPr>
      </w:pPr>
      <w:r w:rsidRPr="00550C4D">
        <w:rPr>
          <w:b/>
          <w:sz w:val="28"/>
          <w:szCs w:val="28"/>
        </w:rPr>
        <w:t>SECCION OFICIAL.</w:t>
      </w:r>
    </w:p>
    <w:p w:rsidR="00FB3BC2" w:rsidRPr="00550C4D" w:rsidRDefault="00FB3BC2" w:rsidP="00550C4D">
      <w:pPr>
        <w:pStyle w:val="Sinespaciado"/>
        <w:rPr>
          <w:b/>
          <w:sz w:val="24"/>
          <w:szCs w:val="24"/>
        </w:rPr>
      </w:pPr>
      <w:r w:rsidRPr="00550C4D">
        <w:rPr>
          <w:b/>
          <w:sz w:val="24"/>
          <w:szCs w:val="24"/>
        </w:rPr>
        <w:t>PODER EJECUTIVO.</w:t>
      </w:r>
    </w:p>
    <w:p w:rsidR="00FB3BC2" w:rsidRPr="00550C4D" w:rsidRDefault="00FB3BC2" w:rsidP="00550C4D">
      <w:pPr>
        <w:pStyle w:val="Sinespaciado"/>
        <w:rPr>
          <w:rFonts w:ascii="Calibri" w:eastAsia="Calibri" w:hAnsi="Calibri" w:cs="Times New Roman"/>
          <w:b/>
          <w:sz w:val="24"/>
          <w:szCs w:val="24"/>
        </w:rPr>
      </w:pPr>
      <w:r w:rsidRPr="00550C4D">
        <w:rPr>
          <w:rFonts w:ascii="Calibri" w:eastAsia="Calibri" w:hAnsi="Calibri" w:cs="Times New Roman"/>
          <w:b/>
          <w:sz w:val="24"/>
          <w:szCs w:val="24"/>
        </w:rPr>
        <w:t>La Asamblea Nacional Legislativa de la Republica de El Salvador.</w:t>
      </w:r>
    </w:p>
    <w:p w:rsidR="00FB3BC2" w:rsidRPr="00100805" w:rsidRDefault="00FB3BC2" w:rsidP="00550C4D">
      <w:pPr>
        <w:pStyle w:val="Sinespaciado"/>
        <w:rPr>
          <w:rFonts w:ascii="Calibri" w:eastAsia="Calibri" w:hAnsi="Calibri" w:cs="Times New Roman"/>
        </w:rPr>
      </w:pPr>
      <w:r w:rsidRPr="00550C4D">
        <w:rPr>
          <w:rFonts w:ascii="Calibri" w:eastAsia="Calibri" w:hAnsi="Calibri" w:cs="Times New Roman"/>
          <w:b/>
          <w:sz w:val="24"/>
          <w:szCs w:val="24"/>
        </w:rPr>
        <w:t>CONSIDERANDO</w:t>
      </w:r>
      <w:r w:rsidRPr="00100805">
        <w:rPr>
          <w:rFonts w:ascii="Calibri" w:eastAsia="Calibri" w:hAnsi="Calibri" w:cs="Times New Roman"/>
        </w:rPr>
        <w:t>:</w:t>
      </w:r>
    </w:p>
    <w:p w:rsidR="00FB3BC2" w:rsidRPr="00550C4D" w:rsidRDefault="00FB3BC2" w:rsidP="00FB3BC2">
      <w:pPr>
        <w:spacing w:after="200" w:line="240" w:lineRule="auto"/>
        <w:jc w:val="both"/>
        <w:rPr>
          <w:rFonts w:ascii="Calibri" w:eastAsia="Calibri" w:hAnsi="Calibri" w:cs="Times New Roman"/>
          <w:sz w:val="24"/>
          <w:szCs w:val="24"/>
        </w:rPr>
      </w:pPr>
      <w:r w:rsidRPr="00550C4D">
        <w:rPr>
          <w:rFonts w:ascii="Calibri" w:eastAsia="Calibri" w:hAnsi="Calibri" w:cs="Times New Roman"/>
          <w:sz w:val="24"/>
          <w:szCs w:val="24"/>
        </w:rPr>
        <w:t>Que los cantones denominados Puerto Grande, Iglesia Vieja, San Dionisio, Mundo Nuevo y San Francisco, han alcanzado un alto grado de progreso comercial, así como por su incremento de población, son acreedores honoríficos de pueblo</w:t>
      </w:r>
      <w:r w:rsidR="006336E3" w:rsidRPr="00550C4D">
        <w:rPr>
          <w:rFonts w:ascii="Calibri" w:eastAsia="Calibri" w:hAnsi="Calibri" w:cs="Times New Roman"/>
          <w:sz w:val="24"/>
          <w:szCs w:val="24"/>
        </w:rPr>
        <w:t>.</w:t>
      </w:r>
    </w:p>
    <w:p w:rsidR="006336E3" w:rsidRPr="00550C4D" w:rsidRDefault="006336E3" w:rsidP="00550C4D">
      <w:pPr>
        <w:pStyle w:val="Sinespaciado"/>
        <w:rPr>
          <w:sz w:val="24"/>
          <w:szCs w:val="24"/>
        </w:rPr>
      </w:pPr>
      <w:r w:rsidRPr="00550C4D">
        <w:rPr>
          <w:sz w:val="24"/>
          <w:szCs w:val="24"/>
        </w:rPr>
        <w:t>POR TANTO:</w:t>
      </w:r>
    </w:p>
    <w:p w:rsidR="006336E3" w:rsidRPr="00550C4D" w:rsidRDefault="006336E3" w:rsidP="00550C4D">
      <w:pPr>
        <w:pStyle w:val="Sinespaciado"/>
        <w:rPr>
          <w:sz w:val="24"/>
          <w:szCs w:val="24"/>
        </w:rPr>
      </w:pPr>
      <w:r w:rsidRPr="00550C4D">
        <w:rPr>
          <w:sz w:val="24"/>
          <w:szCs w:val="24"/>
        </w:rPr>
        <w:t>En uso de sus facultades constitucionales,</w:t>
      </w:r>
    </w:p>
    <w:p w:rsidR="00100805" w:rsidRPr="00550C4D" w:rsidRDefault="00100805" w:rsidP="00550C4D">
      <w:pPr>
        <w:pStyle w:val="Sinespaciado"/>
        <w:rPr>
          <w:sz w:val="24"/>
          <w:szCs w:val="24"/>
        </w:rPr>
      </w:pPr>
      <w:r w:rsidRPr="00550C4D">
        <w:rPr>
          <w:sz w:val="24"/>
          <w:szCs w:val="24"/>
        </w:rPr>
        <w:t xml:space="preserve">DECRETA: </w:t>
      </w:r>
    </w:p>
    <w:p w:rsidR="00100805" w:rsidRPr="00550C4D" w:rsidRDefault="00100805" w:rsidP="00FB3BC2">
      <w:pPr>
        <w:spacing w:after="200" w:line="240" w:lineRule="auto"/>
        <w:jc w:val="both"/>
        <w:rPr>
          <w:rFonts w:ascii="Calibri" w:eastAsia="Calibri" w:hAnsi="Calibri" w:cs="Times New Roman"/>
          <w:sz w:val="24"/>
          <w:szCs w:val="24"/>
        </w:rPr>
      </w:pPr>
      <w:r w:rsidRPr="00550C4D">
        <w:rPr>
          <w:rFonts w:ascii="Calibri" w:eastAsia="Calibri" w:hAnsi="Calibri" w:cs="Times New Roman"/>
          <w:sz w:val="24"/>
          <w:szCs w:val="24"/>
        </w:rPr>
        <w:t xml:space="preserve">ART. 1°.- Eríjanse en pueblo los cantones denominados </w:t>
      </w:r>
      <w:r w:rsidRPr="00550C4D">
        <w:rPr>
          <w:rFonts w:ascii="Calibri" w:eastAsia="Calibri" w:hAnsi="Calibri" w:cs="Times New Roman"/>
          <w:sz w:val="24"/>
          <w:szCs w:val="24"/>
        </w:rPr>
        <w:t>Puerto Grande, Iglesia Vieja, San Dionisio, Mundo Nuevo y San Francisco</w:t>
      </w:r>
      <w:r w:rsidRPr="00550C4D">
        <w:rPr>
          <w:rFonts w:ascii="Calibri" w:eastAsia="Calibri" w:hAnsi="Calibri" w:cs="Times New Roman"/>
          <w:sz w:val="24"/>
          <w:szCs w:val="24"/>
        </w:rPr>
        <w:t>, con el nombre de San Dionisio, teniendo su asiento en el primero de los cantones nombrados o sea Puerto Grande.</w:t>
      </w:r>
    </w:p>
    <w:p w:rsidR="00100805" w:rsidRPr="00550C4D" w:rsidRDefault="00100805" w:rsidP="00FB3BC2">
      <w:pPr>
        <w:spacing w:after="200" w:line="240" w:lineRule="auto"/>
        <w:jc w:val="both"/>
        <w:rPr>
          <w:rFonts w:ascii="Calibri" w:eastAsia="Calibri" w:hAnsi="Calibri" w:cs="Times New Roman"/>
          <w:sz w:val="24"/>
          <w:szCs w:val="24"/>
        </w:rPr>
      </w:pPr>
      <w:r w:rsidRPr="00550C4D">
        <w:rPr>
          <w:rFonts w:ascii="Calibri" w:eastAsia="Calibri" w:hAnsi="Calibri" w:cs="Times New Roman"/>
          <w:sz w:val="24"/>
          <w:szCs w:val="24"/>
        </w:rPr>
        <w:t>ART. 2° .- Facultase al Gobernador del Departamento de Usulután, para que en su oportunidad proceda conforme a ley respectiva, a que se establezcan las autoridades locales de la mencionada población.</w:t>
      </w:r>
    </w:p>
    <w:p w:rsidR="00100805" w:rsidRPr="00550C4D" w:rsidRDefault="00100805" w:rsidP="00FB3BC2">
      <w:pPr>
        <w:spacing w:after="200" w:line="240" w:lineRule="auto"/>
        <w:jc w:val="both"/>
        <w:rPr>
          <w:rFonts w:ascii="Calibri" w:eastAsia="Calibri" w:hAnsi="Calibri" w:cs="Times New Roman"/>
          <w:sz w:val="24"/>
          <w:szCs w:val="24"/>
        </w:rPr>
      </w:pPr>
      <w:r w:rsidRPr="00550C4D">
        <w:rPr>
          <w:rFonts w:ascii="Calibri" w:eastAsia="Calibri" w:hAnsi="Calibri" w:cs="Times New Roman"/>
          <w:sz w:val="24"/>
          <w:szCs w:val="24"/>
        </w:rPr>
        <w:t>ART. 3°.- Quedan segregados, en consecuencia del Puerto de El Triunfo, los cantones San Dionisio y San Francisco.</w:t>
      </w:r>
    </w:p>
    <w:p w:rsidR="00100805" w:rsidRPr="00550C4D" w:rsidRDefault="00100805" w:rsidP="00FB3BC2">
      <w:pPr>
        <w:spacing w:after="200" w:line="240" w:lineRule="auto"/>
        <w:jc w:val="both"/>
        <w:rPr>
          <w:rFonts w:ascii="Calibri" w:eastAsia="Calibri" w:hAnsi="Calibri" w:cs="Times New Roman"/>
          <w:sz w:val="24"/>
          <w:szCs w:val="24"/>
        </w:rPr>
      </w:pPr>
      <w:r w:rsidRPr="00550C4D">
        <w:rPr>
          <w:rFonts w:ascii="Calibri" w:eastAsia="Calibri" w:hAnsi="Calibri" w:cs="Times New Roman"/>
          <w:sz w:val="24"/>
          <w:szCs w:val="24"/>
        </w:rPr>
        <w:t>Dado en el salón de sesiones del Poder Legislativo, Palacio Nacional: San Salvador, a los</w:t>
      </w:r>
      <w:r w:rsidRPr="00100805">
        <w:rPr>
          <w:rFonts w:ascii="Calibri" w:eastAsia="Calibri" w:hAnsi="Calibri" w:cs="Times New Roman"/>
          <w:b/>
          <w:sz w:val="24"/>
          <w:szCs w:val="24"/>
        </w:rPr>
        <w:t xml:space="preserve"> </w:t>
      </w:r>
      <w:r w:rsidRPr="00550C4D">
        <w:rPr>
          <w:rFonts w:ascii="Calibri" w:eastAsia="Calibri" w:hAnsi="Calibri" w:cs="Times New Roman"/>
          <w:sz w:val="24"/>
          <w:szCs w:val="24"/>
        </w:rPr>
        <w:t xml:space="preserve">veintiún días del mes de julio de mil novecientos veinte. </w:t>
      </w:r>
    </w:p>
    <w:p w:rsidR="00100805" w:rsidRPr="00550C4D" w:rsidRDefault="00100805" w:rsidP="00100805">
      <w:pPr>
        <w:pStyle w:val="Sinespaciado"/>
        <w:jc w:val="center"/>
        <w:rPr>
          <w:sz w:val="24"/>
          <w:szCs w:val="24"/>
        </w:rPr>
      </w:pPr>
      <w:r w:rsidRPr="00550C4D">
        <w:rPr>
          <w:sz w:val="24"/>
          <w:szCs w:val="24"/>
        </w:rPr>
        <w:t>Roberto Parker</w:t>
      </w:r>
    </w:p>
    <w:p w:rsidR="00100805" w:rsidRPr="00550C4D" w:rsidRDefault="00100805" w:rsidP="00550C4D">
      <w:pPr>
        <w:pStyle w:val="Sinespaciado"/>
        <w:jc w:val="center"/>
        <w:rPr>
          <w:sz w:val="24"/>
          <w:szCs w:val="24"/>
        </w:rPr>
      </w:pPr>
      <w:r w:rsidRPr="00550C4D">
        <w:rPr>
          <w:sz w:val="24"/>
          <w:szCs w:val="24"/>
        </w:rPr>
        <w:t>Presidente</w:t>
      </w:r>
    </w:p>
    <w:p w:rsidR="00550C4D" w:rsidRPr="00550C4D" w:rsidRDefault="00550C4D" w:rsidP="00550C4D">
      <w:pPr>
        <w:pStyle w:val="Sinespaciado"/>
        <w:jc w:val="center"/>
        <w:rPr>
          <w:b/>
        </w:rPr>
      </w:pPr>
    </w:p>
    <w:p w:rsidR="00100805" w:rsidRPr="00550C4D" w:rsidRDefault="00550C4D" w:rsidP="00550C4D">
      <w:pPr>
        <w:pStyle w:val="Sinespaciado"/>
        <w:rPr>
          <w:sz w:val="24"/>
          <w:szCs w:val="24"/>
        </w:rPr>
      </w:pPr>
      <w:r w:rsidRPr="00550C4D">
        <w:rPr>
          <w:sz w:val="24"/>
          <w:szCs w:val="24"/>
        </w:rPr>
        <w:t>Miguel A. Soriano.</w:t>
      </w:r>
      <w:r w:rsidRPr="00550C4D">
        <w:rPr>
          <w:sz w:val="24"/>
          <w:szCs w:val="24"/>
        </w:rPr>
        <w:tab/>
      </w:r>
      <w:r w:rsidRPr="00550C4D">
        <w:rPr>
          <w:sz w:val="24"/>
          <w:szCs w:val="24"/>
        </w:rPr>
        <w:tab/>
      </w:r>
      <w:r w:rsidRPr="00550C4D">
        <w:rPr>
          <w:sz w:val="24"/>
          <w:szCs w:val="24"/>
        </w:rPr>
        <w:tab/>
      </w:r>
      <w:r w:rsidRPr="00550C4D">
        <w:rPr>
          <w:sz w:val="24"/>
          <w:szCs w:val="24"/>
        </w:rPr>
        <w:tab/>
        <w:t>Rafael Justiniano Hidalgo.</w:t>
      </w:r>
    </w:p>
    <w:p w:rsidR="00550C4D" w:rsidRPr="00550C4D" w:rsidRDefault="00550C4D" w:rsidP="00550C4D">
      <w:pPr>
        <w:pStyle w:val="Sinespaciado"/>
        <w:rPr>
          <w:sz w:val="24"/>
          <w:szCs w:val="24"/>
        </w:rPr>
      </w:pPr>
      <w:r w:rsidRPr="00550C4D">
        <w:rPr>
          <w:sz w:val="24"/>
          <w:szCs w:val="24"/>
        </w:rPr>
        <w:t>1er. Secretario.</w:t>
      </w:r>
      <w:r w:rsidRPr="00550C4D">
        <w:rPr>
          <w:sz w:val="24"/>
          <w:szCs w:val="24"/>
        </w:rPr>
        <w:tab/>
      </w:r>
      <w:r w:rsidRPr="00550C4D">
        <w:rPr>
          <w:sz w:val="24"/>
          <w:szCs w:val="24"/>
        </w:rPr>
        <w:tab/>
      </w:r>
      <w:r w:rsidRPr="00550C4D">
        <w:rPr>
          <w:sz w:val="24"/>
          <w:szCs w:val="24"/>
        </w:rPr>
        <w:tab/>
      </w:r>
      <w:r w:rsidRPr="00550C4D">
        <w:rPr>
          <w:sz w:val="24"/>
          <w:szCs w:val="24"/>
        </w:rPr>
        <w:tab/>
        <w:t>2° Secretario.</w:t>
      </w:r>
    </w:p>
    <w:p w:rsidR="00550C4D" w:rsidRPr="00550C4D" w:rsidRDefault="00550C4D" w:rsidP="00550C4D">
      <w:pPr>
        <w:pStyle w:val="Sinespaciado"/>
        <w:rPr>
          <w:sz w:val="24"/>
          <w:szCs w:val="24"/>
        </w:rPr>
      </w:pPr>
    </w:p>
    <w:p w:rsidR="00100805" w:rsidRDefault="00550C4D" w:rsidP="00FB3BC2">
      <w:pPr>
        <w:spacing w:after="200" w:line="240" w:lineRule="auto"/>
        <w:jc w:val="both"/>
        <w:rPr>
          <w:sz w:val="24"/>
          <w:szCs w:val="24"/>
        </w:rPr>
      </w:pPr>
      <w:r w:rsidRPr="00550C4D">
        <w:rPr>
          <w:sz w:val="24"/>
          <w:szCs w:val="24"/>
        </w:rPr>
        <w:tab/>
        <w:t>Palacio Nacional: San Salvador, 23 de Julio de 1920.</w:t>
      </w:r>
    </w:p>
    <w:p w:rsidR="00550C4D" w:rsidRDefault="00550C4D" w:rsidP="00FB3BC2">
      <w:pPr>
        <w:spacing w:after="200" w:line="240" w:lineRule="auto"/>
        <w:jc w:val="both"/>
        <w:rPr>
          <w:rFonts w:ascii="Calibri" w:eastAsia="Calibri" w:hAnsi="Calibri" w:cs="Times New Roman"/>
          <w:sz w:val="24"/>
          <w:szCs w:val="24"/>
        </w:rPr>
      </w:pPr>
      <w:r>
        <w:rPr>
          <w:rFonts w:ascii="Calibri" w:eastAsia="Calibri" w:hAnsi="Calibri" w:cs="Times New Roman"/>
          <w:sz w:val="24"/>
          <w:szCs w:val="24"/>
        </w:rPr>
        <w:t>Publíquese.</w:t>
      </w:r>
    </w:p>
    <w:p w:rsidR="00550C4D" w:rsidRPr="00550C4D" w:rsidRDefault="00550C4D" w:rsidP="00550C4D">
      <w:pPr>
        <w:pStyle w:val="Sinespaciado"/>
        <w:rPr>
          <w:sz w:val="24"/>
          <w:szCs w:val="24"/>
        </w:rPr>
      </w:pPr>
      <w:r>
        <w:t>JORGE MELENDEZ.-</w:t>
      </w:r>
      <w:r>
        <w:tab/>
      </w:r>
      <w:r>
        <w:tab/>
      </w:r>
      <w:r w:rsidRPr="00550C4D">
        <w:rPr>
          <w:sz w:val="24"/>
          <w:szCs w:val="24"/>
        </w:rPr>
        <w:t>El Ministro de Gobernación.</w:t>
      </w:r>
    </w:p>
    <w:p w:rsidR="00550C4D" w:rsidRPr="00550C4D" w:rsidRDefault="00550C4D" w:rsidP="00550C4D">
      <w:pPr>
        <w:pStyle w:val="Sinespaciado"/>
        <w:rPr>
          <w:sz w:val="24"/>
          <w:szCs w:val="24"/>
        </w:rPr>
      </w:pPr>
      <w:r w:rsidRPr="00550C4D">
        <w:rPr>
          <w:sz w:val="24"/>
          <w:szCs w:val="24"/>
        </w:rPr>
        <w:tab/>
      </w:r>
      <w:r w:rsidRPr="00550C4D">
        <w:rPr>
          <w:sz w:val="24"/>
          <w:szCs w:val="24"/>
        </w:rPr>
        <w:tab/>
      </w:r>
      <w:r w:rsidRPr="00550C4D">
        <w:rPr>
          <w:sz w:val="24"/>
          <w:szCs w:val="24"/>
        </w:rPr>
        <w:tab/>
      </w:r>
      <w:r w:rsidRPr="00550C4D">
        <w:rPr>
          <w:sz w:val="24"/>
          <w:szCs w:val="24"/>
        </w:rPr>
        <w:tab/>
        <w:t xml:space="preserve">Baltasar Estupinián. </w:t>
      </w:r>
    </w:p>
    <w:p w:rsidR="00550C4D" w:rsidRDefault="00550C4D" w:rsidP="00FB3BC2">
      <w:pPr>
        <w:spacing w:after="200" w:line="240" w:lineRule="auto"/>
        <w:jc w:val="both"/>
        <w:rPr>
          <w:rFonts w:ascii="Calibri" w:eastAsia="Calibri" w:hAnsi="Calibri" w:cs="Times New Roman"/>
          <w:sz w:val="24"/>
          <w:szCs w:val="24"/>
        </w:rPr>
      </w:pPr>
    </w:p>
    <w:p w:rsidR="00550C4D" w:rsidRPr="00FB3BC2" w:rsidRDefault="00550C4D" w:rsidP="00FB3BC2">
      <w:pPr>
        <w:spacing w:after="200" w:line="240" w:lineRule="auto"/>
        <w:jc w:val="both"/>
        <w:rPr>
          <w:rFonts w:ascii="Calibri" w:eastAsia="Calibri" w:hAnsi="Calibri" w:cs="Times New Roman"/>
          <w:sz w:val="24"/>
          <w:szCs w:val="24"/>
        </w:rPr>
      </w:pPr>
    </w:p>
    <w:p w:rsidR="00483C85" w:rsidRDefault="00483C85" w:rsidP="00FB3BC2">
      <w:pPr>
        <w:jc w:val="center"/>
      </w:pPr>
      <w:bookmarkStart w:id="0" w:name="_GoBack"/>
      <w:r>
        <w:rPr>
          <w:noProof/>
        </w:rPr>
        <w:drawing>
          <wp:inline distT="0" distB="0" distL="0" distR="0" wp14:anchorId="7A0B9A00">
            <wp:extent cx="6399530" cy="7806757"/>
            <wp:effectExtent l="0" t="0" r="1270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bright="-14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04" t="4780" r="6014" b="9566"/>
                    <a:stretch/>
                  </pic:blipFill>
                  <pic:spPr bwMode="auto">
                    <a:xfrm>
                      <a:off x="0" y="0"/>
                      <a:ext cx="6400801" cy="78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483C85" w:rsidRDefault="00483C85" w:rsidP="00FB3BC2">
      <w:pPr>
        <w:jc w:val="center"/>
      </w:pPr>
    </w:p>
    <w:p w:rsidR="00483C85" w:rsidRPr="00FB3BC2" w:rsidRDefault="00483C85" w:rsidP="00483C85">
      <w:pPr>
        <w:spacing w:after="200" w:line="240" w:lineRule="auto"/>
        <w:jc w:val="both"/>
        <w:rPr>
          <w:rFonts w:ascii="Calibri" w:eastAsia="Calibri" w:hAnsi="Calibri" w:cs="Times New Roman"/>
          <w:color w:val="1F497D"/>
          <w:sz w:val="24"/>
          <w:szCs w:val="24"/>
        </w:rPr>
      </w:pPr>
      <w:hyperlink r:id="rId8" w:history="1">
        <w:r w:rsidRPr="00FB3BC2">
          <w:rPr>
            <w:rFonts w:ascii="Calibri" w:eastAsia="Calibri" w:hAnsi="Calibri" w:cs="Times New Roman"/>
            <w:color w:val="0000FF"/>
            <w:sz w:val="24"/>
            <w:szCs w:val="24"/>
            <w:u w:val="single"/>
          </w:rPr>
          <w:t>Decreto Legislativo</w:t>
        </w:r>
      </w:hyperlink>
      <w:r w:rsidRPr="00FB3BC2">
        <w:rPr>
          <w:rFonts w:ascii="Calibri" w:eastAsia="Calibri" w:hAnsi="Calibri" w:cs="Times New Roman"/>
          <w:color w:val="1F497D"/>
          <w:sz w:val="24"/>
          <w:szCs w:val="24"/>
        </w:rPr>
        <w:t xml:space="preserve"> del 21 de Julio de 1920, durante la administración de Don Jorge Meléndez, </w:t>
      </w:r>
    </w:p>
    <w:p w:rsidR="00483C85" w:rsidRDefault="00483C85" w:rsidP="00483C85">
      <w:pPr>
        <w:jc w:val="center"/>
      </w:pPr>
      <w:r>
        <w:rPr>
          <w:noProof/>
        </w:rPr>
        <w:drawing>
          <wp:inline distT="0" distB="0" distL="0" distR="0" wp14:anchorId="44F76567" wp14:editId="61F9F157">
            <wp:extent cx="5614670" cy="4036060"/>
            <wp:effectExtent l="0" t="0" r="5080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670" cy="403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>
      <w:pPr>
        <w:jc w:val="center"/>
      </w:pPr>
    </w:p>
    <w:p w:rsidR="00483C85" w:rsidRDefault="00483C85" w:rsidP="00483C85"/>
    <w:sectPr w:rsidR="00483C85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3BC2"/>
    <w:rsid w:val="00100805"/>
    <w:rsid w:val="00483C85"/>
    <w:rsid w:val="00550C4D"/>
    <w:rsid w:val="006336E3"/>
    <w:rsid w:val="0082690B"/>
    <w:rsid w:val="00FB3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;"/>
  <w14:docId w14:val="748A4531"/>
  <w15:chartTrackingRefBased/>
  <w15:docId w15:val="{2D7DFA4E-FDD3-46A1-AA9E-88CA9B9B5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Sinespaciado">
    <w:name w:val="No Spacing"/>
    <w:uiPriority w:val="1"/>
    <w:qFormat/>
    <w:rsid w:val="0010080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s.wikipedia.org/wiki/Decreto_Legislativo" TargetMode="External"/><Relationship Id="rId3" Type="http://schemas.openxmlformats.org/officeDocument/2006/relationships/webSettings" Target="webSettings.xml"/><Relationship Id="rId7" Type="http://schemas.microsoft.com/office/2007/relationships/hdphoto" Target="media/hdphoto1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wmf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254</Words>
  <Characters>1403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Alcaldia San Dionisio</dc:creator>
  <cp:keywords/>
  <dc:description/>
  <cp:lastModifiedBy>Alcaldia San Dionisio</cp:lastModifiedBy>
  <cp:revision>2</cp:revision>
  <dcterms:created xsi:type="dcterms:W3CDTF">2019-01-24T16:56:00Z</dcterms:created>
  <dcterms:modified xsi:type="dcterms:W3CDTF">2019-01-24T17:46:00Z</dcterms:modified>
</cp:coreProperties>
</file>