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B32" w:rsidRDefault="00FB5FC6" w:rsidP="00387690">
      <w:pPr>
        <w:pStyle w:val="Ttulo"/>
        <w:jc w:val="center"/>
        <w:rPr>
          <w:rStyle w:val="Referenciaintensa"/>
        </w:rPr>
      </w:pPr>
      <w:r>
        <w:rPr>
          <w:b/>
          <w:bCs/>
          <w:smallCaps/>
          <w:noProof/>
          <w:color w:val="5B9BD5" w:themeColor="accent1"/>
          <w:spacing w:val="5"/>
          <w:lang w:val="es-SV" w:eastAsia="es-SV"/>
        </w:rPr>
        <w:drawing>
          <wp:inline distT="0" distB="0" distL="0" distR="0" wp14:anchorId="5CD4E497" wp14:editId="6E52562F">
            <wp:extent cx="1609725" cy="800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719" cy="799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F3E" w:rsidRPr="000A4B57" w:rsidRDefault="00387690" w:rsidP="00FB5FC6">
      <w:pPr>
        <w:pStyle w:val="Ttulo"/>
        <w:jc w:val="center"/>
      </w:pPr>
      <w:r w:rsidRPr="000A4B57">
        <w:rPr>
          <w:rStyle w:val="Referenciaintensa"/>
          <w:rFonts w:asciiTheme="minorHAnsi" w:hAnsiTheme="minorHAnsi"/>
          <w:color w:val="auto"/>
        </w:rPr>
        <w:t xml:space="preserve"> </w:t>
      </w:r>
      <w:r w:rsidR="00BA7B32" w:rsidRPr="000A4B57">
        <w:rPr>
          <w:rStyle w:val="Referenciaintensa"/>
          <w:rFonts w:asciiTheme="minorHAnsi" w:hAnsiTheme="minorHAnsi"/>
          <w:color w:val="auto"/>
        </w:rPr>
        <w:t xml:space="preserve">Alcaldía </w:t>
      </w:r>
      <w:r w:rsidR="00321F3E" w:rsidRPr="000A4B57">
        <w:rPr>
          <w:rStyle w:val="Referenciaintensa"/>
          <w:rFonts w:asciiTheme="minorHAnsi" w:hAnsiTheme="minorHAnsi"/>
          <w:color w:val="auto"/>
        </w:rPr>
        <w:t xml:space="preserve">Municipal </w:t>
      </w:r>
      <w:r w:rsidR="00BA7B32" w:rsidRPr="000A4B57">
        <w:rPr>
          <w:rStyle w:val="Referenciaintensa"/>
          <w:rFonts w:asciiTheme="minorHAnsi" w:hAnsiTheme="minorHAnsi"/>
          <w:color w:val="auto"/>
        </w:rPr>
        <w:t xml:space="preserve">de </w:t>
      </w:r>
      <w:r w:rsidR="00FB5FC6" w:rsidRPr="000A4B57">
        <w:rPr>
          <w:rStyle w:val="Referenciaintensa"/>
          <w:rFonts w:asciiTheme="minorHAnsi" w:hAnsiTheme="minorHAnsi"/>
          <w:color w:val="auto"/>
        </w:rPr>
        <w:t>SAN DIONISIO</w:t>
      </w:r>
    </w:p>
    <w:p w:rsidR="000758FC" w:rsidRPr="000A4B57" w:rsidRDefault="00BA7B32" w:rsidP="00387690">
      <w:pPr>
        <w:pStyle w:val="Ttulo"/>
        <w:jc w:val="center"/>
        <w:rPr>
          <w:rStyle w:val="Referenciaintensa"/>
          <w:rFonts w:asciiTheme="minorHAnsi" w:hAnsiTheme="minorHAnsi"/>
          <w:color w:val="auto"/>
        </w:rPr>
      </w:pPr>
      <w:r w:rsidRPr="000A4B57">
        <w:rPr>
          <w:rStyle w:val="Referenciaintensa"/>
          <w:rFonts w:asciiTheme="minorHAnsi" w:hAnsiTheme="minorHAnsi"/>
          <w:color w:val="auto"/>
        </w:rPr>
        <w:t>ÍNDICE DE INFORMACIÓN RESERVADA</w:t>
      </w:r>
      <w:r w:rsidR="00677482">
        <w:rPr>
          <w:rStyle w:val="Referenciaintensa"/>
          <w:rFonts w:asciiTheme="minorHAnsi" w:hAnsiTheme="minorHAnsi"/>
          <w:color w:val="auto"/>
        </w:rPr>
        <w:t xml:space="preserve"> </w:t>
      </w:r>
      <w:r w:rsidR="000D6214">
        <w:rPr>
          <w:rStyle w:val="Referenciaintensa"/>
          <w:rFonts w:asciiTheme="minorHAnsi" w:hAnsiTheme="minorHAnsi"/>
          <w:color w:val="auto"/>
        </w:rPr>
        <w:t>201</w:t>
      </w:r>
      <w:r w:rsidR="0093370F">
        <w:rPr>
          <w:rStyle w:val="Referenciaintensa"/>
          <w:rFonts w:asciiTheme="minorHAnsi" w:hAnsiTheme="minorHAnsi"/>
          <w:color w:val="auto"/>
        </w:rPr>
        <w:t>9</w:t>
      </w:r>
      <w:r w:rsidR="000D6214">
        <w:rPr>
          <w:rStyle w:val="Referenciaintensa"/>
          <w:rFonts w:asciiTheme="minorHAnsi" w:hAnsiTheme="minorHAnsi"/>
          <w:color w:val="auto"/>
        </w:rPr>
        <w:t>.</w:t>
      </w:r>
    </w:p>
    <w:p w:rsidR="001E7A95" w:rsidRPr="00447D80" w:rsidRDefault="00B34005" w:rsidP="00B34005">
      <w:pPr>
        <w:spacing w:after="0"/>
        <w:jc w:val="both"/>
      </w:pPr>
      <w:r w:rsidRPr="00447D80">
        <w:t>Este Índice de Información Reservada estable</w:t>
      </w:r>
      <w:r w:rsidR="00D91782" w:rsidRPr="00447D80">
        <w:t>ce</w:t>
      </w:r>
      <w:r w:rsidRPr="00447D80">
        <w:t xml:space="preserve"> la información que la municipalidad considera de acceso restringido tomando como base el Capitulo II, y  específicamente el artículo 22 </w:t>
      </w:r>
      <w:r w:rsidR="00C35290" w:rsidRPr="00447D80">
        <w:t>de la LAIP.</w:t>
      </w:r>
      <w:bookmarkStart w:id="0" w:name="_GoBack"/>
      <w:bookmarkEnd w:id="0"/>
    </w:p>
    <w:tbl>
      <w:tblPr>
        <w:tblpPr w:leftFromText="141" w:rightFromText="141" w:vertAnchor="page" w:horzAnchor="margin" w:tblpY="5551"/>
        <w:tblW w:w="1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238"/>
        <w:gridCol w:w="1846"/>
        <w:gridCol w:w="2922"/>
        <w:gridCol w:w="709"/>
        <w:gridCol w:w="774"/>
        <w:gridCol w:w="1919"/>
        <w:gridCol w:w="1417"/>
        <w:gridCol w:w="788"/>
        <w:gridCol w:w="855"/>
      </w:tblGrid>
      <w:tr w:rsidR="001E7A95" w:rsidRPr="00093241" w:rsidTr="00600A79">
        <w:tc>
          <w:tcPr>
            <w:tcW w:w="5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093241" w:rsidRDefault="001E7A95" w:rsidP="00600A79">
            <w:pPr>
              <w:jc w:val="center"/>
              <w:rPr>
                <w:b/>
                <w:sz w:val="20"/>
              </w:rPr>
            </w:pPr>
            <w:r w:rsidRPr="00093241">
              <w:rPr>
                <w:b/>
                <w:sz w:val="20"/>
              </w:rPr>
              <w:t>No.</w:t>
            </w:r>
          </w:p>
        </w:tc>
        <w:tc>
          <w:tcPr>
            <w:tcW w:w="12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Rubro temático</w:t>
            </w:r>
          </w:p>
        </w:tc>
        <w:tc>
          <w:tcPr>
            <w:tcW w:w="18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 w:rsidRPr="00093241">
              <w:rPr>
                <w:b/>
                <w:sz w:val="20"/>
              </w:rPr>
              <w:t>Unidad Administrativa</w:t>
            </w:r>
            <w:r>
              <w:rPr>
                <w:b/>
                <w:sz w:val="20"/>
              </w:rPr>
              <w:t xml:space="preserve"> /</w:t>
            </w:r>
          </w:p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Autoridad que la generó</w:t>
            </w:r>
          </w:p>
        </w:tc>
        <w:tc>
          <w:tcPr>
            <w:tcW w:w="29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1E7A95" w:rsidRPr="000D5CF2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 w:rsidRPr="00093241">
              <w:rPr>
                <w:b/>
                <w:sz w:val="20"/>
              </w:rPr>
              <w:t>Nombre de</w:t>
            </w:r>
            <w:r>
              <w:rPr>
                <w:b/>
                <w:sz w:val="20"/>
              </w:rPr>
              <w:t>l documento / código de identificación</w:t>
            </w:r>
          </w:p>
        </w:tc>
        <w:tc>
          <w:tcPr>
            <w:tcW w:w="148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 w:rsidRPr="00093241">
              <w:rPr>
                <w:b/>
                <w:sz w:val="20"/>
              </w:rPr>
              <w:t>Tipo de Reserva</w:t>
            </w:r>
          </w:p>
        </w:tc>
        <w:tc>
          <w:tcPr>
            <w:tcW w:w="19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Detalle de la reserva parcial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Fundamento</w:t>
            </w:r>
            <w:r w:rsidRPr="00093241">
              <w:rPr>
                <w:b/>
                <w:sz w:val="20"/>
              </w:rPr>
              <w:t xml:space="preserve"> Legal</w:t>
            </w:r>
          </w:p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Art. 19 LAIP</w:t>
            </w:r>
          </w:p>
        </w:tc>
        <w:tc>
          <w:tcPr>
            <w:tcW w:w="16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 w:rsidRPr="00093241">
              <w:rPr>
                <w:b/>
                <w:sz w:val="20"/>
              </w:rPr>
              <w:t>Datos de la clasificación</w:t>
            </w:r>
          </w:p>
        </w:tc>
      </w:tr>
      <w:tr w:rsidR="001E7A95" w:rsidRPr="005F2D77" w:rsidTr="00600A79">
        <w:tc>
          <w:tcPr>
            <w:tcW w:w="5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12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18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2922" w:type="dxa"/>
            <w:vMerge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 w:rsidRPr="005F2D77">
              <w:rPr>
                <w:sz w:val="20"/>
              </w:rPr>
              <w:t>Total</w:t>
            </w:r>
          </w:p>
        </w:tc>
        <w:tc>
          <w:tcPr>
            <w:tcW w:w="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 w:rsidRPr="005F2D77">
              <w:rPr>
                <w:sz w:val="20"/>
              </w:rPr>
              <w:t>Parcial</w:t>
            </w:r>
          </w:p>
        </w:tc>
        <w:tc>
          <w:tcPr>
            <w:tcW w:w="19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 w:rsidRPr="005F2D77">
              <w:rPr>
                <w:sz w:val="20"/>
              </w:rPr>
              <w:t>Fecha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 w:rsidRPr="005F2D77">
              <w:rPr>
                <w:sz w:val="20"/>
              </w:rPr>
              <w:t>Plazo</w:t>
            </w:r>
          </w:p>
        </w:tc>
      </w:tr>
      <w:tr w:rsidR="001E7A95" w:rsidRPr="005F2D77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Contables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Tesorería.-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T. 0001</w:t>
            </w:r>
          </w:p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Números de Cuenta</w:t>
            </w:r>
            <w:r w:rsidR="00D91782">
              <w:rPr>
                <w:sz w:val="20"/>
              </w:rPr>
              <w:t>s</w:t>
            </w:r>
            <w:r>
              <w:rPr>
                <w:sz w:val="20"/>
              </w:rPr>
              <w:t xml:space="preserve"> </w:t>
            </w:r>
            <w:r w:rsidR="00D91782">
              <w:rPr>
                <w:sz w:val="20"/>
              </w:rPr>
              <w:t xml:space="preserve">Bancarias </w:t>
            </w:r>
            <w:r>
              <w:rPr>
                <w:sz w:val="20"/>
              </w:rPr>
              <w:t>de Alcaldía Municipal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Los numero de Cuenta </w:t>
            </w:r>
            <w:r w:rsidR="00D91782">
              <w:rPr>
                <w:sz w:val="20"/>
              </w:rPr>
              <w:t xml:space="preserve">bancaria </w:t>
            </w:r>
            <w:r>
              <w:rPr>
                <w:sz w:val="20"/>
              </w:rPr>
              <w:t>que se utilizan para</w:t>
            </w:r>
            <w:r w:rsidR="00D91782">
              <w:rPr>
                <w:sz w:val="20"/>
              </w:rPr>
              <w:t xml:space="preserve"> el manejo de los fondos</w:t>
            </w:r>
            <w:r>
              <w:rPr>
                <w:sz w:val="20"/>
              </w:rPr>
              <w:t xml:space="preserve"> Ingresos y egresos de La Alcaldía.</w:t>
            </w:r>
          </w:p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así los montos de las cuentas, </w:t>
            </w:r>
            <w:r w:rsidR="00D91782">
              <w:rPr>
                <w:sz w:val="20"/>
              </w:rPr>
              <w:t>que pueden ser entregado</w:t>
            </w:r>
            <w:r>
              <w:rPr>
                <w:sz w:val="20"/>
              </w:rPr>
              <w:t>s,</w:t>
            </w:r>
          </w:p>
          <w:p w:rsidR="001E7A95" w:rsidRPr="005F2D77" w:rsidRDefault="00D91782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Previo autorización del Conc</w:t>
            </w:r>
            <w:r w:rsidR="001E7A95">
              <w:rPr>
                <w:sz w:val="20"/>
              </w:rPr>
              <w:t>ejo Municipal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lastRenderedPageBreak/>
              <w:t xml:space="preserve">232 de la Ley de Bancos, información sobre esas operaciones solo a su titular, a la persona que lo represente legalmente y a la Dirección General de Impuestos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lastRenderedPageBreak/>
              <w:t>Internos cuando lo requiera en procesos de fiscalización"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26-01-15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r>
              <w:t>5 años</w:t>
            </w:r>
          </w:p>
        </w:tc>
      </w:tr>
      <w:tr w:rsidR="001E7A95" w:rsidRPr="005F2D77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</w:p>
          <w:p w:rsidR="001E7A95" w:rsidRDefault="001E7A95" w:rsidP="00600A79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Contable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Tesorería.-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T. 0002</w:t>
            </w:r>
          </w:p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Nombre de los refrendarios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Pr="005F2D77" w:rsidRDefault="00D91782" w:rsidP="00D91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 ser las única</w:t>
            </w:r>
            <w:r w:rsidR="001E7A95">
              <w:rPr>
                <w:sz w:val="20"/>
              </w:rPr>
              <w:t xml:space="preserve">s </w:t>
            </w:r>
            <w:r>
              <w:rPr>
                <w:sz w:val="20"/>
              </w:rPr>
              <w:t>personas autorizadas por el Conc</w:t>
            </w:r>
            <w:r w:rsidR="001E7A95">
              <w:rPr>
                <w:sz w:val="20"/>
              </w:rPr>
              <w:t>ejo</w:t>
            </w:r>
            <w:r>
              <w:rPr>
                <w:sz w:val="20"/>
              </w:rPr>
              <w:t xml:space="preserve"> Municipal para emisión</w:t>
            </w:r>
            <w:r w:rsidR="001E7A95">
              <w:rPr>
                <w:sz w:val="20"/>
              </w:rPr>
              <w:t xml:space="preserve"> de cheque, se limita el acceso a los datos de las personas por su seguridad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Articulo 19 literal d</w:t>
            </w:r>
          </w:p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Considerando que podría ser objeto de la delincuencia imperante.-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cs="Calibri"/>
                <w:sz w:val="20"/>
              </w:rPr>
              <w:t>6</w:t>
            </w:r>
            <w:r>
              <w:rPr>
                <w:sz w:val="20"/>
              </w:rPr>
              <w:t>-01-15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5F2D77" w:rsidRDefault="000D6214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E7A95">
              <w:rPr>
                <w:sz w:val="20"/>
              </w:rPr>
              <w:t xml:space="preserve"> años</w:t>
            </w:r>
          </w:p>
        </w:tc>
      </w:tr>
      <w:tr w:rsidR="001E7A95" w:rsidRPr="005F2D77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Adquisiciones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UACI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F355CF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U. 0003</w:t>
            </w:r>
          </w:p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Libro de Proveedores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La mayoría de proveedores, tienen su negocio, en el mismo lugar de habitación, razón por lo cual se reserva la información y datos personales como direcciones y números, de teléfono, a los particulares se podrá dar nombre de empresa y solo se dará datos como tel. o direcciones a </w:t>
            </w:r>
            <w:r>
              <w:rPr>
                <w:sz w:val="20"/>
              </w:rPr>
              <w:lastRenderedPageBreak/>
              <w:t>instituciones estatales, que deseen contar son los servicios u si se tratare de investigación, registral o de impuestos. Y a La Corte de Cuenta de La Republica.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Articulo 19 literal d.-</w:t>
            </w:r>
          </w:p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Además de que hay información que es confidencial, por ser de tipo personal de los proveedores, nombres comerciales o de empresa se darán </w:t>
            </w:r>
            <w:r w:rsidR="000D6214">
              <w:rPr>
                <w:sz w:val="20"/>
              </w:rPr>
              <w:t>así</w:t>
            </w:r>
            <w:r>
              <w:rPr>
                <w:sz w:val="20"/>
              </w:rPr>
              <w:t xml:space="preserve"> como en que </w:t>
            </w:r>
            <w:r>
              <w:rPr>
                <w:sz w:val="20"/>
              </w:rPr>
              <w:lastRenderedPageBreak/>
              <w:t>productos o proyectos intervino como nuestro proveedor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26-01-15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Default="000D6214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E7A95">
              <w:rPr>
                <w:sz w:val="20"/>
              </w:rPr>
              <w:t xml:space="preserve"> años</w:t>
            </w:r>
          </w:p>
        </w:tc>
      </w:tr>
      <w:tr w:rsidR="001E7A95" w:rsidRPr="005F2D77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Convenios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UACI-SINDICATURA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F355CF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U. 0004</w:t>
            </w:r>
          </w:p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Convenio Prevención de la Violencia. San Dionisio, 2013, 2014, 2015.</w:t>
            </w:r>
            <w:r w:rsidR="00D91782">
              <w:rPr>
                <w:sz w:val="20"/>
              </w:rPr>
              <w:t xml:space="preserve"> 2016</w:t>
            </w:r>
            <w:r>
              <w:rPr>
                <w:sz w:val="20"/>
              </w:rPr>
              <w:t>-</w:t>
            </w:r>
            <w:r w:rsidR="000D6214">
              <w:rPr>
                <w:sz w:val="20"/>
              </w:rPr>
              <w:t>2017 y 2018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Este Convenio es un acuerdo estratégico, entre la Alcaldía Municipal de San Dionisio y FAES, Sexta Brigada de Infantería, donde se realizan tareas conjuntas de combate y prevención de la violencia en el municipio, por la seguridad de los firmantes se hace la presente reserva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Articulo 19 literal b y d</w:t>
            </w:r>
          </w:p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 tratarse de esfuerzos por prevenir la violencia mediante de la ayuda de Fuerza Armada.-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26-01-15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Default="000D6214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E7A95">
              <w:rPr>
                <w:sz w:val="20"/>
              </w:rPr>
              <w:t xml:space="preserve"> años</w:t>
            </w:r>
          </w:p>
        </w:tc>
      </w:tr>
      <w:tr w:rsidR="001E7A95" w:rsidRPr="005F2D77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Denuncias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UNIDAD DE LA MUJER MUNICIPAL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F355CF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UM. 0005</w:t>
            </w:r>
          </w:p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Registro de Denuncia de todo tipo de maltrato o violencia contra la mujer.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Todas las denuncias realizadas, por víctimas o terceras personas en caso de </w:t>
            </w:r>
            <w:r>
              <w:rPr>
                <w:sz w:val="20"/>
              </w:rPr>
              <w:lastRenderedPageBreak/>
              <w:t xml:space="preserve">violencia, en sede de la unidad de la mujer </w:t>
            </w:r>
            <w:r w:rsidR="003938B8">
              <w:rPr>
                <w:sz w:val="20"/>
              </w:rPr>
              <w:t>serán</w:t>
            </w:r>
            <w:r>
              <w:rPr>
                <w:sz w:val="20"/>
              </w:rPr>
              <w:t xml:space="preserve"> </w:t>
            </w:r>
            <w:r w:rsidR="003938B8">
              <w:rPr>
                <w:sz w:val="20"/>
              </w:rPr>
              <w:t>resguardadas</w:t>
            </w:r>
            <w:r>
              <w:rPr>
                <w:sz w:val="20"/>
              </w:rPr>
              <w:t xml:space="preserve"> y se remitirá exclusivamente a la autoridad competente. Para resguardar la seguridad de las personas involucradas en dichas denuncias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  <w:r w:rsidRPr="00666175">
              <w:rPr>
                <w:sz w:val="20"/>
              </w:rPr>
              <w:lastRenderedPageBreak/>
              <w:t>Articulo 19 literal d.-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26-01-15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 años</w:t>
            </w:r>
          </w:p>
        </w:tc>
      </w:tr>
      <w:tr w:rsidR="001E7A95" w:rsidRPr="005F2D77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Denuncias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UNIDAD DE MEDIO AMBIENTE MUNICIPAL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F355CF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UA. 0006</w:t>
            </w:r>
          </w:p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Registro de Denuncias sobre delitos ambientales.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D92F33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Default="001E7A95" w:rsidP="00D91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 elemento vital para la protección del medio ambiente, es mediante la denuncia ciudadana, por lo cual se debe resguardar </w:t>
            </w:r>
            <w:r w:rsidR="00D91782">
              <w:rPr>
                <w:sz w:val="20"/>
              </w:rPr>
              <w:t xml:space="preserve">la identidad del denunciante, </w:t>
            </w:r>
            <w:r>
              <w:rPr>
                <w:sz w:val="20"/>
              </w:rPr>
              <w:t xml:space="preserve"> a fin de evitarle problemas posteriores, con los </w:t>
            </w:r>
            <w:r w:rsidR="00D91782">
              <w:rPr>
                <w:sz w:val="20"/>
              </w:rPr>
              <w:t>infractores</w:t>
            </w:r>
            <w:r>
              <w:rPr>
                <w:sz w:val="20"/>
              </w:rPr>
              <w:t xml:space="preserve"> que se denuncian.-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  <w:r w:rsidRPr="00666175">
              <w:rPr>
                <w:sz w:val="20"/>
              </w:rPr>
              <w:t>Articulo 19 literal d.-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26-01-15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 años</w:t>
            </w:r>
          </w:p>
        </w:tc>
      </w:tr>
      <w:tr w:rsidR="001E7A95" w:rsidRPr="005F2D77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rFonts w:cs="Calibri"/>
                <w:sz w:val="20"/>
              </w:rPr>
              <w:t>6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Informático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Unidades Administrativas de </w:t>
            </w:r>
            <w:r>
              <w:rPr>
                <w:sz w:val="20"/>
              </w:rPr>
              <w:lastRenderedPageBreak/>
              <w:t>la Alcaldía Municipal.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F355CF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Sindicatura. 0007</w:t>
            </w:r>
          </w:p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Contraseñas de Correos institucionales,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D92F33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x</w:t>
            </w: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Default="001E7A95" w:rsidP="00D91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Por seguridad se determina que se puede </w:t>
            </w:r>
            <w:r w:rsidR="00D91782">
              <w:rPr>
                <w:sz w:val="20"/>
              </w:rPr>
              <w:t xml:space="preserve">entregar </w:t>
            </w:r>
            <w:r w:rsidR="00D91782">
              <w:rPr>
                <w:sz w:val="20"/>
              </w:rPr>
              <w:lastRenderedPageBreak/>
              <w:t>únicamente</w:t>
            </w:r>
            <w:r>
              <w:rPr>
                <w:sz w:val="20"/>
              </w:rPr>
              <w:t xml:space="preserve"> dirección de correo electrónico institucional</w:t>
            </w:r>
            <w:r w:rsidR="00D91782">
              <w:rPr>
                <w:sz w:val="20"/>
              </w:rPr>
              <w:t xml:space="preserve"> de las unidades que los posean. No así sus respectivas contraseñas, está también incluye además de los correos institucionales las co</w:t>
            </w:r>
            <w:r>
              <w:rPr>
                <w:sz w:val="20"/>
              </w:rPr>
              <w:t>ntraseñas de redes sociales utilizadas por la UAIP, para publicación de Información.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  <w:r w:rsidRPr="00666175">
              <w:rPr>
                <w:sz w:val="20"/>
              </w:rPr>
              <w:lastRenderedPageBreak/>
              <w:t>Articulo 19 literal d.-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26-01-15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 años</w:t>
            </w:r>
          </w:p>
        </w:tc>
      </w:tr>
    </w:tbl>
    <w:p w:rsidR="001E7A95" w:rsidRDefault="001E7A95" w:rsidP="00B34005">
      <w:pPr>
        <w:spacing w:after="0"/>
        <w:jc w:val="both"/>
      </w:pPr>
    </w:p>
    <w:p w:rsidR="00677482" w:rsidRDefault="00677482" w:rsidP="00B34005">
      <w:pPr>
        <w:spacing w:after="0"/>
        <w:jc w:val="both"/>
      </w:pPr>
    </w:p>
    <w:p w:rsidR="00D92F33" w:rsidRDefault="00D92F33" w:rsidP="00677482">
      <w:pPr>
        <w:spacing w:after="0"/>
      </w:pPr>
    </w:p>
    <w:p w:rsidR="00B34005" w:rsidRDefault="00677482" w:rsidP="00677482">
      <w:pPr>
        <w:pStyle w:val="Sinespaciado"/>
        <w:jc w:val="center"/>
      </w:pPr>
      <w:r>
        <w:t>F.__________________________</w:t>
      </w:r>
    </w:p>
    <w:p w:rsidR="00677482" w:rsidRDefault="00677482" w:rsidP="00677482">
      <w:pPr>
        <w:pStyle w:val="Sinespaciado"/>
        <w:jc w:val="center"/>
      </w:pPr>
      <w:r>
        <w:t>RAFAEL ARTURO ZELAYA DIAZ.-</w:t>
      </w:r>
    </w:p>
    <w:p w:rsidR="00677482" w:rsidRDefault="00677482" w:rsidP="00677482">
      <w:pPr>
        <w:pStyle w:val="Sinespaciado"/>
        <w:jc w:val="center"/>
      </w:pPr>
      <w:r>
        <w:t>OFICIAL DE INFORMACION.</w:t>
      </w:r>
    </w:p>
    <w:p w:rsidR="00677482" w:rsidRDefault="00677482" w:rsidP="00677482">
      <w:pPr>
        <w:pStyle w:val="Sinespaciado"/>
        <w:jc w:val="center"/>
      </w:pPr>
      <w:r>
        <w:t>ALCALDIA MUNICIPAL DE SAN DIONISIO.-</w:t>
      </w:r>
    </w:p>
    <w:p w:rsidR="00677482" w:rsidRDefault="00677482" w:rsidP="00677482">
      <w:pPr>
        <w:pStyle w:val="Sinespaciado"/>
        <w:jc w:val="center"/>
      </w:pPr>
    </w:p>
    <w:p w:rsidR="00677482" w:rsidRDefault="00677482" w:rsidP="00677482">
      <w:pPr>
        <w:pStyle w:val="Sinespaciado"/>
        <w:jc w:val="center"/>
      </w:pPr>
    </w:p>
    <w:p w:rsidR="00677482" w:rsidRDefault="00677482" w:rsidP="00677482">
      <w:pPr>
        <w:pStyle w:val="Sinespaciado"/>
        <w:jc w:val="center"/>
      </w:pPr>
    </w:p>
    <w:p w:rsidR="00677482" w:rsidRDefault="003D3A6A" w:rsidP="00677482">
      <w:pPr>
        <w:pStyle w:val="Sinespaciado"/>
        <w:jc w:val="both"/>
      </w:pPr>
      <w:r>
        <w:t xml:space="preserve">NOTA: </w:t>
      </w:r>
      <w:r w:rsidR="000D6214">
        <w:t xml:space="preserve">El índice de reserva se mantiene como el de </w:t>
      </w:r>
      <w:r w:rsidR="0093370F">
        <w:t>2018</w:t>
      </w:r>
      <w:r w:rsidR="000D6214">
        <w:t xml:space="preserve"> si cambios que reportar, para que sea analizado por los comisionados del IAIP, y todo lo no establecido en el mismo se considera de carácter oficiosa y para el acceso al público, mientras no se trate de información de tipo confidencial.</w:t>
      </w:r>
      <w:r>
        <w:t>.-</w:t>
      </w:r>
    </w:p>
    <w:p w:rsidR="003D3A6A" w:rsidRPr="00321F3E" w:rsidRDefault="003D3A6A" w:rsidP="00677482">
      <w:pPr>
        <w:pStyle w:val="Sinespaciado"/>
        <w:jc w:val="both"/>
      </w:pPr>
    </w:p>
    <w:sectPr w:rsidR="003D3A6A" w:rsidRPr="00321F3E" w:rsidSect="00D92F33">
      <w:footerReference w:type="default" r:id="rId8"/>
      <w:pgSz w:w="15840" w:h="12240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576" w:rsidRDefault="00EB4576" w:rsidP="009A4839">
      <w:pPr>
        <w:spacing w:after="0" w:line="240" w:lineRule="auto"/>
      </w:pPr>
      <w:r>
        <w:separator/>
      </w:r>
    </w:p>
  </w:endnote>
  <w:endnote w:type="continuationSeparator" w:id="0">
    <w:p w:rsidR="00EB4576" w:rsidRDefault="00EB4576" w:rsidP="009A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F33" w:rsidRDefault="00D92F33" w:rsidP="00D92F3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576" w:rsidRDefault="00EB4576" w:rsidP="009A4839">
      <w:pPr>
        <w:spacing w:after="0" w:line="240" w:lineRule="auto"/>
      </w:pPr>
      <w:r>
        <w:separator/>
      </w:r>
    </w:p>
  </w:footnote>
  <w:footnote w:type="continuationSeparator" w:id="0">
    <w:p w:rsidR="00EB4576" w:rsidRDefault="00EB4576" w:rsidP="009A4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BB"/>
    <w:rsid w:val="00055F39"/>
    <w:rsid w:val="000758FC"/>
    <w:rsid w:val="00090A3E"/>
    <w:rsid w:val="000A4B57"/>
    <w:rsid w:val="000D5CF2"/>
    <w:rsid w:val="000D6214"/>
    <w:rsid w:val="00172A89"/>
    <w:rsid w:val="001E7A95"/>
    <w:rsid w:val="00321F3E"/>
    <w:rsid w:val="0033420B"/>
    <w:rsid w:val="00387690"/>
    <w:rsid w:val="003938B8"/>
    <w:rsid w:val="003D00BB"/>
    <w:rsid w:val="003D0994"/>
    <w:rsid w:val="003D3A6A"/>
    <w:rsid w:val="003D4672"/>
    <w:rsid w:val="003F5B09"/>
    <w:rsid w:val="00430485"/>
    <w:rsid w:val="00447D80"/>
    <w:rsid w:val="005C41B6"/>
    <w:rsid w:val="005D0594"/>
    <w:rsid w:val="00657770"/>
    <w:rsid w:val="00666175"/>
    <w:rsid w:val="00677482"/>
    <w:rsid w:val="006C29AB"/>
    <w:rsid w:val="007C3C38"/>
    <w:rsid w:val="0093370F"/>
    <w:rsid w:val="0094268F"/>
    <w:rsid w:val="009A4839"/>
    <w:rsid w:val="009D7CD3"/>
    <w:rsid w:val="00B34005"/>
    <w:rsid w:val="00B74BC3"/>
    <w:rsid w:val="00BA7B32"/>
    <w:rsid w:val="00BC022F"/>
    <w:rsid w:val="00C01CA2"/>
    <w:rsid w:val="00C35290"/>
    <w:rsid w:val="00C86937"/>
    <w:rsid w:val="00CD5433"/>
    <w:rsid w:val="00CE048E"/>
    <w:rsid w:val="00CF4F8E"/>
    <w:rsid w:val="00D35D65"/>
    <w:rsid w:val="00D91782"/>
    <w:rsid w:val="00D92F33"/>
    <w:rsid w:val="00DC0B73"/>
    <w:rsid w:val="00DD7003"/>
    <w:rsid w:val="00E21B4F"/>
    <w:rsid w:val="00E7482D"/>
    <w:rsid w:val="00EB4576"/>
    <w:rsid w:val="00EB61FF"/>
    <w:rsid w:val="00EC6CD2"/>
    <w:rsid w:val="00EE1939"/>
    <w:rsid w:val="00EE3375"/>
    <w:rsid w:val="00F24B26"/>
    <w:rsid w:val="00F355CF"/>
    <w:rsid w:val="00FB5FC6"/>
    <w:rsid w:val="00FD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C48D1C"/>
  <w15:docId w15:val="{02AEBE22-0B0D-469E-9EB4-0F61B5B6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0B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48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83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A48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839"/>
    <w:rPr>
      <w:rFonts w:ascii="Calibri" w:eastAsia="Calibri" w:hAnsi="Calibri" w:cs="Times New Roman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3876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769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styleId="Referenciaintensa">
    <w:name w:val="Intense Reference"/>
    <w:basedOn w:val="Fuentedeprrafopredeter"/>
    <w:uiPriority w:val="32"/>
    <w:qFormat/>
    <w:rsid w:val="00387690"/>
    <w:rPr>
      <w:b/>
      <w:bCs/>
      <w:smallCaps/>
      <w:color w:val="5B9BD5" w:themeColor="accent1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690"/>
    <w:rPr>
      <w:rFonts w:ascii="Segoe UI" w:eastAsia="Calibri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677482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3844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01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142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992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29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3903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426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909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57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8978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036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5281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9040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2575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69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024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9970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6301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6801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1656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71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9785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3558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35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2206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330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277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63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521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2723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1061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787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947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225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7346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778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982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80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14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2FE2F-4EA9-4552-BC80-696D54D7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Alcaldia San Dionisio</cp:lastModifiedBy>
  <cp:revision>3</cp:revision>
  <cp:lastPrinted>2019-01-10T20:00:00Z</cp:lastPrinted>
  <dcterms:created xsi:type="dcterms:W3CDTF">2019-01-10T19:52:00Z</dcterms:created>
  <dcterms:modified xsi:type="dcterms:W3CDTF">2019-01-10T20:01:00Z</dcterms:modified>
</cp:coreProperties>
</file>